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45BF32" w14:textId="77777777" w:rsidR="00FC2549" w:rsidRPr="00394538" w:rsidRDefault="00FC2549" w:rsidP="00FC2549">
      <w:pPr>
        <w:spacing w:line="276" w:lineRule="auto"/>
        <w:jc w:val="center"/>
        <w:rPr>
          <w:rFonts w:ascii="Arial" w:hAnsi="Arial" w:cs="Arial"/>
          <w:b/>
          <w:sz w:val="28"/>
          <w:lang w:val="en-US"/>
        </w:rPr>
      </w:pPr>
      <w:bookmarkStart w:id="0" w:name="_Hlk7433197"/>
      <w:bookmarkStart w:id="1" w:name="_GoBack"/>
      <w:bookmarkEnd w:id="1"/>
      <w:r w:rsidRPr="00394538">
        <w:rPr>
          <w:rFonts w:ascii="Arial" w:hAnsi="Arial" w:cs="Arial"/>
          <w:b/>
          <w:sz w:val="28"/>
          <w:lang w:val="en-US"/>
        </w:rPr>
        <w:t>EUROCHAMBRES Draft Position Paper on the Strategy for long-term EU greenhouse gas emission reduction</w:t>
      </w:r>
    </w:p>
    <w:p w14:paraId="4AC4CDBC" w14:textId="77777777" w:rsidR="00FC2549" w:rsidRPr="00FC2549" w:rsidRDefault="00FC2549" w:rsidP="0053334D">
      <w:pPr>
        <w:spacing w:line="276" w:lineRule="auto"/>
        <w:jc w:val="both"/>
        <w:rPr>
          <w:rFonts w:ascii="Arial" w:hAnsi="Arial" w:cs="Arial"/>
          <w:b/>
          <w:lang w:val="en-US"/>
        </w:rPr>
      </w:pPr>
    </w:p>
    <w:p w14:paraId="7B1586C6" w14:textId="2271DAA6" w:rsidR="009A0C74" w:rsidRPr="00054EB0" w:rsidRDefault="009A0C74" w:rsidP="0053334D">
      <w:pPr>
        <w:spacing w:line="276" w:lineRule="auto"/>
        <w:jc w:val="both"/>
        <w:rPr>
          <w:rFonts w:ascii="Arial" w:hAnsi="Arial" w:cs="Arial"/>
          <w:b/>
          <w:lang w:val="en-GB"/>
        </w:rPr>
      </w:pPr>
      <w:r w:rsidRPr="00054EB0">
        <w:rPr>
          <w:rFonts w:ascii="Arial" w:hAnsi="Arial" w:cs="Arial"/>
          <w:b/>
          <w:lang w:val="en-GB"/>
        </w:rPr>
        <w:t xml:space="preserve">EUROCHAMBRES, the Association of European Chambers of Commerce </w:t>
      </w:r>
      <w:r w:rsidR="006E184C" w:rsidRPr="00054EB0">
        <w:rPr>
          <w:rFonts w:ascii="Arial" w:hAnsi="Arial" w:cs="Arial"/>
          <w:b/>
          <w:lang w:val="en-GB"/>
        </w:rPr>
        <w:t>and</w:t>
      </w:r>
      <w:r w:rsidRPr="00054EB0">
        <w:rPr>
          <w:rFonts w:ascii="Arial" w:hAnsi="Arial" w:cs="Arial"/>
          <w:b/>
          <w:lang w:val="en-GB"/>
        </w:rPr>
        <w:t xml:space="preserve"> Industry </w:t>
      </w:r>
      <w:r w:rsidR="000A5F15" w:rsidRPr="00054EB0">
        <w:rPr>
          <w:rFonts w:ascii="Arial" w:hAnsi="Arial" w:cs="Arial"/>
          <w:b/>
          <w:lang w:val="en-GB"/>
        </w:rPr>
        <w:t xml:space="preserve">are convinced </w:t>
      </w:r>
      <w:r w:rsidR="00AA1BBC" w:rsidRPr="00054EB0">
        <w:rPr>
          <w:rFonts w:ascii="Arial" w:hAnsi="Arial" w:cs="Arial"/>
          <w:b/>
          <w:lang w:val="en-GB"/>
        </w:rPr>
        <w:t>that the proposed long-term vision for a prosperous, modern, competitive and climate-neutral economy provides a good basis for further and deeper debate</w:t>
      </w:r>
      <w:r w:rsidR="00B4074C" w:rsidRPr="00394538">
        <w:rPr>
          <w:rFonts w:ascii="Arial" w:hAnsi="Arial" w:cs="Arial"/>
          <w:b/>
          <w:lang w:val="en-US"/>
        </w:rPr>
        <w:t xml:space="preserve"> on the EU’s future climate policies</w:t>
      </w:r>
      <w:r w:rsidR="00AA1BBC" w:rsidRPr="00054EB0">
        <w:rPr>
          <w:rFonts w:ascii="Arial" w:hAnsi="Arial" w:cs="Arial"/>
          <w:b/>
          <w:lang w:val="en-GB"/>
        </w:rPr>
        <w:t>. The European economy is a</w:t>
      </w:r>
      <w:r w:rsidR="00B4074C" w:rsidRPr="00394538">
        <w:rPr>
          <w:rFonts w:ascii="Arial" w:hAnsi="Arial" w:cs="Arial"/>
          <w:b/>
          <w:lang w:val="en-US"/>
        </w:rPr>
        <w:t xml:space="preserve"> crucial</w:t>
      </w:r>
      <w:r w:rsidR="00AE576F" w:rsidRPr="00394538">
        <w:rPr>
          <w:rFonts w:ascii="Arial" w:hAnsi="Arial" w:cs="Arial"/>
          <w:b/>
          <w:lang w:val="en-US"/>
        </w:rPr>
        <w:t xml:space="preserve"> </w:t>
      </w:r>
      <w:r w:rsidR="00AA1BBC" w:rsidRPr="00054EB0">
        <w:rPr>
          <w:rFonts w:ascii="Arial" w:hAnsi="Arial" w:cs="Arial"/>
          <w:b/>
          <w:lang w:val="en-GB"/>
        </w:rPr>
        <w:t xml:space="preserve">partner in </w:t>
      </w:r>
      <w:r w:rsidR="00AE576F" w:rsidRPr="00394538">
        <w:rPr>
          <w:rFonts w:ascii="Arial" w:hAnsi="Arial" w:cs="Arial"/>
          <w:b/>
          <w:lang w:val="en-US"/>
        </w:rPr>
        <w:t>the ongoing climate and energy</w:t>
      </w:r>
      <w:r w:rsidR="00AE576F" w:rsidRPr="00054EB0">
        <w:rPr>
          <w:rFonts w:ascii="Arial" w:hAnsi="Arial" w:cs="Arial"/>
          <w:b/>
          <w:lang w:val="en-GB"/>
        </w:rPr>
        <w:t xml:space="preserve"> </w:t>
      </w:r>
      <w:r w:rsidR="00AA1BBC" w:rsidRPr="00054EB0">
        <w:rPr>
          <w:rFonts w:ascii="Arial" w:hAnsi="Arial" w:cs="Arial"/>
          <w:b/>
          <w:lang w:val="en-GB"/>
        </w:rPr>
        <w:t xml:space="preserve">transition, which is why we welcome the approach to </w:t>
      </w:r>
      <w:r w:rsidR="00E82726" w:rsidRPr="00054EB0">
        <w:rPr>
          <w:rFonts w:ascii="Arial" w:hAnsi="Arial" w:cs="Arial"/>
          <w:b/>
          <w:lang w:val="en-GB"/>
        </w:rPr>
        <w:t xml:space="preserve">assess a broad spectrum of technologies and measures, </w:t>
      </w:r>
      <w:r w:rsidR="006E184C" w:rsidRPr="00054EB0">
        <w:rPr>
          <w:rFonts w:ascii="Arial" w:hAnsi="Arial" w:cs="Arial"/>
          <w:b/>
          <w:lang w:val="en-GB"/>
        </w:rPr>
        <w:t xml:space="preserve">in a strive to </w:t>
      </w:r>
      <w:r w:rsidR="00E82726" w:rsidRPr="00054EB0">
        <w:rPr>
          <w:rFonts w:ascii="Arial" w:hAnsi="Arial" w:cs="Arial"/>
          <w:b/>
          <w:lang w:val="en-GB"/>
        </w:rPr>
        <w:t>strengthen and consolidat</w:t>
      </w:r>
      <w:r w:rsidR="006E184C" w:rsidRPr="00054EB0">
        <w:rPr>
          <w:rFonts w:ascii="Arial" w:hAnsi="Arial" w:cs="Arial"/>
          <w:b/>
          <w:lang w:val="en-GB"/>
        </w:rPr>
        <w:t>e</w:t>
      </w:r>
      <w:r w:rsidR="00E82726" w:rsidRPr="00054EB0">
        <w:rPr>
          <w:rFonts w:ascii="Arial" w:hAnsi="Arial" w:cs="Arial"/>
          <w:b/>
          <w:lang w:val="en-GB"/>
        </w:rPr>
        <w:t xml:space="preserve"> Europe as an excellent</w:t>
      </w:r>
      <w:r w:rsidR="00B4074C" w:rsidRPr="00394538">
        <w:rPr>
          <w:rFonts w:ascii="Arial" w:hAnsi="Arial" w:cs="Arial"/>
          <w:b/>
          <w:lang w:val="en-US"/>
        </w:rPr>
        <w:t xml:space="preserve"> and sustainable</w:t>
      </w:r>
      <w:r w:rsidR="00E82726" w:rsidRPr="00054EB0">
        <w:rPr>
          <w:rFonts w:ascii="Arial" w:hAnsi="Arial" w:cs="Arial"/>
          <w:b/>
          <w:lang w:val="en-GB"/>
        </w:rPr>
        <w:t xml:space="preserve"> business location.</w:t>
      </w:r>
    </w:p>
    <w:p w14:paraId="03E06633" w14:textId="4F8E2690" w:rsidR="00E82726" w:rsidRPr="00054EB0" w:rsidRDefault="00E82726" w:rsidP="0053334D">
      <w:pPr>
        <w:spacing w:line="276" w:lineRule="auto"/>
        <w:jc w:val="both"/>
        <w:rPr>
          <w:rFonts w:ascii="Arial" w:hAnsi="Arial" w:cs="Arial"/>
          <w:lang w:val="en-GB"/>
        </w:rPr>
      </w:pPr>
      <w:r w:rsidRPr="00054EB0">
        <w:rPr>
          <w:rFonts w:ascii="Arial" w:hAnsi="Arial" w:cs="Arial"/>
          <w:lang w:val="en-GB"/>
        </w:rPr>
        <w:t xml:space="preserve">The vision “A Clean Planet for all” </w:t>
      </w:r>
      <w:r w:rsidR="00B4074C" w:rsidRPr="00394538">
        <w:rPr>
          <w:rFonts w:ascii="Arial" w:hAnsi="Arial" w:cs="Arial"/>
          <w:lang w:val="en-US"/>
        </w:rPr>
        <w:t>is intended to</w:t>
      </w:r>
      <w:r w:rsidR="00B4074C" w:rsidRPr="00054EB0">
        <w:rPr>
          <w:rFonts w:ascii="Arial" w:hAnsi="Arial" w:cs="Arial"/>
          <w:lang w:val="en-GB"/>
        </w:rPr>
        <w:t xml:space="preserve"> </w:t>
      </w:r>
      <w:r w:rsidRPr="00054EB0">
        <w:rPr>
          <w:rFonts w:ascii="Arial" w:hAnsi="Arial" w:cs="Arial"/>
          <w:lang w:val="en-GB"/>
        </w:rPr>
        <w:t>replace the 2011 “Roadmap to a low-carbon economy by 2050”. In March 2018 the European Council called upon the Commission to deliver a long-term greenhouse gas emission reduction strategy by the first quarter of 2019</w:t>
      </w:r>
      <w:r w:rsidR="006E184C" w:rsidRPr="00054EB0">
        <w:rPr>
          <w:rFonts w:ascii="Arial" w:hAnsi="Arial" w:cs="Arial"/>
          <w:lang w:val="en-GB"/>
        </w:rPr>
        <w:t xml:space="preserve">. This </w:t>
      </w:r>
      <w:r w:rsidRPr="00054EB0">
        <w:rPr>
          <w:rFonts w:ascii="Arial" w:hAnsi="Arial" w:cs="Arial"/>
          <w:lang w:val="en-GB"/>
        </w:rPr>
        <w:t xml:space="preserve">was also codified in </w:t>
      </w:r>
      <w:r w:rsidR="000A5F15" w:rsidRPr="00054EB0">
        <w:rPr>
          <w:rFonts w:ascii="Arial" w:hAnsi="Arial" w:cs="Arial"/>
          <w:lang w:val="en-GB"/>
        </w:rPr>
        <w:t>Article 15 of the</w:t>
      </w:r>
      <w:r w:rsidRPr="00054EB0">
        <w:rPr>
          <w:rFonts w:ascii="Arial" w:hAnsi="Arial" w:cs="Arial"/>
          <w:lang w:val="en-GB"/>
        </w:rPr>
        <w:t xml:space="preserve"> Regulation for the Governance of the Energy Union concluded </w:t>
      </w:r>
      <w:r w:rsidR="007C3083" w:rsidRPr="00394538">
        <w:rPr>
          <w:rFonts w:ascii="Arial" w:hAnsi="Arial" w:cs="Arial"/>
          <w:lang w:val="en-US"/>
        </w:rPr>
        <w:t>at</w:t>
      </w:r>
      <w:r w:rsidRPr="00054EB0">
        <w:rPr>
          <w:rFonts w:ascii="Arial" w:hAnsi="Arial" w:cs="Arial"/>
          <w:lang w:val="en-GB"/>
        </w:rPr>
        <w:t xml:space="preserve"> the end of 2018.</w:t>
      </w:r>
    </w:p>
    <w:p w14:paraId="52BD6733" w14:textId="77777777" w:rsidR="00F11987" w:rsidRPr="00054EB0" w:rsidRDefault="00F11987" w:rsidP="0053334D">
      <w:pPr>
        <w:spacing w:line="276" w:lineRule="auto"/>
        <w:jc w:val="both"/>
        <w:rPr>
          <w:rFonts w:ascii="Arial" w:hAnsi="Arial" w:cs="Arial"/>
          <w:lang w:val="en-GB"/>
        </w:rPr>
      </w:pPr>
      <w:r w:rsidRPr="00054EB0">
        <w:rPr>
          <w:rFonts w:ascii="Arial" w:hAnsi="Arial" w:cs="Arial"/>
          <w:lang w:val="en-GB"/>
        </w:rPr>
        <w:t xml:space="preserve">The vision expands on 8 scenarios of different technologies and combinations thereof as well as 7 strategic building blocks, which form the basis for every scenario. The first 5 scenarios each follow a specific technological pathway: electrification, hydrogen, power-to-x, energy efficiency, circular economy, while scenario 6 combines the technologies of scenarios 1-4. Scenario 7 adds Carbon Capture and Storage (CCS) </w:t>
      </w:r>
      <w:r w:rsidR="000D68E8" w:rsidRPr="00054EB0">
        <w:rPr>
          <w:rFonts w:ascii="Arial" w:hAnsi="Arial" w:cs="Arial"/>
          <w:lang w:val="en-GB"/>
        </w:rPr>
        <w:t xml:space="preserve">and enhanced use of natural carbon sinks </w:t>
      </w:r>
      <w:r w:rsidRPr="00054EB0">
        <w:rPr>
          <w:rFonts w:ascii="Arial" w:hAnsi="Arial" w:cs="Arial"/>
          <w:lang w:val="en-GB"/>
        </w:rPr>
        <w:t>on top of that and scenario 8 adds a stronger element of circular economy</w:t>
      </w:r>
      <w:r w:rsidR="000D68E8" w:rsidRPr="00054EB0">
        <w:rPr>
          <w:rFonts w:ascii="Arial" w:hAnsi="Arial" w:cs="Arial"/>
          <w:lang w:val="en-GB"/>
        </w:rPr>
        <w:t xml:space="preserve"> as well as substantial lifestyle changes</w:t>
      </w:r>
      <w:r w:rsidRPr="00054EB0">
        <w:rPr>
          <w:rFonts w:ascii="Arial" w:hAnsi="Arial" w:cs="Arial"/>
          <w:lang w:val="en-GB"/>
        </w:rPr>
        <w:t>.</w:t>
      </w:r>
      <w:r w:rsidR="000D68E8" w:rsidRPr="00054EB0">
        <w:rPr>
          <w:rFonts w:ascii="Arial" w:hAnsi="Arial" w:cs="Arial"/>
          <w:lang w:val="en-GB"/>
        </w:rPr>
        <w:t xml:space="preserve"> The first 5 scenarios reach around 80% of greenhouse gas emissions reduction, the 6</w:t>
      </w:r>
      <w:r w:rsidR="000D68E8" w:rsidRPr="00054EB0">
        <w:rPr>
          <w:rFonts w:ascii="Arial" w:hAnsi="Arial" w:cs="Arial"/>
          <w:vertAlign w:val="superscript"/>
          <w:lang w:val="en-GB"/>
        </w:rPr>
        <w:t>th</w:t>
      </w:r>
      <w:r w:rsidR="000D68E8" w:rsidRPr="00054EB0">
        <w:rPr>
          <w:rFonts w:ascii="Arial" w:hAnsi="Arial" w:cs="Arial"/>
          <w:lang w:val="en-GB"/>
        </w:rPr>
        <w:t xml:space="preserve"> one reaches 90% reduction and scenarios 7 and 8 attain net zero emissions by 2050.</w:t>
      </w:r>
      <w:r w:rsidR="00CD65F5" w:rsidRPr="00054EB0">
        <w:rPr>
          <w:rFonts w:ascii="Arial" w:hAnsi="Arial" w:cs="Arial"/>
          <w:lang w:val="en-GB"/>
        </w:rPr>
        <w:t xml:space="preserve"> The final outcome will most probably be a combination of several of these scenarios.</w:t>
      </w:r>
    </w:p>
    <w:p w14:paraId="472D03F7" w14:textId="77777777" w:rsidR="00F11987" w:rsidRDefault="000D68E8" w:rsidP="0053334D">
      <w:pPr>
        <w:spacing w:line="276" w:lineRule="auto"/>
        <w:jc w:val="both"/>
        <w:rPr>
          <w:rFonts w:ascii="Arial" w:hAnsi="Arial" w:cs="Arial"/>
          <w:lang w:val="en-GB"/>
        </w:rPr>
      </w:pPr>
      <w:r w:rsidRPr="00054EB0">
        <w:rPr>
          <w:rFonts w:ascii="Arial" w:hAnsi="Arial" w:cs="Arial"/>
          <w:lang w:val="en-GB"/>
        </w:rPr>
        <w:t>The 7 strategic building blocks include the maximisation of energy efficiency, maximisation of the deployment of renewable energy, clean, safe and connected mobility, a competitive industry and circular economy, a smart network infrastructure, fully developing the bio-economy and carbon sinks as well as using CC</w:t>
      </w:r>
      <w:r w:rsidR="00944A37" w:rsidRPr="00394538">
        <w:rPr>
          <w:rFonts w:ascii="Arial" w:hAnsi="Arial" w:cs="Arial"/>
          <w:lang w:val="en-US"/>
        </w:rPr>
        <w:t>U</w:t>
      </w:r>
      <w:r w:rsidRPr="00054EB0">
        <w:rPr>
          <w:rFonts w:ascii="Arial" w:hAnsi="Arial" w:cs="Arial"/>
          <w:lang w:val="en-GB"/>
        </w:rPr>
        <w:t>S.</w:t>
      </w:r>
    </w:p>
    <w:p w14:paraId="24FDFEE9" w14:textId="77777777" w:rsidR="00FC2549" w:rsidRPr="00054EB0" w:rsidRDefault="00FC2549" w:rsidP="0053334D">
      <w:pPr>
        <w:spacing w:line="276" w:lineRule="auto"/>
        <w:jc w:val="both"/>
        <w:rPr>
          <w:rFonts w:ascii="Arial" w:hAnsi="Arial" w:cs="Arial"/>
          <w:lang w:val="en-GB"/>
        </w:rPr>
      </w:pPr>
    </w:p>
    <w:p w14:paraId="3F2904DD" w14:textId="1B6A424C" w:rsidR="00C41DBD" w:rsidRPr="00F81354" w:rsidRDefault="000A5F15" w:rsidP="0053334D">
      <w:pPr>
        <w:spacing w:line="276" w:lineRule="auto"/>
        <w:jc w:val="both"/>
        <w:rPr>
          <w:rFonts w:ascii="Arial" w:hAnsi="Arial" w:cs="Arial"/>
          <w:b/>
          <w:lang w:val="en-GB"/>
        </w:rPr>
      </w:pPr>
      <w:r w:rsidRPr="00F81354">
        <w:rPr>
          <w:rFonts w:ascii="Arial" w:hAnsi="Arial" w:cs="Arial"/>
          <w:b/>
          <w:lang w:val="en-GB"/>
        </w:rPr>
        <w:t>From EUROCHAMBRES’ point of view, t</w:t>
      </w:r>
      <w:r w:rsidR="00C41DBD" w:rsidRPr="00F81354">
        <w:rPr>
          <w:rFonts w:ascii="Arial" w:hAnsi="Arial" w:cs="Arial"/>
          <w:b/>
          <w:lang w:val="en-GB"/>
        </w:rPr>
        <w:t xml:space="preserve">he vision includes a number of key </w:t>
      </w:r>
      <w:r w:rsidR="00B4074C" w:rsidRPr="00394538">
        <w:rPr>
          <w:rFonts w:ascii="Arial" w:hAnsi="Arial" w:cs="Arial"/>
          <w:b/>
          <w:lang w:val="en-US"/>
        </w:rPr>
        <w:t>points, which will have to be further discussed</w:t>
      </w:r>
      <w:r w:rsidR="00C41DBD" w:rsidRPr="00F81354">
        <w:rPr>
          <w:rFonts w:ascii="Arial" w:hAnsi="Arial" w:cs="Arial"/>
          <w:b/>
          <w:lang w:val="en-GB"/>
        </w:rPr>
        <w:t>:</w:t>
      </w:r>
    </w:p>
    <w:p w14:paraId="4908DA41" w14:textId="6AFB24B8" w:rsidR="00AE576F" w:rsidRPr="00054EB0" w:rsidRDefault="00C41DBD" w:rsidP="000B3DC7">
      <w:pPr>
        <w:pStyle w:val="Prrafodelista"/>
        <w:numPr>
          <w:ilvl w:val="0"/>
          <w:numId w:val="1"/>
        </w:numPr>
        <w:spacing w:line="276" w:lineRule="auto"/>
        <w:jc w:val="both"/>
        <w:rPr>
          <w:rFonts w:ascii="Arial" w:hAnsi="Arial" w:cs="Arial"/>
          <w:lang w:val="en-GB"/>
        </w:rPr>
      </w:pPr>
      <w:r w:rsidRPr="000B3DC7">
        <w:rPr>
          <w:rFonts w:ascii="Arial" w:hAnsi="Arial" w:cs="Arial"/>
          <w:lang w:val="en-GB"/>
        </w:rPr>
        <w:t>In the reference scenario, i.e. with existing legislation and measures</w:t>
      </w:r>
      <w:r w:rsidR="00571E43" w:rsidRPr="00394538">
        <w:rPr>
          <w:rFonts w:ascii="Arial" w:hAnsi="Arial" w:cs="Arial"/>
          <w:lang w:val="en-US"/>
        </w:rPr>
        <w:t>,</w:t>
      </w:r>
      <w:r w:rsidRPr="000B3DC7">
        <w:rPr>
          <w:rFonts w:ascii="Arial" w:hAnsi="Arial" w:cs="Arial"/>
          <w:lang w:val="en-GB"/>
        </w:rPr>
        <w:t xml:space="preserve"> the Commission </w:t>
      </w:r>
      <w:r w:rsidR="00336912" w:rsidRPr="00394538">
        <w:rPr>
          <w:rFonts w:ascii="Arial" w:hAnsi="Arial" w:cs="Arial"/>
          <w:lang w:val="en-US"/>
        </w:rPr>
        <w:t>calculates</w:t>
      </w:r>
      <w:r w:rsidRPr="00AE576F">
        <w:rPr>
          <w:rFonts w:ascii="Arial" w:hAnsi="Arial" w:cs="Arial"/>
          <w:lang w:val="en-GB"/>
        </w:rPr>
        <w:t xml:space="preserve"> that the EU could reach -45% greenhouse gas emissions by 2030 and -60% by 2050.</w:t>
      </w:r>
    </w:p>
    <w:p w14:paraId="29AE4E6F" w14:textId="3FBC894D" w:rsidR="00C41DBD" w:rsidRPr="000B3DC7" w:rsidRDefault="00C41DBD" w:rsidP="000B3DC7">
      <w:pPr>
        <w:pStyle w:val="Prrafodelista"/>
        <w:numPr>
          <w:ilvl w:val="0"/>
          <w:numId w:val="1"/>
        </w:numPr>
        <w:spacing w:line="276" w:lineRule="auto"/>
        <w:jc w:val="both"/>
        <w:rPr>
          <w:rFonts w:ascii="Arial" w:hAnsi="Arial" w:cs="Arial"/>
          <w:lang w:val="en-GB"/>
        </w:rPr>
      </w:pPr>
      <w:r w:rsidRPr="000B3DC7">
        <w:rPr>
          <w:rFonts w:ascii="Arial" w:hAnsi="Arial" w:cs="Arial"/>
          <w:lang w:val="en-GB"/>
        </w:rPr>
        <w:t xml:space="preserve">The document puts an emphasis on investment needs and the economic aspects of the transition, in particular cost-efficiency of measures. According to the analysis, the EU </w:t>
      </w:r>
      <w:r w:rsidR="000B3DC7" w:rsidRPr="00394538">
        <w:rPr>
          <w:rFonts w:ascii="Arial" w:hAnsi="Arial" w:cs="Arial"/>
          <w:lang w:val="en-US"/>
        </w:rPr>
        <w:t>GDP</w:t>
      </w:r>
      <w:r w:rsidR="000B3DC7" w:rsidRPr="000B3DC7">
        <w:rPr>
          <w:rFonts w:ascii="Arial" w:hAnsi="Arial" w:cs="Arial"/>
          <w:lang w:val="en-GB"/>
        </w:rPr>
        <w:t xml:space="preserve"> </w:t>
      </w:r>
      <w:r w:rsidRPr="000B3DC7">
        <w:rPr>
          <w:rFonts w:ascii="Arial" w:hAnsi="Arial" w:cs="Arial"/>
          <w:lang w:val="en-GB"/>
        </w:rPr>
        <w:t xml:space="preserve">is expected to double until 2050, even if it fully decarbonises. An extra 0.8% of GDP would need to be invested (up from currently 2%), which would lead to 2% additional GDP in 2050. </w:t>
      </w:r>
    </w:p>
    <w:p w14:paraId="1F03D0D1" w14:textId="77777777" w:rsidR="00C41DBD" w:rsidRPr="00054EB0" w:rsidRDefault="00C41DBD" w:rsidP="0053334D">
      <w:pPr>
        <w:pStyle w:val="Prrafodelista"/>
        <w:numPr>
          <w:ilvl w:val="0"/>
          <w:numId w:val="1"/>
        </w:numPr>
        <w:spacing w:line="276" w:lineRule="auto"/>
        <w:jc w:val="both"/>
        <w:rPr>
          <w:rFonts w:ascii="Arial" w:hAnsi="Arial" w:cs="Arial"/>
          <w:lang w:val="en-GB"/>
        </w:rPr>
      </w:pPr>
      <w:r w:rsidRPr="00054EB0">
        <w:rPr>
          <w:rFonts w:ascii="Arial" w:hAnsi="Arial" w:cs="Arial"/>
          <w:lang w:val="en-GB"/>
        </w:rPr>
        <w:t>The deployment of digital solutions, expansion of inter-connections and smart networks is essential in all scenarios assessed.</w:t>
      </w:r>
    </w:p>
    <w:p w14:paraId="706EA941" w14:textId="57392669" w:rsidR="00C41DBD" w:rsidRPr="00054EB0" w:rsidRDefault="00C41DBD" w:rsidP="0053334D">
      <w:pPr>
        <w:pStyle w:val="Prrafodelista"/>
        <w:numPr>
          <w:ilvl w:val="0"/>
          <w:numId w:val="1"/>
        </w:numPr>
        <w:spacing w:line="276" w:lineRule="auto"/>
        <w:jc w:val="both"/>
        <w:rPr>
          <w:rFonts w:ascii="Arial" w:hAnsi="Arial" w:cs="Arial"/>
          <w:lang w:val="en-GB"/>
        </w:rPr>
      </w:pPr>
      <w:r w:rsidRPr="00054EB0">
        <w:rPr>
          <w:rFonts w:ascii="Arial" w:hAnsi="Arial" w:cs="Arial"/>
          <w:lang w:val="en-GB"/>
        </w:rPr>
        <w:lastRenderedPageBreak/>
        <w:t>All scenarios are based on the decarbonisation of the power sector</w:t>
      </w:r>
      <w:r w:rsidR="00B232E3" w:rsidRPr="00394538">
        <w:rPr>
          <w:rFonts w:ascii="Arial" w:hAnsi="Arial" w:cs="Arial"/>
          <w:lang w:val="en-US"/>
        </w:rPr>
        <w:t xml:space="preserve"> and e</w:t>
      </w:r>
      <w:r w:rsidRPr="00054EB0">
        <w:rPr>
          <w:rFonts w:ascii="Arial" w:hAnsi="Arial" w:cs="Arial"/>
          <w:lang w:val="en-GB"/>
        </w:rPr>
        <w:t xml:space="preserve">lectrification is </w:t>
      </w:r>
      <w:r w:rsidR="00B232E3" w:rsidRPr="00394538">
        <w:rPr>
          <w:rFonts w:ascii="Arial" w:hAnsi="Arial" w:cs="Arial"/>
          <w:lang w:val="en-US"/>
        </w:rPr>
        <w:t xml:space="preserve">one of the key elements </w:t>
      </w:r>
      <w:r w:rsidRPr="00054EB0">
        <w:rPr>
          <w:rFonts w:ascii="Arial" w:hAnsi="Arial" w:cs="Arial"/>
          <w:lang w:val="en-GB"/>
        </w:rPr>
        <w:t xml:space="preserve">for </w:t>
      </w:r>
      <w:r w:rsidR="00B232E3" w:rsidRPr="00394538">
        <w:rPr>
          <w:rFonts w:ascii="Arial" w:hAnsi="Arial" w:cs="Arial"/>
          <w:lang w:val="en-US"/>
        </w:rPr>
        <w:t xml:space="preserve">the </w:t>
      </w:r>
      <w:r w:rsidRPr="00054EB0">
        <w:rPr>
          <w:rFonts w:ascii="Arial" w:hAnsi="Arial" w:cs="Arial"/>
          <w:lang w:val="en-GB"/>
        </w:rPr>
        <w:t xml:space="preserve">decarbonisation </w:t>
      </w:r>
      <w:r w:rsidR="00B232E3" w:rsidRPr="00394538">
        <w:rPr>
          <w:rFonts w:ascii="Arial" w:hAnsi="Arial" w:cs="Arial"/>
          <w:lang w:val="en-US"/>
        </w:rPr>
        <w:t>of</w:t>
      </w:r>
      <w:r w:rsidR="00B232E3" w:rsidRPr="00054EB0">
        <w:rPr>
          <w:rFonts w:ascii="Arial" w:hAnsi="Arial" w:cs="Arial"/>
          <w:lang w:val="en-GB"/>
        </w:rPr>
        <w:t xml:space="preserve"> </w:t>
      </w:r>
      <w:r w:rsidR="00884CBE" w:rsidRPr="00394538">
        <w:rPr>
          <w:rFonts w:ascii="Arial" w:hAnsi="Arial" w:cs="Arial"/>
          <w:lang w:val="en-US"/>
        </w:rPr>
        <w:t>the energy intensive industry</w:t>
      </w:r>
      <w:r w:rsidRPr="00054EB0">
        <w:rPr>
          <w:rFonts w:ascii="Arial" w:hAnsi="Arial" w:cs="Arial"/>
          <w:lang w:val="en-GB"/>
        </w:rPr>
        <w:t>.</w:t>
      </w:r>
      <w:r w:rsidR="00767808" w:rsidRPr="00394538">
        <w:rPr>
          <w:rFonts w:ascii="Arial" w:hAnsi="Arial" w:cs="Arial"/>
          <w:lang w:val="en-US"/>
        </w:rPr>
        <w:t xml:space="preserve"> </w:t>
      </w:r>
      <w:r w:rsidR="00767808">
        <w:rPr>
          <w:rFonts w:ascii="Arial" w:hAnsi="Arial" w:cs="Arial"/>
        </w:rPr>
        <w:t>In addition, all scenarios incorporate nuclear technology and CC</w:t>
      </w:r>
      <w:r w:rsidR="00944A37">
        <w:rPr>
          <w:rFonts w:ascii="Arial" w:hAnsi="Arial" w:cs="Arial"/>
        </w:rPr>
        <w:t>U</w:t>
      </w:r>
      <w:r w:rsidR="00767808">
        <w:rPr>
          <w:rFonts w:ascii="Arial" w:hAnsi="Arial" w:cs="Arial"/>
        </w:rPr>
        <w:t>S.</w:t>
      </w:r>
    </w:p>
    <w:p w14:paraId="1F12AFCE" w14:textId="46836F13" w:rsidR="00B232E3" w:rsidRPr="00054EB0" w:rsidRDefault="00CD65F5" w:rsidP="0053334D">
      <w:pPr>
        <w:pStyle w:val="Prrafodelista"/>
        <w:numPr>
          <w:ilvl w:val="0"/>
          <w:numId w:val="1"/>
        </w:numPr>
        <w:spacing w:line="276" w:lineRule="auto"/>
        <w:jc w:val="both"/>
        <w:rPr>
          <w:rFonts w:ascii="Arial" w:hAnsi="Arial" w:cs="Arial"/>
          <w:lang w:val="en-GB"/>
        </w:rPr>
      </w:pPr>
      <w:r w:rsidRPr="00054EB0">
        <w:rPr>
          <w:rFonts w:ascii="Arial" w:hAnsi="Arial" w:cs="Arial"/>
          <w:lang w:val="en-GB"/>
        </w:rPr>
        <w:t xml:space="preserve">According to the Commission’s assessment, the transition will create more jobs in a number of </w:t>
      </w:r>
      <w:r w:rsidR="000A5F15" w:rsidRPr="00054EB0">
        <w:rPr>
          <w:rFonts w:ascii="Arial" w:hAnsi="Arial" w:cs="Arial"/>
          <w:lang w:val="en-GB"/>
        </w:rPr>
        <w:t xml:space="preserve">sectors and </w:t>
      </w:r>
      <w:r w:rsidRPr="00054EB0">
        <w:rPr>
          <w:rFonts w:ascii="Arial" w:hAnsi="Arial" w:cs="Arial"/>
          <w:lang w:val="en-GB"/>
        </w:rPr>
        <w:t xml:space="preserve">regions </w:t>
      </w:r>
      <w:r w:rsidR="000A5F15" w:rsidRPr="00054EB0">
        <w:rPr>
          <w:rFonts w:ascii="Arial" w:hAnsi="Arial" w:cs="Arial"/>
          <w:lang w:val="en-GB"/>
        </w:rPr>
        <w:t xml:space="preserve">while it </w:t>
      </w:r>
      <w:r w:rsidR="000B3DC7" w:rsidRPr="00394538">
        <w:rPr>
          <w:rFonts w:ascii="Arial" w:hAnsi="Arial" w:cs="Arial"/>
          <w:lang w:val="en-US"/>
        </w:rPr>
        <w:t xml:space="preserve">leads to job losses and </w:t>
      </w:r>
      <w:r w:rsidR="000A5F15" w:rsidRPr="00054EB0">
        <w:rPr>
          <w:rFonts w:ascii="Arial" w:hAnsi="Arial" w:cs="Arial"/>
          <w:lang w:val="en-GB"/>
        </w:rPr>
        <w:t>requires changes in the skillset in others. This will present a challenge, especially for lower income member states.</w:t>
      </w:r>
    </w:p>
    <w:p w14:paraId="4EF58437" w14:textId="77777777" w:rsidR="00FC2549" w:rsidRPr="00FC2549" w:rsidRDefault="00FC2549" w:rsidP="00CC3222">
      <w:pPr>
        <w:rPr>
          <w:lang w:val="en-GB"/>
        </w:rPr>
      </w:pPr>
    </w:p>
    <w:p w14:paraId="3BDE1376" w14:textId="77777777" w:rsidR="00FC2549" w:rsidRPr="00394538" w:rsidRDefault="00FC2549" w:rsidP="00FC2549">
      <w:pPr>
        <w:spacing w:line="276" w:lineRule="auto"/>
        <w:jc w:val="both"/>
        <w:rPr>
          <w:rFonts w:ascii="Arial" w:hAnsi="Arial" w:cs="Arial"/>
          <w:b/>
          <w:lang w:val="en-US"/>
        </w:rPr>
      </w:pPr>
      <w:r w:rsidRPr="00394538">
        <w:rPr>
          <w:rFonts w:ascii="Arial" w:hAnsi="Arial" w:cs="Arial"/>
          <w:b/>
          <w:lang w:val="en-US"/>
        </w:rPr>
        <w:t xml:space="preserve">At the same time, </w:t>
      </w:r>
      <w:r w:rsidR="00E449E7" w:rsidRPr="00394538">
        <w:rPr>
          <w:rFonts w:ascii="Arial" w:hAnsi="Arial" w:cs="Arial"/>
          <w:b/>
          <w:lang w:val="en-US"/>
        </w:rPr>
        <w:t>in relation</w:t>
      </w:r>
      <w:r w:rsidRPr="00394538">
        <w:rPr>
          <w:rFonts w:ascii="Arial" w:hAnsi="Arial" w:cs="Arial"/>
          <w:b/>
          <w:lang w:val="en-US"/>
        </w:rPr>
        <w:t xml:space="preserve"> to the scenarios and the underlying strategic building blocks, EUROCHAMBRES have a number of questions and comments:</w:t>
      </w:r>
    </w:p>
    <w:p w14:paraId="519D7BC5" w14:textId="7988518C" w:rsidR="00B561A1" w:rsidRPr="00CC3222" w:rsidRDefault="00FC2549" w:rsidP="00FC2549">
      <w:pPr>
        <w:spacing w:line="276" w:lineRule="auto"/>
        <w:jc w:val="both"/>
        <w:rPr>
          <w:rFonts w:ascii="Arial" w:hAnsi="Arial" w:cs="Arial"/>
          <w:lang w:val="en-GB"/>
        </w:rPr>
      </w:pPr>
      <w:r w:rsidRPr="00394538">
        <w:rPr>
          <w:rFonts w:ascii="Arial" w:hAnsi="Arial" w:cs="Arial"/>
          <w:lang w:val="en-US"/>
        </w:rPr>
        <w:t xml:space="preserve">With regards to the electrification of the economy and especially of all industrial processes, which will substantially increase the demand for electricity, the question arises as to the sources of renewable energy. Together with electrification, the </w:t>
      </w:r>
      <w:r w:rsidR="00944A37" w:rsidRPr="00394538">
        <w:rPr>
          <w:rFonts w:ascii="Arial" w:hAnsi="Arial" w:cs="Arial"/>
          <w:lang w:val="en-US"/>
        </w:rPr>
        <w:t xml:space="preserve">research, </w:t>
      </w:r>
      <w:r w:rsidRPr="00394538">
        <w:rPr>
          <w:rFonts w:ascii="Arial" w:hAnsi="Arial" w:cs="Arial"/>
          <w:lang w:val="en-US"/>
        </w:rPr>
        <w:t>development</w:t>
      </w:r>
      <w:r w:rsidR="00944A37" w:rsidRPr="00394538">
        <w:rPr>
          <w:rFonts w:ascii="Arial" w:hAnsi="Arial" w:cs="Arial"/>
          <w:lang w:val="en-US"/>
        </w:rPr>
        <w:t xml:space="preserve"> and market introduction </w:t>
      </w:r>
      <w:r w:rsidRPr="00394538">
        <w:rPr>
          <w:rFonts w:ascii="Arial" w:hAnsi="Arial" w:cs="Arial"/>
          <w:lang w:val="en-US"/>
        </w:rPr>
        <w:t xml:space="preserve">of </w:t>
      </w:r>
      <w:r w:rsidR="00944A37" w:rsidRPr="00394538">
        <w:rPr>
          <w:rFonts w:ascii="Arial" w:hAnsi="Arial" w:cs="Arial"/>
          <w:lang w:val="en-US"/>
        </w:rPr>
        <w:t xml:space="preserve">small and large scale, intraday and seasonal </w:t>
      </w:r>
      <w:r w:rsidRPr="00394538">
        <w:rPr>
          <w:rFonts w:ascii="Arial" w:hAnsi="Arial" w:cs="Arial"/>
          <w:lang w:val="en-US"/>
        </w:rPr>
        <w:t xml:space="preserve">storage and control systems to connect energy producers, storage facilities and consumers, has to be accelerated. </w:t>
      </w:r>
      <w:bookmarkStart w:id="2" w:name="_Hlk9434021"/>
      <w:r w:rsidR="00B561A1">
        <w:rPr>
          <w:rFonts w:ascii="Arial" w:hAnsi="Arial" w:cs="Arial"/>
          <w:lang w:val="en-GB"/>
        </w:rPr>
        <w:t xml:space="preserve">The future energy system needs to be centred around all available and cost-efficient flexibility options, of which demand response </w:t>
      </w:r>
      <w:r w:rsidR="005F067A" w:rsidRPr="00394538">
        <w:rPr>
          <w:rFonts w:ascii="Arial" w:hAnsi="Arial" w:cs="Arial"/>
          <w:lang w:val="en-US"/>
        </w:rPr>
        <w:t>and</w:t>
      </w:r>
      <w:r w:rsidR="00B561A1">
        <w:rPr>
          <w:rFonts w:ascii="Arial" w:hAnsi="Arial" w:cs="Arial"/>
          <w:lang w:val="en-GB"/>
        </w:rPr>
        <w:t xml:space="preserve"> self-consumption </w:t>
      </w:r>
      <w:r w:rsidR="005F067A" w:rsidRPr="00394538">
        <w:rPr>
          <w:rFonts w:ascii="Arial" w:hAnsi="Arial" w:cs="Arial"/>
          <w:lang w:val="en-US"/>
        </w:rPr>
        <w:t xml:space="preserve">are </w:t>
      </w:r>
      <w:r w:rsidR="00B561A1">
        <w:rPr>
          <w:rFonts w:ascii="Arial" w:hAnsi="Arial" w:cs="Arial"/>
          <w:lang w:val="en-GB"/>
        </w:rPr>
        <w:t>essential ones. Market barriers to a more active participation of consumers in the energy markets should urgently be reduced. The implementation of the Clean Energy for all Europeans Package offers a great opportunity.</w:t>
      </w:r>
      <w:bookmarkEnd w:id="2"/>
    </w:p>
    <w:p w14:paraId="21A20F9B" w14:textId="10F52666" w:rsidR="00FC2549" w:rsidRPr="00CC3222" w:rsidRDefault="00FC2549" w:rsidP="00FC2549">
      <w:pPr>
        <w:spacing w:line="276" w:lineRule="auto"/>
        <w:jc w:val="both"/>
        <w:rPr>
          <w:rFonts w:ascii="Arial" w:hAnsi="Arial" w:cs="Arial"/>
          <w:lang w:val="en-GB"/>
        </w:rPr>
      </w:pPr>
      <w:r w:rsidRPr="00394538">
        <w:rPr>
          <w:rFonts w:ascii="Arial" w:hAnsi="Arial" w:cs="Arial"/>
          <w:lang w:val="en-US"/>
        </w:rPr>
        <w:t xml:space="preserve">Research and development efforts in relation to hydrogen, </w:t>
      </w:r>
      <w:r w:rsidR="00944A37" w:rsidRPr="00394538">
        <w:rPr>
          <w:rFonts w:ascii="Arial" w:hAnsi="Arial" w:cs="Arial"/>
          <w:lang w:val="en-US"/>
        </w:rPr>
        <w:t xml:space="preserve">renewable gas and all forms of power-to-X </w:t>
      </w:r>
      <w:r w:rsidRPr="00394538">
        <w:rPr>
          <w:rFonts w:ascii="Arial" w:hAnsi="Arial" w:cs="Arial"/>
          <w:lang w:val="en-US"/>
        </w:rPr>
        <w:t xml:space="preserve">which can be used both as storage medium and energy carrier, have to be increased. </w:t>
      </w:r>
      <w:r w:rsidR="00B947F8">
        <w:rPr>
          <w:rFonts w:ascii="Arial" w:hAnsi="Arial" w:cs="Arial"/>
          <w:lang w:val="en-GB"/>
        </w:rPr>
        <w:t xml:space="preserve">Green and blue hydrogen has the potential to be used as feedstock and fuel in industry. It can also help to decarbonise the transport sector. Hydrogen can also be a good complement to the intermittent production of renewable electricity. </w:t>
      </w:r>
      <w:r w:rsidRPr="00394538">
        <w:rPr>
          <w:rFonts w:ascii="Arial" w:hAnsi="Arial" w:cs="Arial"/>
          <w:lang w:val="en-US"/>
        </w:rPr>
        <w:t xml:space="preserve">Costs, efficiency loss and total production potential have to be taken into consideration. Higher use of biomass for energy production will increase impacts on land usage as well as land use competition, which could increase our import demand for these resources from third countries.  </w:t>
      </w:r>
    </w:p>
    <w:p w14:paraId="613D7B62" w14:textId="3C5C2FB8" w:rsidR="00FC2549" w:rsidRPr="00394538" w:rsidRDefault="00FC2549" w:rsidP="00FC2549">
      <w:pPr>
        <w:spacing w:line="276" w:lineRule="auto"/>
        <w:jc w:val="both"/>
        <w:rPr>
          <w:rFonts w:ascii="Arial" w:hAnsi="Arial" w:cs="Arial"/>
          <w:lang w:val="en-US"/>
        </w:rPr>
      </w:pPr>
      <w:r w:rsidRPr="00394538">
        <w:rPr>
          <w:rFonts w:ascii="Arial" w:hAnsi="Arial" w:cs="Arial"/>
          <w:lang w:val="en-US"/>
        </w:rPr>
        <w:t xml:space="preserve">Power-to-X will play an important role in terms of energy storage but also in terms of sector-coupling. Gas will be an essential resource for industry also in the future. Only a comprehensive gas infrastructure (encompassing production, grid, storage) </w:t>
      </w:r>
      <w:r w:rsidR="00CC3222" w:rsidRPr="00394538">
        <w:rPr>
          <w:rFonts w:ascii="Arial" w:hAnsi="Arial" w:cs="Arial"/>
          <w:lang w:val="en-US"/>
        </w:rPr>
        <w:t xml:space="preserve">and functioning market </w:t>
      </w:r>
      <w:r w:rsidRPr="00394538">
        <w:rPr>
          <w:rFonts w:ascii="Arial" w:hAnsi="Arial" w:cs="Arial"/>
          <w:lang w:val="en-US"/>
        </w:rPr>
        <w:t xml:space="preserve">can ensure the effective uptake of </w:t>
      </w:r>
      <w:r w:rsidR="00944A37" w:rsidRPr="00394538">
        <w:rPr>
          <w:rFonts w:ascii="Arial" w:hAnsi="Arial" w:cs="Arial"/>
          <w:lang w:val="en-US"/>
        </w:rPr>
        <w:t xml:space="preserve">renewable </w:t>
      </w:r>
      <w:r w:rsidR="00CC3222" w:rsidRPr="00394538">
        <w:rPr>
          <w:rFonts w:ascii="Arial" w:hAnsi="Arial" w:cs="Arial"/>
          <w:lang w:val="en-US"/>
        </w:rPr>
        <w:t xml:space="preserve">or decarbonised </w:t>
      </w:r>
      <w:r w:rsidRPr="00394538">
        <w:rPr>
          <w:rFonts w:ascii="Arial" w:hAnsi="Arial" w:cs="Arial"/>
          <w:lang w:val="en-US"/>
        </w:rPr>
        <w:t>gas.</w:t>
      </w:r>
    </w:p>
    <w:p w14:paraId="0EB342C9" w14:textId="77777777" w:rsidR="00FC2549" w:rsidRPr="00394538" w:rsidRDefault="00FC2549" w:rsidP="00FC2549">
      <w:pPr>
        <w:spacing w:line="276" w:lineRule="auto"/>
        <w:jc w:val="both"/>
        <w:rPr>
          <w:rFonts w:ascii="Arial" w:hAnsi="Arial" w:cs="Arial"/>
          <w:lang w:val="en-US"/>
        </w:rPr>
      </w:pPr>
      <w:r w:rsidRPr="00394538">
        <w:rPr>
          <w:rFonts w:ascii="Arial" w:hAnsi="Arial" w:cs="Arial"/>
          <w:lang w:val="en-US"/>
        </w:rPr>
        <w:t xml:space="preserve">In general, efficiency rate and the technological as well as ecological potential of technical solutions has to be taken into account next to the cost components, especially with regards to energy efficiency measures and the circular economy. </w:t>
      </w:r>
    </w:p>
    <w:p w14:paraId="0E15C6E1" w14:textId="2993F928" w:rsidR="00FC2549" w:rsidRPr="00394538" w:rsidRDefault="00FC2549" w:rsidP="00FC2549">
      <w:pPr>
        <w:spacing w:line="276" w:lineRule="auto"/>
        <w:jc w:val="both"/>
        <w:rPr>
          <w:rFonts w:ascii="Arial" w:hAnsi="Arial" w:cs="Arial"/>
          <w:lang w:val="en-US"/>
        </w:rPr>
      </w:pPr>
      <w:r w:rsidRPr="00394538">
        <w:rPr>
          <w:rFonts w:ascii="Arial" w:hAnsi="Arial" w:cs="Arial"/>
          <w:lang w:val="en-US"/>
        </w:rPr>
        <w:t xml:space="preserve">When it comes to BECCS (bio-energy and carbon capture and storage), it has to be noted that </w:t>
      </w:r>
      <w:r w:rsidR="00AE576F" w:rsidRPr="00394538">
        <w:rPr>
          <w:rFonts w:ascii="Arial" w:hAnsi="Arial" w:cs="Arial"/>
          <w:lang w:val="en-US"/>
        </w:rPr>
        <w:t xml:space="preserve">the prospects of </w:t>
      </w:r>
      <w:r w:rsidRPr="00394538">
        <w:rPr>
          <w:rFonts w:ascii="Arial" w:hAnsi="Arial" w:cs="Arial"/>
          <w:lang w:val="en-US"/>
        </w:rPr>
        <w:t xml:space="preserve">this technology </w:t>
      </w:r>
      <w:r w:rsidR="00AE576F" w:rsidRPr="00394538">
        <w:rPr>
          <w:rFonts w:ascii="Arial" w:hAnsi="Arial" w:cs="Arial"/>
          <w:lang w:val="en-US"/>
        </w:rPr>
        <w:t xml:space="preserve">are </w:t>
      </w:r>
      <w:r w:rsidRPr="00394538">
        <w:rPr>
          <w:rFonts w:ascii="Arial" w:hAnsi="Arial" w:cs="Arial"/>
          <w:lang w:val="en-US"/>
        </w:rPr>
        <w:t xml:space="preserve">still far from being fully </w:t>
      </w:r>
      <w:r w:rsidR="00AE576F" w:rsidRPr="00394538">
        <w:rPr>
          <w:rFonts w:ascii="Arial" w:hAnsi="Arial" w:cs="Arial"/>
          <w:lang w:val="en-US"/>
        </w:rPr>
        <w:t>evaluated</w:t>
      </w:r>
      <w:r w:rsidRPr="00394538">
        <w:rPr>
          <w:rFonts w:ascii="Arial" w:hAnsi="Arial" w:cs="Arial"/>
          <w:lang w:val="en-US"/>
        </w:rPr>
        <w:t>, both economically and ecologically. BECCS and CC</w:t>
      </w:r>
      <w:r w:rsidR="00944A37" w:rsidRPr="00394538">
        <w:rPr>
          <w:rFonts w:ascii="Arial" w:hAnsi="Arial" w:cs="Arial"/>
          <w:lang w:val="en-US"/>
        </w:rPr>
        <w:t>U</w:t>
      </w:r>
      <w:r w:rsidRPr="00394538">
        <w:rPr>
          <w:rFonts w:ascii="Arial" w:hAnsi="Arial" w:cs="Arial"/>
          <w:lang w:val="en-US"/>
        </w:rPr>
        <w:t xml:space="preserve">S are </w:t>
      </w:r>
      <w:r w:rsidR="00944A37" w:rsidRPr="00394538">
        <w:rPr>
          <w:rFonts w:ascii="Arial" w:hAnsi="Arial" w:cs="Arial"/>
          <w:lang w:val="en-US"/>
        </w:rPr>
        <w:t>not yet</w:t>
      </w:r>
      <w:r w:rsidRPr="00394538">
        <w:rPr>
          <w:rFonts w:ascii="Arial" w:hAnsi="Arial" w:cs="Arial"/>
          <w:lang w:val="en-US"/>
        </w:rPr>
        <w:t xml:space="preserve"> viable at </w:t>
      </w:r>
      <w:r w:rsidR="00944A37" w:rsidRPr="00394538">
        <w:rPr>
          <w:rFonts w:ascii="Arial" w:hAnsi="Arial" w:cs="Arial"/>
          <w:lang w:val="en-US"/>
        </w:rPr>
        <w:t>this stage</w:t>
      </w:r>
      <w:r w:rsidR="00B947F8" w:rsidRPr="00394538">
        <w:rPr>
          <w:rFonts w:ascii="Arial" w:hAnsi="Arial" w:cs="Arial"/>
          <w:lang w:val="en-US"/>
        </w:rPr>
        <w:t>, although the latter could be a way to effectively reduce process emissions.</w:t>
      </w:r>
      <w:r w:rsidRPr="00394538">
        <w:rPr>
          <w:rFonts w:ascii="Arial" w:hAnsi="Arial" w:cs="Arial"/>
          <w:lang w:val="en-US"/>
        </w:rPr>
        <w:t xml:space="preserve"> </w:t>
      </w:r>
      <w:r w:rsidR="00B4074C" w:rsidRPr="00394538">
        <w:rPr>
          <w:rFonts w:ascii="Arial" w:hAnsi="Arial" w:cs="Arial"/>
          <w:lang w:val="en-US"/>
        </w:rPr>
        <w:t>Administrative and market barriers exist</w:t>
      </w:r>
      <w:r w:rsidR="00B947F8" w:rsidRPr="00394538">
        <w:rPr>
          <w:rFonts w:ascii="Arial" w:hAnsi="Arial" w:cs="Arial"/>
          <w:lang w:val="en-US"/>
        </w:rPr>
        <w:t>, further discussions on the necessary framework will be necessary</w:t>
      </w:r>
      <w:r w:rsidR="00B4074C" w:rsidRPr="00394538">
        <w:rPr>
          <w:rFonts w:ascii="Arial" w:hAnsi="Arial" w:cs="Arial"/>
          <w:lang w:val="en-US"/>
        </w:rPr>
        <w:t xml:space="preserve">. </w:t>
      </w:r>
      <w:r w:rsidRPr="00394538">
        <w:rPr>
          <w:rFonts w:ascii="Arial" w:hAnsi="Arial" w:cs="Arial"/>
          <w:lang w:val="en-US"/>
        </w:rPr>
        <w:t xml:space="preserve">In addition, the effect of BECCS on biodiversity and land usage are not understood to a sufficient extent. </w:t>
      </w:r>
      <w:r w:rsidR="007A6093" w:rsidRPr="00394538">
        <w:rPr>
          <w:rFonts w:ascii="Arial" w:hAnsi="Arial" w:cs="Arial"/>
          <w:lang w:val="en-US"/>
        </w:rPr>
        <w:t xml:space="preserve">However, European Chambers </w:t>
      </w:r>
      <w:r w:rsidR="00CC3222" w:rsidRPr="00394538">
        <w:rPr>
          <w:rFonts w:ascii="Arial" w:hAnsi="Arial" w:cs="Arial"/>
          <w:lang w:val="en-US"/>
        </w:rPr>
        <w:t>believe that this is</w:t>
      </w:r>
      <w:r w:rsidR="00C70188" w:rsidRPr="00394538">
        <w:rPr>
          <w:rFonts w:ascii="Arial" w:hAnsi="Arial" w:cs="Arial"/>
          <w:lang w:val="en-US"/>
        </w:rPr>
        <w:t xml:space="preserve"> also</w:t>
      </w:r>
      <w:r w:rsidR="00CC3222" w:rsidRPr="00394538">
        <w:rPr>
          <w:rFonts w:ascii="Arial" w:hAnsi="Arial" w:cs="Arial"/>
          <w:lang w:val="en-US"/>
        </w:rPr>
        <w:t xml:space="preserve"> closely linked to the successful</w:t>
      </w:r>
      <w:r w:rsidR="007A6093" w:rsidRPr="00394538">
        <w:rPr>
          <w:rFonts w:ascii="Arial" w:hAnsi="Arial" w:cs="Arial"/>
          <w:lang w:val="en-US"/>
        </w:rPr>
        <w:t xml:space="preserve"> implementation of the bio-economy strategy in the EU.</w:t>
      </w:r>
    </w:p>
    <w:p w14:paraId="747B5F81" w14:textId="2CCA4D5F" w:rsidR="00FC2549" w:rsidRPr="00394538" w:rsidRDefault="00FC2549" w:rsidP="00FC2549">
      <w:pPr>
        <w:spacing w:line="276" w:lineRule="auto"/>
        <w:jc w:val="both"/>
        <w:rPr>
          <w:rFonts w:ascii="Arial" w:hAnsi="Arial" w:cs="Arial"/>
          <w:lang w:val="en-US"/>
        </w:rPr>
      </w:pPr>
      <w:r w:rsidRPr="00394538">
        <w:rPr>
          <w:rFonts w:ascii="Arial" w:hAnsi="Arial" w:cs="Arial"/>
          <w:lang w:val="en-US"/>
        </w:rPr>
        <w:lastRenderedPageBreak/>
        <w:t>Last but not least</w:t>
      </w:r>
      <w:r w:rsidR="00336912" w:rsidRPr="00394538">
        <w:rPr>
          <w:rFonts w:ascii="Arial" w:hAnsi="Arial" w:cs="Arial"/>
          <w:lang w:val="en-US"/>
        </w:rPr>
        <w:t xml:space="preserve">, </w:t>
      </w:r>
      <w:r w:rsidRPr="00394538">
        <w:rPr>
          <w:rFonts w:ascii="Arial" w:hAnsi="Arial" w:cs="Arial"/>
          <w:lang w:val="en-US"/>
        </w:rPr>
        <w:t xml:space="preserve">from our perspective </w:t>
      </w:r>
      <w:r w:rsidR="00336912" w:rsidRPr="00394538">
        <w:rPr>
          <w:rFonts w:ascii="Arial" w:hAnsi="Arial" w:cs="Arial"/>
          <w:lang w:val="en-US"/>
        </w:rPr>
        <w:t xml:space="preserve">it is </w:t>
      </w:r>
      <w:r w:rsidRPr="00394538">
        <w:rPr>
          <w:rFonts w:ascii="Arial" w:hAnsi="Arial" w:cs="Arial"/>
          <w:lang w:val="en-US"/>
        </w:rPr>
        <w:t>questionable whether a change</w:t>
      </w:r>
      <w:r w:rsidR="00336912" w:rsidRPr="00394538">
        <w:rPr>
          <w:rFonts w:ascii="Arial" w:hAnsi="Arial" w:cs="Arial"/>
          <w:lang w:val="en-US"/>
        </w:rPr>
        <w:t xml:space="preserve"> in</w:t>
      </w:r>
      <w:r w:rsidRPr="00394538">
        <w:rPr>
          <w:rFonts w:ascii="Arial" w:hAnsi="Arial" w:cs="Arial"/>
          <w:lang w:val="en-US"/>
        </w:rPr>
        <w:t xml:space="preserve"> lifestyle and consumption pattern to the extent mentioned is realistic. In addition, in some members states technologies like </w:t>
      </w:r>
      <w:r w:rsidR="00B4074C" w:rsidRPr="00394538">
        <w:rPr>
          <w:rFonts w:ascii="Arial" w:hAnsi="Arial" w:cs="Arial"/>
          <w:lang w:val="en-US"/>
        </w:rPr>
        <w:t>BECCS/</w:t>
      </w:r>
      <w:r w:rsidRPr="00394538">
        <w:rPr>
          <w:rFonts w:ascii="Arial" w:hAnsi="Arial" w:cs="Arial"/>
          <w:lang w:val="en-US"/>
        </w:rPr>
        <w:t>CC</w:t>
      </w:r>
      <w:r w:rsidR="00B4074C" w:rsidRPr="00394538">
        <w:rPr>
          <w:rFonts w:ascii="Arial" w:hAnsi="Arial" w:cs="Arial"/>
          <w:lang w:val="en-US"/>
        </w:rPr>
        <w:t>U</w:t>
      </w:r>
      <w:r w:rsidRPr="00394538">
        <w:rPr>
          <w:rFonts w:ascii="Arial" w:hAnsi="Arial" w:cs="Arial"/>
          <w:lang w:val="en-US"/>
        </w:rPr>
        <w:t>S face fierce opposition from civil society. Awareness raising and information can capture and engage people,</w:t>
      </w:r>
      <w:r w:rsidR="00336912" w:rsidRPr="00394538">
        <w:rPr>
          <w:rFonts w:ascii="Arial" w:hAnsi="Arial" w:cs="Arial"/>
          <w:lang w:val="en-US"/>
        </w:rPr>
        <w:t xml:space="preserve"> whereas</w:t>
      </w:r>
      <w:r w:rsidRPr="00394538">
        <w:rPr>
          <w:rFonts w:ascii="Arial" w:hAnsi="Arial" w:cs="Arial"/>
          <w:lang w:val="en-US"/>
        </w:rPr>
        <w:t xml:space="preserve"> forced solutions </w:t>
      </w:r>
      <w:r w:rsidR="00B4074C" w:rsidRPr="00394538">
        <w:rPr>
          <w:rFonts w:ascii="Arial" w:hAnsi="Arial" w:cs="Arial"/>
          <w:lang w:val="en-US"/>
        </w:rPr>
        <w:t>can only</w:t>
      </w:r>
      <w:r w:rsidRPr="00394538">
        <w:rPr>
          <w:rFonts w:ascii="Arial" w:hAnsi="Arial" w:cs="Arial"/>
          <w:lang w:val="en-US"/>
        </w:rPr>
        <w:t xml:space="preserve"> be sustainable</w:t>
      </w:r>
      <w:r w:rsidR="00B4074C" w:rsidRPr="00394538">
        <w:rPr>
          <w:rFonts w:ascii="Arial" w:hAnsi="Arial" w:cs="Arial"/>
          <w:lang w:val="en-US"/>
        </w:rPr>
        <w:t xml:space="preserve"> where no alternative policy measures are available to achieve the desired outcome</w:t>
      </w:r>
      <w:r w:rsidR="00C70188" w:rsidRPr="00394538">
        <w:rPr>
          <w:rFonts w:ascii="Arial" w:hAnsi="Arial" w:cs="Arial"/>
          <w:lang w:val="en-US"/>
        </w:rPr>
        <w:t>. Otherwise</w:t>
      </w:r>
      <w:r w:rsidR="00B4074C" w:rsidRPr="00394538">
        <w:rPr>
          <w:rFonts w:ascii="Arial" w:hAnsi="Arial" w:cs="Arial"/>
          <w:lang w:val="en-US"/>
        </w:rPr>
        <w:t xml:space="preserve"> the economic effects will be detrimental to European welfare.</w:t>
      </w:r>
    </w:p>
    <w:p w14:paraId="3C0BD9CA" w14:textId="77777777" w:rsidR="00FC2549" w:rsidRPr="00394538" w:rsidRDefault="00FC2549" w:rsidP="00FC2549">
      <w:pPr>
        <w:spacing w:line="276" w:lineRule="auto"/>
        <w:jc w:val="both"/>
        <w:rPr>
          <w:rFonts w:ascii="Arial" w:hAnsi="Arial" w:cs="Arial"/>
          <w:lang w:val="en-US"/>
        </w:rPr>
      </w:pPr>
    </w:p>
    <w:p w14:paraId="2DAEF306" w14:textId="77777777" w:rsidR="00054EB0" w:rsidRPr="00F81354" w:rsidRDefault="0010647D" w:rsidP="00054EB0">
      <w:pPr>
        <w:spacing w:line="276" w:lineRule="auto"/>
        <w:jc w:val="both"/>
        <w:rPr>
          <w:rFonts w:ascii="Arial" w:hAnsi="Arial" w:cs="Arial"/>
          <w:b/>
          <w:lang w:val="en-GB"/>
        </w:rPr>
      </w:pPr>
      <w:r w:rsidRPr="00394538">
        <w:rPr>
          <w:rFonts w:ascii="Arial" w:hAnsi="Arial" w:cs="Arial"/>
          <w:b/>
          <w:lang w:val="en-US"/>
        </w:rPr>
        <w:t>In light of the above,</w:t>
      </w:r>
      <w:r w:rsidR="001C757A" w:rsidRPr="00394538">
        <w:rPr>
          <w:rFonts w:ascii="Arial" w:hAnsi="Arial" w:cs="Arial"/>
          <w:b/>
          <w:lang w:val="en-US"/>
        </w:rPr>
        <w:t xml:space="preserve"> </w:t>
      </w:r>
      <w:r w:rsidR="0053334D" w:rsidRPr="00F81354">
        <w:rPr>
          <w:rFonts w:ascii="Arial" w:hAnsi="Arial" w:cs="Arial"/>
          <w:b/>
          <w:lang w:val="en-GB"/>
        </w:rPr>
        <w:t xml:space="preserve">EUROCHAMBRES’ key recommendations for </w:t>
      </w:r>
      <w:r w:rsidR="003A0E75" w:rsidRPr="00F81354">
        <w:rPr>
          <w:rFonts w:ascii="Arial" w:hAnsi="Arial" w:cs="Arial"/>
          <w:b/>
          <w:lang w:val="en-GB"/>
        </w:rPr>
        <w:t xml:space="preserve">a successful implementation of the vision </w:t>
      </w:r>
      <w:r w:rsidR="0053334D" w:rsidRPr="00F81354">
        <w:rPr>
          <w:rFonts w:ascii="Arial" w:hAnsi="Arial" w:cs="Arial"/>
          <w:b/>
          <w:lang w:val="en-GB"/>
        </w:rPr>
        <w:t>are the following:</w:t>
      </w:r>
    </w:p>
    <w:p w14:paraId="2BAE0273" w14:textId="77777777" w:rsidR="000A5F15" w:rsidRPr="00054EB0" w:rsidRDefault="000502BB" w:rsidP="000502BB">
      <w:pPr>
        <w:pStyle w:val="Prrafodelista"/>
        <w:numPr>
          <w:ilvl w:val="0"/>
          <w:numId w:val="2"/>
        </w:numPr>
        <w:spacing w:line="276" w:lineRule="auto"/>
        <w:jc w:val="both"/>
        <w:rPr>
          <w:rFonts w:ascii="Arial" w:hAnsi="Arial" w:cs="Arial"/>
          <w:b/>
          <w:lang w:val="en-GB"/>
        </w:rPr>
      </w:pPr>
      <w:r w:rsidRPr="00054EB0">
        <w:rPr>
          <w:rFonts w:ascii="Arial" w:hAnsi="Arial" w:cs="Arial"/>
          <w:b/>
          <w:lang w:val="en-GB"/>
        </w:rPr>
        <w:t xml:space="preserve">Planning security is </w:t>
      </w:r>
      <w:r w:rsidR="007909D1" w:rsidRPr="00054EB0">
        <w:rPr>
          <w:rFonts w:ascii="Arial" w:hAnsi="Arial" w:cs="Arial"/>
          <w:b/>
          <w:lang w:val="en-GB"/>
        </w:rPr>
        <w:t>crucial for businesses</w:t>
      </w:r>
    </w:p>
    <w:p w14:paraId="4DA0C460" w14:textId="6D6C974A" w:rsidR="007909D1" w:rsidRPr="00394538" w:rsidRDefault="000502BB" w:rsidP="00105AB7">
      <w:pPr>
        <w:jc w:val="both"/>
        <w:rPr>
          <w:rFonts w:ascii="Arial" w:hAnsi="Arial" w:cs="Arial"/>
          <w:lang w:val="en-US"/>
        </w:rPr>
      </w:pPr>
      <w:r w:rsidRPr="00054EB0">
        <w:rPr>
          <w:rFonts w:ascii="Arial" w:hAnsi="Arial" w:cs="Arial"/>
          <w:lang w:val="en-GB"/>
        </w:rPr>
        <w:t>I</w:t>
      </w:r>
      <w:r w:rsidR="007909D1" w:rsidRPr="00054EB0">
        <w:rPr>
          <w:rFonts w:ascii="Arial" w:hAnsi="Arial" w:cs="Arial"/>
          <w:lang w:val="en-GB"/>
        </w:rPr>
        <w:t xml:space="preserve">n order for the economy to contribute </w:t>
      </w:r>
      <w:r w:rsidR="003742AC" w:rsidRPr="00394538">
        <w:rPr>
          <w:rFonts w:ascii="Arial" w:hAnsi="Arial" w:cs="Arial"/>
          <w:lang w:val="en-US"/>
        </w:rPr>
        <w:t>to</w:t>
      </w:r>
      <w:r w:rsidR="007909D1" w:rsidRPr="00054EB0">
        <w:rPr>
          <w:rFonts w:ascii="Arial" w:hAnsi="Arial" w:cs="Arial"/>
          <w:lang w:val="en-GB"/>
        </w:rPr>
        <w:t xml:space="preserve"> and benefit from the transition efforts, it</w:t>
      </w:r>
      <w:r w:rsidRPr="00054EB0">
        <w:rPr>
          <w:rFonts w:ascii="Arial" w:hAnsi="Arial" w:cs="Arial"/>
          <w:lang w:val="en-GB"/>
        </w:rPr>
        <w:t xml:space="preserve"> is of the highest importance to ensure planning security for businesses</w:t>
      </w:r>
      <w:r w:rsidR="00CA69A8" w:rsidRPr="00054EB0">
        <w:rPr>
          <w:rFonts w:ascii="Arial" w:hAnsi="Arial" w:cs="Arial"/>
          <w:lang w:val="en-GB"/>
        </w:rPr>
        <w:t>.</w:t>
      </w:r>
      <w:r w:rsidRPr="00054EB0">
        <w:rPr>
          <w:rFonts w:ascii="Arial" w:hAnsi="Arial" w:cs="Arial"/>
          <w:lang w:val="en-GB"/>
        </w:rPr>
        <w:t xml:space="preserve"> </w:t>
      </w:r>
      <w:r w:rsidR="00CA69A8" w:rsidRPr="00054EB0">
        <w:rPr>
          <w:rFonts w:ascii="Arial" w:hAnsi="Arial" w:cs="Arial"/>
          <w:lang w:val="en-GB"/>
        </w:rPr>
        <w:t>EUROCHAMBRES</w:t>
      </w:r>
      <w:r w:rsidRPr="00054EB0">
        <w:rPr>
          <w:rFonts w:ascii="Arial" w:hAnsi="Arial" w:cs="Arial"/>
          <w:lang w:val="en-GB"/>
        </w:rPr>
        <w:t xml:space="preserve"> therefore call the co-legislators to </w:t>
      </w:r>
      <w:r w:rsidR="003A0E75" w:rsidRPr="00054EB0">
        <w:rPr>
          <w:rFonts w:ascii="Arial" w:hAnsi="Arial" w:cs="Arial"/>
          <w:lang w:val="en-GB"/>
        </w:rPr>
        <w:t xml:space="preserve">define clear, long-term signals and to </w:t>
      </w:r>
      <w:r w:rsidRPr="00054EB0">
        <w:rPr>
          <w:rFonts w:ascii="Arial" w:hAnsi="Arial" w:cs="Arial"/>
          <w:lang w:val="en-GB"/>
        </w:rPr>
        <w:t xml:space="preserve">abstain from setting stricter decarbonisation objectives without proper and in-depth economic and ecologic impact assessment. </w:t>
      </w:r>
      <w:r w:rsidR="00CA69A8" w:rsidRPr="00054EB0">
        <w:rPr>
          <w:rFonts w:ascii="Arial" w:hAnsi="Arial" w:cs="Arial"/>
          <w:lang w:val="en-GB"/>
        </w:rPr>
        <w:t xml:space="preserve">We </w:t>
      </w:r>
      <w:r w:rsidR="00CC3222" w:rsidRPr="00394538">
        <w:rPr>
          <w:rFonts w:ascii="Arial" w:hAnsi="Arial" w:cs="Arial"/>
          <w:lang w:val="en-US"/>
        </w:rPr>
        <w:t xml:space="preserve">therefore </w:t>
      </w:r>
      <w:r w:rsidR="00CA69A8" w:rsidRPr="00054EB0">
        <w:rPr>
          <w:rFonts w:ascii="Arial" w:hAnsi="Arial" w:cs="Arial"/>
          <w:lang w:val="en-GB"/>
        </w:rPr>
        <w:t>appreciate that the</w:t>
      </w:r>
      <w:r w:rsidR="007909D1" w:rsidRPr="00054EB0">
        <w:rPr>
          <w:rFonts w:ascii="Arial" w:hAnsi="Arial" w:cs="Arial"/>
          <w:lang w:val="en-GB"/>
        </w:rPr>
        <w:t xml:space="preserve"> Commission does not intend to revise the 2030 targets in its long-term vision.</w:t>
      </w:r>
      <w:r w:rsidR="00CC3222" w:rsidRPr="00CC3222">
        <w:rPr>
          <w:rFonts w:ascii="Arial" w:hAnsi="Arial" w:cs="Arial"/>
          <w:lang w:val="en-GB"/>
        </w:rPr>
        <w:t xml:space="preserve"> </w:t>
      </w:r>
      <w:r w:rsidR="00CC3222">
        <w:rPr>
          <w:rFonts w:ascii="Arial" w:hAnsi="Arial" w:cs="Arial"/>
          <w:lang w:val="en-GB"/>
        </w:rPr>
        <w:t>Discussions should now focus on the framework conditions needed for the achievement of the already ambitious 2030 (-40%) and 2050 (-80%) EU targets.  Measures need to be based on proper and in-depth economic and ecologic impact assessment, taking into account the global context.</w:t>
      </w:r>
    </w:p>
    <w:p w14:paraId="2B9A8579" w14:textId="77777777" w:rsidR="007909D1" w:rsidRPr="00054EB0" w:rsidRDefault="007909D1" w:rsidP="007909D1">
      <w:pPr>
        <w:pStyle w:val="Prrafodelista"/>
        <w:numPr>
          <w:ilvl w:val="0"/>
          <w:numId w:val="2"/>
        </w:numPr>
        <w:spacing w:line="276" w:lineRule="auto"/>
        <w:jc w:val="both"/>
        <w:rPr>
          <w:rFonts w:ascii="Arial" w:hAnsi="Arial" w:cs="Arial"/>
          <w:b/>
          <w:lang w:val="en-GB"/>
        </w:rPr>
      </w:pPr>
      <w:r w:rsidRPr="00054EB0">
        <w:rPr>
          <w:rFonts w:ascii="Arial" w:hAnsi="Arial" w:cs="Arial"/>
          <w:b/>
          <w:lang w:val="en-GB"/>
        </w:rPr>
        <w:t>A successful transition needs the right investment framework</w:t>
      </w:r>
    </w:p>
    <w:p w14:paraId="14F68042" w14:textId="7AB7CAB4" w:rsidR="00FB4A6B" w:rsidRDefault="006E184C">
      <w:pPr>
        <w:spacing w:line="276" w:lineRule="auto"/>
        <w:jc w:val="both"/>
        <w:rPr>
          <w:rFonts w:ascii="Arial" w:hAnsi="Arial" w:cs="Arial"/>
          <w:lang w:val="en-GB"/>
        </w:rPr>
      </w:pPr>
      <w:r w:rsidRPr="00054EB0">
        <w:rPr>
          <w:rFonts w:ascii="Arial" w:hAnsi="Arial" w:cs="Arial"/>
          <w:lang w:val="en-GB"/>
        </w:rPr>
        <w:t>Modernisation and decarbonisation of the European economy needs substantial additional investment.</w:t>
      </w:r>
      <w:r w:rsidR="003A0E75" w:rsidRPr="00054EB0">
        <w:rPr>
          <w:rFonts w:ascii="Arial" w:hAnsi="Arial" w:cs="Arial"/>
          <w:lang w:val="en-GB"/>
        </w:rPr>
        <w:t xml:space="preserve"> Private investment has to be incentivised and equal access to finance for all types of companies and technologies has to be ensured. </w:t>
      </w:r>
      <w:r w:rsidR="00FA520A" w:rsidRPr="00394538">
        <w:rPr>
          <w:rFonts w:ascii="Arial" w:hAnsi="Arial" w:cs="Arial"/>
          <w:lang w:val="en-US"/>
        </w:rPr>
        <w:t xml:space="preserve">Chambers underline their support for an </w:t>
      </w:r>
      <w:r w:rsidR="00E25DE5" w:rsidRPr="00394538">
        <w:rPr>
          <w:rFonts w:ascii="Arial" w:hAnsi="Arial" w:cs="Arial"/>
          <w:lang w:val="en-US"/>
        </w:rPr>
        <w:t xml:space="preserve">enabling </w:t>
      </w:r>
      <w:r w:rsidR="00FA520A" w:rsidRPr="00394538">
        <w:rPr>
          <w:rFonts w:ascii="Arial" w:hAnsi="Arial" w:cs="Arial"/>
          <w:lang w:val="en-US"/>
        </w:rPr>
        <w:t xml:space="preserve">financial framework as opposed to a punishing one. </w:t>
      </w:r>
      <w:r w:rsidR="003A0E75" w:rsidRPr="00054EB0">
        <w:rPr>
          <w:rFonts w:ascii="Arial" w:hAnsi="Arial" w:cs="Arial"/>
          <w:lang w:val="en-GB"/>
        </w:rPr>
        <w:t xml:space="preserve">In addition, </w:t>
      </w:r>
      <w:r w:rsidR="00FA520A" w:rsidRPr="00394538">
        <w:rPr>
          <w:rFonts w:ascii="Arial" w:hAnsi="Arial" w:cs="Arial"/>
          <w:lang w:val="en-US"/>
        </w:rPr>
        <w:t>we</w:t>
      </w:r>
      <w:r w:rsidR="003A0E75" w:rsidRPr="00054EB0">
        <w:rPr>
          <w:rFonts w:ascii="Arial" w:hAnsi="Arial" w:cs="Arial"/>
          <w:lang w:val="en-GB"/>
        </w:rPr>
        <w:t xml:space="preserve"> underline that especially for SMEs the additional administrative burden must be kept at a minimum. </w:t>
      </w:r>
    </w:p>
    <w:p w14:paraId="48B8D350" w14:textId="29FEB77D" w:rsidR="00CC3222" w:rsidRPr="00105AB7" w:rsidRDefault="00CC3222" w:rsidP="00105AB7">
      <w:pPr>
        <w:pStyle w:val="Prrafodelista"/>
        <w:numPr>
          <w:ilvl w:val="0"/>
          <w:numId w:val="2"/>
        </w:numPr>
        <w:jc w:val="both"/>
        <w:rPr>
          <w:rFonts w:ascii="Arial" w:hAnsi="Arial" w:cs="Arial"/>
          <w:b/>
          <w:bCs/>
        </w:rPr>
      </w:pPr>
      <w:r w:rsidRPr="00105AB7">
        <w:rPr>
          <w:rFonts w:ascii="Arial" w:hAnsi="Arial" w:cs="Arial"/>
          <w:b/>
          <w:bCs/>
        </w:rPr>
        <w:t>Market principle must prevail</w:t>
      </w:r>
    </w:p>
    <w:p w14:paraId="77E846C3" w14:textId="1E1D8463" w:rsidR="00CC3222" w:rsidRPr="00394538" w:rsidRDefault="00CC3222" w:rsidP="00105AB7">
      <w:pPr>
        <w:jc w:val="both"/>
        <w:rPr>
          <w:rFonts w:ascii="Arial" w:hAnsi="Arial" w:cs="Arial"/>
          <w:lang w:val="en-US"/>
        </w:rPr>
      </w:pPr>
      <w:r w:rsidRPr="00394538">
        <w:rPr>
          <w:rFonts w:ascii="Arial" w:hAnsi="Arial" w:cs="Arial"/>
          <w:lang w:val="en-US"/>
        </w:rPr>
        <w:t>Given the right framework conditions, a free and competitive market ensures the most efficient resource allocation. The European and global energy and environment policy must rest upon market-based solutions.</w:t>
      </w:r>
      <w:r>
        <w:rPr>
          <w:rFonts w:ascii="Arial" w:hAnsi="Arial" w:cs="Arial"/>
          <w:lang w:val="en-GB"/>
        </w:rPr>
        <w:t xml:space="preserve"> The European Emissions Trading System is the central, market-based instrument of the EU to achieve its climate targets. The EU ETS should be further developed as a volume-based instrument, primarily without additional price regulation. </w:t>
      </w:r>
      <w:r w:rsidRPr="00394538">
        <w:rPr>
          <w:rFonts w:ascii="Arial" w:hAnsi="Arial" w:cs="Arial"/>
          <w:lang w:val="en-US"/>
        </w:rPr>
        <w:t>In addition, t</w:t>
      </w:r>
      <w:r>
        <w:rPr>
          <w:rFonts w:ascii="Arial" w:hAnsi="Arial" w:cs="Arial"/>
          <w:lang w:val="en-GB"/>
        </w:rPr>
        <w:t>he EU should strive to establish a global CO2 market to avoid any competitive disadvantage for European companies. Article 6 of the Paris Agreement should be operationalised as soon as possible.</w:t>
      </w:r>
      <w:r w:rsidRPr="00394538">
        <w:rPr>
          <w:rFonts w:ascii="Arial" w:hAnsi="Arial" w:cs="Arial"/>
          <w:lang w:val="en-US"/>
        </w:rPr>
        <w:t xml:space="preserve"> As for energy policy, the energy only market </w:t>
      </w:r>
      <w:r>
        <w:rPr>
          <w:rFonts w:ascii="Arial" w:hAnsi="Arial" w:cs="Arial"/>
          <w:lang w:val="en-GB"/>
        </w:rPr>
        <w:t>should be strengthened as the central pillar of the EU’s electricity market design. Capacity mechanisms should be a measure</w:t>
      </w:r>
      <w:r w:rsidRPr="00394538">
        <w:rPr>
          <w:rFonts w:ascii="Arial" w:hAnsi="Arial" w:cs="Arial"/>
          <w:lang w:val="en-US"/>
        </w:rPr>
        <w:t xml:space="preserve"> of</w:t>
      </w:r>
      <w:r>
        <w:rPr>
          <w:rFonts w:ascii="Arial" w:hAnsi="Arial" w:cs="Arial"/>
          <w:lang w:val="en-GB"/>
        </w:rPr>
        <w:t xml:space="preserve"> last resort, temporary and cross-border, as required by the new EU rules on market design.</w:t>
      </w:r>
      <w:r w:rsidRPr="00394538">
        <w:rPr>
          <w:rFonts w:ascii="Arial" w:hAnsi="Arial" w:cs="Arial"/>
          <w:lang w:val="en-US"/>
        </w:rPr>
        <w:t xml:space="preserve"> It’s the Commission’s role to effectively monitor transposition into national law of the member states.</w:t>
      </w:r>
    </w:p>
    <w:p w14:paraId="122B78F3" w14:textId="19B46398" w:rsidR="00FB4A6B" w:rsidRPr="00394538" w:rsidRDefault="00FB4A6B" w:rsidP="00CC3222">
      <w:pPr>
        <w:pStyle w:val="Prrafodelista"/>
        <w:numPr>
          <w:ilvl w:val="0"/>
          <w:numId w:val="2"/>
        </w:numPr>
        <w:spacing w:line="276" w:lineRule="auto"/>
        <w:jc w:val="both"/>
        <w:rPr>
          <w:rFonts w:ascii="Arial" w:hAnsi="Arial" w:cs="Arial"/>
          <w:b/>
          <w:lang w:val="en-US"/>
        </w:rPr>
      </w:pPr>
      <w:r w:rsidRPr="00394538">
        <w:rPr>
          <w:rFonts w:ascii="Arial" w:hAnsi="Arial" w:cs="Arial"/>
          <w:b/>
          <w:lang w:val="en-US"/>
        </w:rPr>
        <w:t>Win global partners on the road to 2050</w:t>
      </w:r>
    </w:p>
    <w:p w14:paraId="28CBBEF9" w14:textId="77777777" w:rsidR="00FB4A6B" w:rsidRPr="00394538" w:rsidRDefault="00FB4A6B" w:rsidP="00FB4A6B">
      <w:pPr>
        <w:spacing w:line="276" w:lineRule="auto"/>
        <w:jc w:val="both"/>
        <w:rPr>
          <w:rFonts w:ascii="Arial" w:hAnsi="Arial" w:cs="Arial"/>
          <w:lang w:val="en-US"/>
        </w:rPr>
      </w:pPr>
      <w:r w:rsidRPr="00394538">
        <w:rPr>
          <w:rFonts w:ascii="Arial" w:hAnsi="Arial" w:cs="Arial"/>
          <w:lang w:val="en-US"/>
        </w:rPr>
        <w:t xml:space="preserve">The EU affirms its leading role in the fight against the adverse impacts of climate change. The European business community is committed to contribute its fair share. Yet, EUROCHAMBRES are convinced that the successful transition to a decarbonised economy will only be possible in cooperation with global partners. The best way to get other world </w:t>
      </w:r>
      <w:r w:rsidRPr="00394538">
        <w:rPr>
          <w:rFonts w:ascii="Arial" w:hAnsi="Arial" w:cs="Arial"/>
          <w:lang w:val="en-US"/>
        </w:rPr>
        <w:lastRenderedPageBreak/>
        <w:t>regions on board for an ambitious climate and energy agenda for 2050 is to demonstrate the viability of a European sustainable business model. This will equally increase acceptance in society as a whole.</w:t>
      </w:r>
    </w:p>
    <w:p w14:paraId="1507BB46" w14:textId="52FEC94D" w:rsidR="003A0E75" w:rsidRPr="00CC3222" w:rsidRDefault="003A0E75" w:rsidP="00CC3222">
      <w:pPr>
        <w:pStyle w:val="Prrafodelista"/>
        <w:numPr>
          <w:ilvl w:val="0"/>
          <w:numId w:val="2"/>
        </w:numPr>
        <w:spacing w:line="276" w:lineRule="auto"/>
        <w:jc w:val="both"/>
        <w:rPr>
          <w:rFonts w:ascii="Arial" w:hAnsi="Arial" w:cs="Arial"/>
          <w:b/>
          <w:lang w:val="en-GB"/>
        </w:rPr>
      </w:pPr>
      <w:r w:rsidRPr="00CC3222">
        <w:rPr>
          <w:rFonts w:ascii="Arial" w:hAnsi="Arial" w:cs="Arial"/>
          <w:b/>
          <w:lang w:val="en-GB"/>
        </w:rPr>
        <w:t xml:space="preserve">Technology neutrality is key </w:t>
      </w:r>
    </w:p>
    <w:p w14:paraId="64A82F57" w14:textId="7C9C26CC" w:rsidR="003A0E75" w:rsidRDefault="00157395" w:rsidP="003A0E75">
      <w:pPr>
        <w:spacing w:line="276" w:lineRule="auto"/>
        <w:jc w:val="both"/>
        <w:rPr>
          <w:rFonts w:ascii="Arial" w:hAnsi="Arial" w:cs="Arial"/>
          <w:lang w:val="en-GB"/>
        </w:rPr>
      </w:pPr>
      <w:r w:rsidRPr="00394538">
        <w:rPr>
          <w:rFonts w:ascii="Arial" w:hAnsi="Arial" w:cs="Arial"/>
          <w:lang w:val="en-US"/>
        </w:rPr>
        <w:t>In addition to the right investment conditions, h</w:t>
      </w:r>
      <w:r w:rsidR="005319DF" w:rsidRPr="00054EB0">
        <w:rPr>
          <w:rFonts w:ascii="Arial" w:hAnsi="Arial" w:cs="Arial"/>
          <w:lang w:val="en-GB"/>
        </w:rPr>
        <w:t xml:space="preserve">uge research and development efforts will be necessary </w:t>
      </w:r>
      <w:r w:rsidR="003C6631" w:rsidRPr="00054EB0">
        <w:rPr>
          <w:rFonts w:ascii="Arial" w:hAnsi="Arial" w:cs="Arial"/>
          <w:lang w:val="en-GB"/>
        </w:rPr>
        <w:t xml:space="preserve">to </w:t>
      </w:r>
      <w:r w:rsidR="00DA25A7" w:rsidRPr="00054EB0">
        <w:rPr>
          <w:rFonts w:ascii="Arial" w:hAnsi="Arial" w:cs="Arial"/>
          <w:lang w:val="en-GB"/>
        </w:rPr>
        <w:t>enable the</w:t>
      </w:r>
      <w:r w:rsidR="003C6631" w:rsidRPr="00054EB0">
        <w:rPr>
          <w:rFonts w:ascii="Arial" w:hAnsi="Arial" w:cs="Arial"/>
          <w:lang w:val="en-GB"/>
        </w:rPr>
        <w:t xml:space="preserve"> EU economy to fully reap the benefits of its innovative potential. We therefore welcome the envisaged research and innovation agenda. Its implementation has to be a top priority of the next legislative term. </w:t>
      </w:r>
      <w:r w:rsidR="00DA25A7" w:rsidRPr="00054EB0">
        <w:rPr>
          <w:rFonts w:ascii="Arial" w:hAnsi="Arial" w:cs="Arial"/>
          <w:lang w:val="en-GB"/>
        </w:rPr>
        <w:t xml:space="preserve">In doing so and to ensure a successful ecological transition, technological pathways mustn’t be restricted. </w:t>
      </w:r>
      <w:r w:rsidR="00D1780A" w:rsidRPr="00054EB0">
        <w:rPr>
          <w:rFonts w:ascii="Arial" w:hAnsi="Arial" w:cs="Arial"/>
          <w:lang w:val="en-GB"/>
        </w:rPr>
        <w:t>At the moment it is difficult to assess which break-through-technologies will evolve, whether or not they will prevail and what they can contribute.</w:t>
      </w:r>
    </w:p>
    <w:p w14:paraId="232CFE50" w14:textId="77777777" w:rsidR="007951CD" w:rsidRPr="00394538" w:rsidRDefault="007951CD" w:rsidP="00CC3222">
      <w:pPr>
        <w:pStyle w:val="Prrafodelista"/>
        <w:numPr>
          <w:ilvl w:val="0"/>
          <w:numId w:val="2"/>
        </w:numPr>
        <w:spacing w:line="276" w:lineRule="auto"/>
        <w:jc w:val="both"/>
        <w:rPr>
          <w:rFonts w:ascii="Arial" w:hAnsi="Arial" w:cs="Arial"/>
          <w:b/>
          <w:lang w:val="en-US"/>
        </w:rPr>
      </w:pPr>
      <w:r w:rsidRPr="00394538">
        <w:rPr>
          <w:rFonts w:ascii="Arial" w:hAnsi="Arial" w:cs="Arial"/>
          <w:b/>
          <w:lang w:val="en-US"/>
        </w:rPr>
        <w:t>Create optimal conditions for uptake of technologies</w:t>
      </w:r>
    </w:p>
    <w:p w14:paraId="35E5ECC6" w14:textId="77777777" w:rsidR="00D5436B" w:rsidRPr="00394538" w:rsidRDefault="007951CD" w:rsidP="00D5436B">
      <w:pPr>
        <w:spacing w:line="276" w:lineRule="auto"/>
        <w:jc w:val="both"/>
        <w:rPr>
          <w:rFonts w:ascii="Arial" w:hAnsi="Arial" w:cs="Arial"/>
          <w:lang w:val="en-US"/>
        </w:rPr>
      </w:pPr>
      <w:r w:rsidRPr="00394538">
        <w:rPr>
          <w:rFonts w:ascii="Arial" w:hAnsi="Arial" w:cs="Arial"/>
          <w:lang w:val="en-US"/>
        </w:rPr>
        <w:t xml:space="preserve">In addition to ensuring a large variety of potential solutions, it is crucial to create encouraging market conditions for their wide-spread uptake. E.g. in the mobility sector, there is a number of alternative propulsion technologies, however their market penetration remains relatively low. Disadvantages </w:t>
      </w:r>
      <w:r w:rsidR="00B72C0B" w:rsidRPr="00394538">
        <w:rPr>
          <w:rFonts w:ascii="Arial" w:hAnsi="Arial" w:cs="Arial"/>
          <w:lang w:val="en-US"/>
        </w:rPr>
        <w:t xml:space="preserve">for alternative energy carriers </w:t>
      </w:r>
      <w:r w:rsidRPr="00394538">
        <w:rPr>
          <w:rFonts w:ascii="Arial" w:hAnsi="Arial" w:cs="Arial"/>
          <w:lang w:val="en-US"/>
        </w:rPr>
        <w:t>through taxation requirements and unjustified legislative restrictions have to be avoided.</w:t>
      </w:r>
    </w:p>
    <w:p w14:paraId="69FF18C1" w14:textId="2E99471A" w:rsidR="00D5436B" w:rsidRPr="00394538" w:rsidRDefault="00D5436B" w:rsidP="00105AB7">
      <w:pPr>
        <w:pStyle w:val="Prrafodelista"/>
        <w:numPr>
          <w:ilvl w:val="0"/>
          <w:numId w:val="2"/>
        </w:numPr>
        <w:spacing w:line="276" w:lineRule="auto"/>
        <w:jc w:val="both"/>
        <w:rPr>
          <w:rFonts w:ascii="Arial" w:hAnsi="Arial" w:cs="Arial"/>
          <w:lang w:val="en-US"/>
        </w:rPr>
      </w:pPr>
      <w:r w:rsidRPr="00105AB7">
        <w:rPr>
          <w:rFonts w:ascii="Arial" w:hAnsi="Arial" w:cs="Arial"/>
          <w:b/>
          <w:lang w:val="en-GB"/>
        </w:rPr>
        <w:t xml:space="preserve">Enable companies to access cost-competitive renewable energy </w:t>
      </w:r>
    </w:p>
    <w:p w14:paraId="43B93353" w14:textId="34343F47" w:rsidR="00D5436B" w:rsidRPr="00105AB7" w:rsidRDefault="00D5436B" w:rsidP="007951CD">
      <w:pPr>
        <w:spacing w:line="276" w:lineRule="auto"/>
        <w:jc w:val="both"/>
        <w:rPr>
          <w:rFonts w:ascii="Arial" w:hAnsi="Arial" w:cs="Arial"/>
          <w:lang w:val="en-GB"/>
        </w:rPr>
      </w:pPr>
      <w:r>
        <w:rPr>
          <w:rFonts w:ascii="Arial" w:hAnsi="Arial" w:cs="Arial"/>
          <w:lang w:val="en-GB"/>
        </w:rPr>
        <w:t xml:space="preserve">Renewable energy will play a central role in the EU’s future energy system, as shown by all scenarios elaborated by the Commission. It should therefore be a primary target of the EU to ensure its cost-competitive supply through market-driven deployment. Competitive energy markets are a key enabler, if they offer fair and equal opportunities for participation to all actors. The </w:t>
      </w:r>
      <w:r w:rsidRPr="00394538">
        <w:rPr>
          <w:rFonts w:ascii="Arial" w:hAnsi="Arial" w:cs="Arial"/>
          <w:lang w:val="en-US"/>
        </w:rPr>
        <w:t xml:space="preserve">improved </w:t>
      </w:r>
      <w:r>
        <w:rPr>
          <w:rFonts w:ascii="Arial" w:hAnsi="Arial" w:cs="Arial"/>
          <w:lang w:val="en-GB"/>
        </w:rPr>
        <w:t>regulatory framework for self-consumption</w:t>
      </w:r>
      <w:r w:rsidRPr="00394538">
        <w:rPr>
          <w:rFonts w:ascii="Arial" w:hAnsi="Arial" w:cs="Arial"/>
          <w:lang w:val="en-US"/>
        </w:rPr>
        <w:t xml:space="preserve">, including for instance the legislative upgrade of aggregators who facilitate the energy market participation for companies, </w:t>
      </w:r>
      <w:r>
        <w:rPr>
          <w:rFonts w:ascii="Arial" w:hAnsi="Arial" w:cs="Arial"/>
          <w:lang w:val="en-GB"/>
        </w:rPr>
        <w:t>needs to be enhanced</w:t>
      </w:r>
      <w:r w:rsidRPr="00394538">
        <w:rPr>
          <w:rFonts w:ascii="Arial" w:hAnsi="Arial" w:cs="Arial"/>
          <w:lang w:val="en-US"/>
        </w:rPr>
        <w:t>. This must be a key element</w:t>
      </w:r>
      <w:r>
        <w:rPr>
          <w:rFonts w:ascii="Arial" w:hAnsi="Arial" w:cs="Arial"/>
          <w:lang w:val="en-GB"/>
        </w:rPr>
        <w:t xml:space="preserve"> </w:t>
      </w:r>
      <w:r w:rsidRPr="00394538">
        <w:rPr>
          <w:rFonts w:ascii="Arial" w:hAnsi="Arial" w:cs="Arial"/>
          <w:lang w:val="en-US"/>
        </w:rPr>
        <w:t xml:space="preserve">of the </w:t>
      </w:r>
      <w:r>
        <w:rPr>
          <w:rFonts w:ascii="Arial" w:hAnsi="Arial" w:cs="Arial"/>
          <w:lang w:val="en-GB"/>
        </w:rPr>
        <w:t>Clean Energy for All Europeans Package</w:t>
      </w:r>
      <w:r w:rsidRPr="00394538">
        <w:rPr>
          <w:rFonts w:ascii="Arial" w:hAnsi="Arial" w:cs="Arial"/>
          <w:lang w:val="en-US"/>
        </w:rPr>
        <w:t>’s national</w:t>
      </w:r>
      <w:r>
        <w:rPr>
          <w:rFonts w:ascii="Arial" w:hAnsi="Arial" w:cs="Arial"/>
          <w:lang w:val="en-GB"/>
        </w:rPr>
        <w:t xml:space="preserve"> implementation.</w:t>
      </w:r>
    </w:p>
    <w:p w14:paraId="7A03A4E6" w14:textId="24AD0817" w:rsidR="009F380C" w:rsidRPr="00CC3222" w:rsidRDefault="009F380C" w:rsidP="00CC3222">
      <w:pPr>
        <w:pStyle w:val="Prrafodelista"/>
        <w:numPr>
          <w:ilvl w:val="0"/>
          <w:numId w:val="2"/>
        </w:numPr>
        <w:spacing w:line="276" w:lineRule="auto"/>
        <w:jc w:val="both"/>
        <w:rPr>
          <w:rFonts w:ascii="Arial" w:hAnsi="Arial" w:cs="Arial"/>
          <w:b/>
          <w:lang w:val="en-GB"/>
        </w:rPr>
      </w:pPr>
      <w:r w:rsidRPr="00CC3222">
        <w:rPr>
          <w:rFonts w:ascii="Arial" w:hAnsi="Arial" w:cs="Arial"/>
          <w:b/>
          <w:lang w:val="en-GB"/>
        </w:rPr>
        <w:t>Use the full potential of digitalisation</w:t>
      </w:r>
    </w:p>
    <w:p w14:paraId="78DA011D" w14:textId="77777777" w:rsidR="00DA52A5" w:rsidRPr="007951CD" w:rsidRDefault="009F380C" w:rsidP="00F1226D">
      <w:pPr>
        <w:spacing w:line="276" w:lineRule="auto"/>
        <w:jc w:val="both"/>
        <w:rPr>
          <w:rFonts w:ascii="Arial" w:hAnsi="Arial" w:cs="Arial"/>
          <w:lang w:val="en-GB"/>
        </w:rPr>
      </w:pPr>
      <w:r w:rsidRPr="00054EB0">
        <w:rPr>
          <w:rFonts w:ascii="Arial" w:hAnsi="Arial" w:cs="Arial"/>
          <w:lang w:val="en-GB"/>
        </w:rPr>
        <w:t xml:space="preserve">Flexibility of energy supply and demand and smart grid management will be necessary to further decarbonise the energy sector. Process-optimisation and sector-coupling will contribute to a low-carbon industry. Thanks to the innovation driven by digitalisation, such as Industry 4.0, new business models will arise and cost-efficiency of a number of </w:t>
      </w:r>
      <w:r w:rsidR="00AF65A5" w:rsidRPr="00054EB0">
        <w:rPr>
          <w:rFonts w:ascii="Arial" w:hAnsi="Arial" w:cs="Arial"/>
          <w:lang w:val="en-GB"/>
        </w:rPr>
        <w:t xml:space="preserve">key </w:t>
      </w:r>
      <w:r w:rsidRPr="00054EB0">
        <w:rPr>
          <w:rFonts w:ascii="Arial" w:hAnsi="Arial" w:cs="Arial"/>
          <w:lang w:val="en-GB"/>
        </w:rPr>
        <w:t>technologies will increase.</w:t>
      </w:r>
      <w:r w:rsidR="00AF65A5" w:rsidRPr="00054EB0">
        <w:rPr>
          <w:rFonts w:ascii="Arial" w:hAnsi="Arial" w:cs="Arial"/>
          <w:lang w:val="en-GB"/>
        </w:rPr>
        <w:t xml:space="preserve"> One of the top priorities of the next Commission must therefore be a globally competitive digital infrastructure.</w:t>
      </w:r>
    </w:p>
    <w:p w14:paraId="5E69B596" w14:textId="77777777" w:rsidR="001167E8" w:rsidRPr="00054EB0" w:rsidRDefault="001167E8" w:rsidP="00CC3222">
      <w:pPr>
        <w:pStyle w:val="Prrafodelista"/>
        <w:numPr>
          <w:ilvl w:val="0"/>
          <w:numId w:val="2"/>
        </w:numPr>
        <w:spacing w:line="276" w:lineRule="auto"/>
        <w:jc w:val="both"/>
        <w:rPr>
          <w:rFonts w:ascii="Arial" w:hAnsi="Arial" w:cs="Arial"/>
          <w:b/>
          <w:lang w:val="en-GB"/>
        </w:rPr>
      </w:pPr>
      <w:r w:rsidRPr="00054EB0">
        <w:rPr>
          <w:rFonts w:ascii="Arial" w:hAnsi="Arial" w:cs="Arial"/>
          <w:b/>
          <w:lang w:val="en-GB"/>
        </w:rPr>
        <w:t xml:space="preserve">Legal consistency and coherence </w:t>
      </w:r>
      <w:r w:rsidR="00054EB0" w:rsidRPr="00054EB0">
        <w:rPr>
          <w:rFonts w:ascii="Arial" w:hAnsi="Arial" w:cs="Arial"/>
          <w:b/>
          <w:lang w:val="en-GB"/>
        </w:rPr>
        <w:t>are</w:t>
      </w:r>
      <w:r w:rsidRPr="00054EB0">
        <w:rPr>
          <w:rFonts w:ascii="Arial" w:hAnsi="Arial" w:cs="Arial"/>
          <w:b/>
          <w:lang w:val="en-GB"/>
        </w:rPr>
        <w:t xml:space="preserve"> essential</w:t>
      </w:r>
    </w:p>
    <w:p w14:paraId="6E79D35B" w14:textId="293A0BBC" w:rsidR="00E449E7" w:rsidRPr="00394538" w:rsidRDefault="00054EB0">
      <w:pPr>
        <w:spacing w:line="276" w:lineRule="auto"/>
        <w:jc w:val="both"/>
        <w:rPr>
          <w:rFonts w:ascii="Arial" w:hAnsi="Arial" w:cs="Arial"/>
          <w:lang w:val="en-US"/>
        </w:rPr>
      </w:pPr>
      <w:r w:rsidRPr="00054EB0">
        <w:rPr>
          <w:rFonts w:ascii="Arial" w:hAnsi="Arial" w:cs="Arial"/>
          <w:lang w:val="en-GB"/>
        </w:rPr>
        <w:t>The Commission has to evaluate the National Energy and Climate Plans (NECPs), which will have to be submitted by the member states by the end of 2019, in a transparent</w:t>
      </w:r>
      <w:r w:rsidRPr="00394538">
        <w:rPr>
          <w:rFonts w:ascii="Arial" w:hAnsi="Arial" w:cs="Arial"/>
          <w:lang w:val="en-US"/>
        </w:rPr>
        <w:t xml:space="preserve"> and </w:t>
      </w:r>
      <w:r w:rsidRPr="00054EB0">
        <w:rPr>
          <w:rFonts w:ascii="Arial" w:hAnsi="Arial" w:cs="Arial"/>
          <w:lang w:val="en-GB"/>
        </w:rPr>
        <w:t>consistent</w:t>
      </w:r>
      <w:r w:rsidR="00462E4C" w:rsidRPr="00394538">
        <w:rPr>
          <w:rFonts w:ascii="Arial" w:hAnsi="Arial" w:cs="Arial"/>
          <w:lang w:val="en-US"/>
        </w:rPr>
        <w:t xml:space="preserve"> </w:t>
      </w:r>
      <w:r w:rsidRPr="00054EB0">
        <w:rPr>
          <w:rFonts w:ascii="Arial" w:hAnsi="Arial" w:cs="Arial"/>
          <w:lang w:val="en-GB"/>
        </w:rPr>
        <w:t xml:space="preserve">manner based on </w:t>
      </w:r>
      <w:r w:rsidRPr="00394538">
        <w:rPr>
          <w:rFonts w:ascii="Arial" w:hAnsi="Arial" w:cs="Arial"/>
          <w:lang w:val="en-US"/>
        </w:rPr>
        <w:t>common criteria</w:t>
      </w:r>
      <w:r w:rsidRPr="00054EB0">
        <w:rPr>
          <w:rFonts w:ascii="Arial" w:hAnsi="Arial" w:cs="Arial"/>
          <w:lang w:val="en-GB"/>
        </w:rPr>
        <w:t>.</w:t>
      </w:r>
      <w:r w:rsidRPr="00394538">
        <w:rPr>
          <w:rFonts w:ascii="Arial" w:hAnsi="Arial" w:cs="Arial"/>
          <w:lang w:val="en-US"/>
        </w:rPr>
        <w:t xml:space="preserve"> In order to preserve legal coherence, it also has to make sure that future legislative files are elaborated in a coherent framework, taking account of the numerous interdependencies of different dossiers.</w:t>
      </w:r>
      <w:r w:rsidR="001C757A" w:rsidRPr="00394538">
        <w:rPr>
          <w:rFonts w:ascii="Arial" w:hAnsi="Arial" w:cs="Arial"/>
          <w:lang w:val="en-US"/>
        </w:rPr>
        <w:t xml:space="preserve"> The agendas of climate, competitiveness and security of supply in terms of energy, raw materials and skilled labour have to be connected.</w:t>
      </w:r>
      <w:r w:rsidR="00B72C0B" w:rsidRPr="00394538">
        <w:rPr>
          <w:rFonts w:ascii="Arial" w:hAnsi="Arial" w:cs="Arial"/>
          <w:lang w:val="en-US"/>
        </w:rPr>
        <w:t xml:space="preserve"> Growth policy has to be adapted to the climate agenda, in particular it has to be </w:t>
      </w:r>
      <w:r w:rsidR="00DA52A5" w:rsidRPr="00394538">
        <w:rPr>
          <w:rFonts w:ascii="Arial" w:hAnsi="Arial" w:cs="Arial"/>
          <w:lang w:val="en-US"/>
        </w:rPr>
        <w:t>ensured that administrative and cost burden for European companies does not lead to a loss in global competitiveness.</w:t>
      </w:r>
    </w:p>
    <w:p w14:paraId="0DA4F497" w14:textId="36D1BD6A" w:rsidR="006D000A" w:rsidRPr="00105AB7" w:rsidRDefault="006D000A" w:rsidP="00105AB7">
      <w:pPr>
        <w:pStyle w:val="Prrafodelista"/>
        <w:numPr>
          <w:ilvl w:val="0"/>
          <w:numId w:val="2"/>
        </w:numPr>
        <w:spacing w:line="276" w:lineRule="auto"/>
        <w:jc w:val="both"/>
        <w:rPr>
          <w:rFonts w:ascii="Arial" w:hAnsi="Arial" w:cs="Arial"/>
          <w:b/>
          <w:lang w:val="en-GB"/>
        </w:rPr>
      </w:pPr>
      <w:r w:rsidRPr="00105AB7">
        <w:rPr>
          <w:rFonts w:ascii="Arial" w:hAnsi="Arial" w:cs="Arial"/>
          <w:b/>
          <w:lang w:val="en-GB"/>
        </w:rPr>
        <w:t xml:space="preserve">Carbon leakage protection needs to be guaranteed </w:t>
      </w:r>
    </w:p>
    <w:p w14:paraId="0C47FD5B" w14:textId="77777777" w:rsidR="006D000A" w:rsidRDefault="006D000A" w:rsidP="006D000A">
      <w:pPr>
        <w:spacing w:line="276" w:lineRule="auto"/>
        <w:jc w:val="both"/>
        <w:rPr>
          <w:rFonts w:ascii="Arial" w:hAnsi="Arial" w:cs="Arial"/>
          <w:lang w:val="en-GB"/>
        </w:rPr>
      </w:pPr>
      <w:r>
        <w:rPr>
          <w:rFonts w:ascii="Arial" w:hAnsi="Arial" w:cs="Arial"/>
          <w:lang w:val="en-GB"/>
        </w:rPr>
        <w:t xml:space="preserve">The issue of carbon leakage is not sufficiently addressed in the Commission’s long-term strategy. </w:t>
      </w:r>
    </w:p>
    <w:p w14:paraId="40CF3DE3" w14:textId="77777777" w:rsidR="006D000A" w:rsidRDefault="006D000A" w:rsidP="006D000A">
      <w:pPr>
        <w:spacing w:line="276" w:lineRule="auto"/>
        <w:jc w:val="both"/>
        <w:rPr>
          <w:rFonts w:ascii="Arial" w:hAnsi="Arial" w:cs="Arial"/>
          <w:lang w:val="en-GB"/>
        </w:rPr>
      </w:pPr>
      <w:r>
        <w:rPr>
          <w:rFonts w:ascii="Arial" w:hAnsi="Arial" w:cs="Arial"/>
          <w:lang w:val="en-GB"/>
        </w:rPr>
        <w:t xml:space="preserve">The Paris agreement is a diplomatic success, but it is far from being a guarantee for ambitious climate-action world-wide. Many countries outside the EU have not underpinned their target promises in their nationally determined contributions (NDC) with concrete policies.  Consequently, the significance of effective carbon leakage protection for EU companies is expected to increase in the light of continuously ambitious targets and effective policies in Europe. Carbon leakage prevention mechanisms in the EU emission trading system need to be maintained and potentially even strengthened. The revision of the guidelines on state aid for environmental protection and energy should also aim at strengthening the competitiveness of European companies, in particular the energy-intensive industry. </w:t>
      </w:r>
    </w:p>
    <w:p w14:paraId="32E1073D" w14:textId="4CFE6160" w:rsidR="006D000A" w:rsidRPr="00105AB7" w:rsidRDefault="006D000A">
      <w:pPr>
        <w:spacing w:line="276" w:lineRule="auto"/>
        <w:jc w:val="both"/>
        <w:rPr>
          <w:rFonts w:ascii="Arial" w:hAnsi="Arial" w:cs="Arial"/>
          <w:lang w:val="en-GB"/>
        </w:rPr>
      </w:pPr>
      <w:r>
        <w:rPr>
          <w:rFonts w:ascii="Arial" w:hAnsi="Arial" w:cs="Arial"/>
          <w:lang w:val="en-GB"/>
        </w:rPr>
        <w:t>Trade-restrictive measures such as border tax adjustment</w:t>
      </w:r>
      <w:r>
        <w:rPr>
          <w:lang w:val="en-GB"/>
        </w:rPr>
        <w:t xml:space="preserve"> </w:t>
      </w:r>
      <w:r>
        <w:rPr>
          <w:rFonts w:ascii="Arial" w:hAnsi="Arial" w:cs="Arial"/>
          <w:lang w:val="en-GB"/>
        </w:rPr>
        <w:t>bear the risk of being abused as vehicles for protectionism. The EU should remain entirely committed to a rules-based and free world trade system. European companies make a big contribution to the global fight against climate change with exports of technologies and services reducing the climate impact of businesses, public authorities and households.</w:t>
      </w:r>
    </w:p>
    <w:p w14:paraId="3074685B" w14:textId="77777777" w:rsidR="00BF581B" w:rsidRPr="00394538" w:rsidRDefault="00BF581B" w:rsidP="00CC3222">
      <w:pPr>
        <w:pStyle w:val="Prrafodelista"/>
        <w:numPr>
          <w:ilvl w:val="0"/>
          <w:numId w:val="2"/>
        </w:numPr>
        <w:spacing w:line="276" w:lineRule="auto"/>
        <w:jc w:val="both"/>
        <w:rPr>
          <w:rFonts w:ascii="Arial" w:hAnsi="Arial" w:cs="Arial"/>
          <w:b/>
          <w:lang w:val="en-US"/>
        </w:rPr>
      </w:pPr>
      <w:r w:rsidRPr="00394538">
        <w:rPr>
          <w:rFonts w:ascii="Arial" w:hAnsi="Arial" w:cs="Arial"/>
          <w:b/>
          <w:lang w:val="en-US"/>
        </w:rPr>
        <w:t>Climate and Industrial Policy have to be aligned</w:t>
      </w:r>
    </w:p>
    <w:p w14:paraId="0F838432" w14:textId="6537F11B" w:rsidR="00FC2549" w:rsidRPr="00394538" w:rsidRDefault="00BF581B">
      <w:pPr>
        <w:spacing w:line="276" w:lineRule="auto"/>
        <w:jc w:val="both"/>
        <w:rPr>
          <w:lang w:val="en-US"/>
        </w:rPr>
      </w:pPr>
      <w:r w:rsidRPr="00394538">
        <w:rPr>
          <w:rFonts w:ascii="Arial" w:hAnsi="Arial" w:cs="Arial"/>
          <w:lang w:val="en-US"/>
        </w:rPr>
        <w:t>The European industry is the engine of the ecological transition. Energy infrastructure, secure and affordable access to energy, sustainable access to raw materials, the right set of labour skills, an enabling investment framework and last but not least an ambitious innovation agenda play a crucial role in its competitiveness. The EU’s future industrial strategy must be based on a thorough analysis of sectorial value chains and must go hand in hand with the climate vision.</w:t>
      </w:r>
      <w:bookmarkEnd w:id="0"/>
    </w:p>
    <w:sectPr w:rsidR="00FC2549" w:rsidRPr="0039453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A692C6" w14:textId="77777777" w:rsidR="008D6137" w:rsidRDefault="008D6137" w:rsidP="008D6137">
      <w:pPr>
        <w:spacing w:after="0" w:line="240" w:lineRule="auto"/>
      </w:pPr>
      <w:r>
        <w:separator/>
      </w:r>
    </w:p>
  </w:endnote>
  <w:endnote w:type="continuationSeparator" w:id="0">
    <w:p w14:paraId="287DBD47" w14:textId="77777777" w:rsidR="008D6137" w:rsidRDefault="008D6137" w:rsidP="008D6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8763323"/>
      <w:docPartObj>
        <w:docPartGallery w:val="Page Numbers (Bottom of Page)"/>
        <w:docPartUnique/>
      </w:docPartObj>
    </w:sdtPr>
    <w:sdtEndPr>
      <w:rPr>
        <w:noProof/>
        <w:sz w:val="20"/>
      </w:rPr>
    </w:sdtEndPr>
    <w:sdtContent>
      <w:p w14:paraId="53A85857" w14:textId="3A209028" w:rsidR="008D6137" w:rsidRPr="008D6137" w:rsidRDefault="008D6137">
        <w:pPr>
          <w:pStyle w:val="Piedepgina"/>
          <w:jc w:val="right"/>
          <w:rPr>
            <w:sz w:val="20"/>
          </w:rPr>
        </w:pPr>
        <w:r w:rsidRPr="008D6137">
          <w:rPr>
            <w:sz w:val="20"/>
          </w:rPr>
          <w:fldChar w:fldCharType="begin"/>
        </w:r>
        <w:r w:rsidRPr="008D6137">
          <w:rPr>
            <w:sz w:val="20"/>
          </w:rPr>
          <w:instrText xml:space="preserve"> PAGE   \* MERGEFORMAT </w:instrText>
        </w:r>
        <w:r w:rsidRPr="008D6137">
          <w:rPr>
            <w:sz w:val="20"/>
          </w:rPr>
          <w:fldChar w:fldCharType="separate"/>
        </w:r>
        <w:r w:rsidR="00394538">
          <w:rPr>
            <w:noProof/>
            <w:sz w:val="20"/>
          </w:rPr>
          <w:t>3</w:t>
        </w:r>
        <w:r w:rsidRPr="008D6137">
          <w:rPr>
            <w:noProof/>
            <w:sz w:val="20"/>
          </w:rPr>
          <w:fldChar w:fldCharType="end"/>
        </w:r>
      </w:p>
    </w:sdtContent>
  </w:sdt>
  <w:p w14:paraId="7C51D9CB" w14:textId="77777777" w:rsidR="008D6137" w:rsidRPr="00394538" w:rsidRDefault="00FC2549" w:rsidP="00FC2549">
    <w:pPr>
      <w:pStyle w:val="Piedepgina"/>
      <w:jc w:val="center"/>
      <w:rPr>
        <w:b/>
        <w:color w:val="595959" w:themeColor="text1" w:themeTint="A6"/>
        <w:lang w:val="en-US"/>
      </w:rPr>
    </w:pPr>
    <w:r w:rsidRPr="00394538">
      <w:rPr>
        <w:b/>
        <w:color w:val="595959" w:themeColor="text1" w:themeTint="A6"/>
        <w:lang w:val="en-US"/>
      </w:rPr>
      <w:t>DRAFT Position Paper Long-term Climate Strategy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C4C1F3" w14:textId="77777777" w:rsidR="008D6137" w:rsidRDefault="008D6137" w:rsidP="008D6137">
      <w:pPr>
        <w:spacing w:after="0" w:line="240" w:lineRule="auto"/>
      </w:pPr>
      <w:r>
        <w:separator/>
      </w:r>
    </w:p>
  </w:footnote>
  <w:footnote w:type="continuationSeparator" w:id="0">
    <w:p w14:paraId="535860F8" w14:textId="77777777" w:rsidR="008D6137" w:rsidRDefault="008D6137" w:rsidP="008D61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B5DAD" w14:textId="7BDFF674" w:rsidR="00FC2549" w:rsidRPr="00FC2549" w:rsidRDefault="00394538">
    <w:pPr>
      <w:pStyle w:val="Encabezado"/>
      <w:rPr>
        <w:rFonts w:ascii="Arial" w:hAnsi="Arial" w:cs="Arial"/>
        <w:sz w:val="20"/>
      </w:rPr>
    </w:pPr>
    <w:hyperlink r:id="rId1" w:history="1">
      <w:r w:rsidR="00FC2549" w:rsidRPr="00FC2549">
        <w:rPr>
          <w:rStyle w:val="Hipervnculo"/>
          <w:rFonts w:ascii="Arial" w:hAnsi="Arial" w:cs="Arial"/>
          <w:sz w:val="20"/>
        </w:rPr>
        <w:t>rosenmayr@eurochambres.eu</w:t>
      </w:r>
    </w:hyperlink>
    <w:r w:rsidR="00FC2549" w:rsidRPr="00FC2549">
      <w:rPr>
        <w:rFonts w:ascii="Arial" w:hAnsi="Arial" w:cs="Arial"/>
        <w:sz w:val="20"/>
      </w:rPr>
      <w:tab/>
    </w:r>
    <w:r w:rsidR="00FC2549" w:rsidRPr="00E449E7">
      <w:rPr>
        <w:rFonts w:ascii="Arial" w:hAnsi="Arial" w:cs="Arial"/>
        <w:b/>
        <w:color w:val="595959" w:themeColor="text1" w:themeTint="A6"/>
        <w:sz w:val="20"/>
      </w:rPr>
      <w:t>DRAFT</w:t>
    </w:r>
    <w:r w:rsidR="00FC2549" w:rsidRPr="00FC2549">
      <w:rPr>
        <w:rFonts w:ascii="Arial" w:hAnsi="Arial" w:cs="Arial"/>
        <w:sz w:val="20"/>
      </w:rPr>
      <w:tab/>
    </w:r>
    <w:r w:rsidR="00CC3222">
      <w:rPr>
        <w:rFonts w:ascii="Arial" w:hAnsi="Arial" w:cs="Arial"/>
        <w:sz w:val="20"/>
      </w:rPr>
      <w:t>2</w:t>
    </w:r>
    <w:r w:rsidR="003476E6">
      <w:rPr>
        <w:rFonts w:ascii="Arial" w:hAnsi="Arial" w:cs="Arial"/>
        <w:sz w:val="20"/>
      </w:rPr>
      <w:t>4</w:t>
    </w:r>
    <w:r w:rsidR="00FC2549" w:rsidRPr="00FC2549">
      <w:rPr>
        <w:rFonts w:ascii="Arial" w:hAnsi="Arial" w:cs="Arial"/>
        <w:sz w:val="20"/>
      </w:rPr>
      <w:t>/0</w:t>
    </w:r>
    <w:r w:rsidR="00CC3222">
      <w:rPr>
        <w:rFonts w:ascii="Arial" w:hAnsi="Arial" w:cs="Arial"/>
        <w:sz w:val="20"/>
      </w:rPr>
      <w:t>6</w:t>
    </w:r>
    <w:r w:rsidR="00FC2549" w:rsidRPr="00FC2549">
      <w:rPr>
        <w:rFonts w:ascii="Arial" w:hAnsi="Arial" w:cs="Arial"/>
        <w:sz w:val="20"/>
      </w:rP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A66424"/>
    <w:multiLevelType w:val="hybridMultilevel"/>
    <w:tmpl w:val="A808CE7C"/>
    <w:lvl w:ilvl="0" w:tplc="2932CDF6">
      <w:start w:val="1"/>
      <w:numFmt w:val="decimal"/>
      <w:lvlText w:val="%1."/>
      <w:lvlJc w:val="left"/>
      <w:pPr>
        <w:ind w:left="720" w:hanging="360"/>
      </w:pPr>
      <w:rPr>
        <w:b/>
        <w:i w:val="0"/>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15:restartNumberingAfterBreak="0">
    <w:nsid w:val="37A1494E"/>
    <w:multiLevelType w:val="hybridMultilevel"/>
    <w:tmpl w:val="00C28136"/>
    <w:lvl w:ilvl="0" w:tplc="E4C60166">
      <w:start w:val="4"/>
      <w:numFmt w:val="bullet"/>
      <w:lvlText w:val=""/>
      <w:lvlJc w:val="left"/>
      <w:pPr>
        <w:ind w:left="720" w:hanging="360"/>
      </w:pPr>
      <w:rPr>
        <w:rFonts w:ascii="Wingdings" w:eastAsiaTheme="minorHAnsi" w:hAnsi="Wingdings"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7E344AB"/>
    <w:multiLevelType w:val="hybridMultilevel"/>
    <w:tmpl w:val="7FBA72B6"/>
    <w:lvl w:ilvl="0" w:tplc="2932CDF6">
      <w:start w:val="1"/>
      <w:numFmt w:val="decimal"/>
      <w:lvlText w:val="%1."/>
      <w:lvlJc w:val="left"/>
      <w:pPr>
        <w:ind w:left="720" w:hanging="360"/>
      </w:pPr>
      <w:rPr>
        <w:rFonts w:hint="default"/>
        <w:b/>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AC51D57"/>
    <w:multiLevelType w:val="hybridMultilevel"/>
    <w:tmpl w:val="152A451A"/>
    <w:lvl w:ilvl="0" w:tplc="742A0892">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6F3E70E5"/>
    <w:multiLevelType w:val="hybridMultilevel"/>
    <w:tmpl w:val="7FBA72B6"/>
    <w:lvl w:ilvl="0" w:tplc="2932CDF6">
      <w:start w:val="1"/>
      <w:numFmt w:val="decimal"/>
      <w:lvlText w:val="%1."/>
      <w:lvlJc w:val="left"/>
      <w:pPr>
        <w:ind w:left="720" w:hanging="360"/>
      </w:pPr>
      <w:rPr>
        <w:rFonts w:hint="default"/>
        <w:b/>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3F7"/>
    <w:rsid w:val="00003313"/>
    <w:rsid w:val="00042972"/>
    <w:rsid w:val="000502BB"/>
    <w:rsid w:val="00054EB0"/>
    <w:rsid w:val="000A5F15"/>
    <w:rsid w:val="000B3DC7"/>
    <w:rsid w:val="000D68E8"/>
    <w:rsid w:val="00105AB7"/>
    <w:rsid w:val="0010647D"/>
    <w:rsid w:val="001167E8"/>
    <w:rsid w:val="001571B1"/>
    <w:rsid w:val="00157395"/>
    <w:rsid w:val="001C757A"/>
    <w:rsid w:val="0028176E"/>
    <w:rsid w:val="00291833"/>
    <w:rsid w:val="00336912"/>
    <w:rsid w:val="003476E6"/>
    <w:rsid w:val="003742AC"/>
    <w:rsid w:val="00392490"/>
    <w:rsid w:val="00394538"/>
    <w:rsid w:val="003A0E75"/>
    <w:rsid w:val="003C6631"/>
    <w:rsid w:val="00450DED"/>
    <w:rsid w:val="00462E4C"/>
    <w:rsid w:val="00474CCD"/>
    <w:rsid w:val="004C25E5"/>
    <w:rsid w:val="005319DF"/>
    <w:rsid w:val="0053334D"/>
    <w:rsid w:val="00571E43"/>
    <w:rsid w:val="005F067A"/>
    <w:rsid w:val="006C7081"/>
    <w:rsid w:val="006D000A"/>
    <w:rsid w:val="006E184C"/>
    <w:rsid w:val="0073035A"/>
    <w:rsid w:val="007379CD"/>
    <w:rsid w:val="007523F7"/>
    <w:rsid w:val="00767808"/>
    <w:rsid w:val="007909D1"/>
    <w:rsid w:val="007951CD"/>
    <w:rsid w:val="007A6093"/>
    <w:rsid w:val="007C3083"/>
    <w:rsid w:val="00884CBE"/>
    <w:rsid w:val="008D6137"/>
    <w:rsid w:val="00925A56"/>
    <w:rsid w:val="00944A37"/>
    <w:rsid w:val="009A0C74"/>
    <w:rsid w:val="009C2E79"/>
    <w:rsid w:val="009F380C"/>
    <w:rsid w:val="00A175C9"/>
    <w:rsid w:val="00A2572C"/>
    <w:rsid w:val="00A42004"/>
    <w:rsid w:val="00A830A1"/>
    <w:rsid w:val="00AA1BBC"/>
    <w:rsid w:val="00AE576F"/>
    <w:rsid w:val="00AF65A5"/>
    <w:rsid w:val="00B232E3"/>
    <w:rsid w:val="00B4074C"/>
    <w:rsid w:val="00B561A1"/>
    <w:rsid w:val="00B63F3E"/>
    <w:rsid w:val="00B72C0B"/>
    <w:rsid w:val="00B947F8"/>
    <w:rsid w:val="00BE2175"/>
    <w:rsid w:val="00BF581B"/>
    <w:rsid w:val="00C41DBD"/>
    <w:rsid w:val="00C70188"/>
    <w:rsid w:val="00C950F1"/>
    <w:rsid w:val="00CA6180"/>
    <w:rsid w:val="00CA69A8"/>
    <w:rsid w:val="00CC0A71"/>
    <w:rsid w:val="00CC3222"/>
    <w:rsid w:val="00CD65F5"/>
    <w:rsid w:val="00D1780A"/>
    <w:rsid w:val="00D5436B"/>
    <w:rsid w:val="00D95023"/>
    <w:rsid w:val="00DA23AE"/>
    <w:rsid w:val="00DA25A7"/>
    <w:rsid w:val="00DA52A5"/>
    <w:rsid w:val="00E25DE5"/>
    <w:rsid w:val="00E449E7"/>
    <w:rsid w:val="00E82726"/>
    <w:rsid w:val="00EB7A99"/>
    <w:rsid w:val="00F11987"/>
    <w:rsid w:val="00F1226D"/>
    <w:rsid w:val="00F4781D"/>
    <w:rsid w:val="00F6694C"/>
    <w:rsid w:val="00F81354"/>
    <w:rsid w:val="00FA520A"/>
    <w:rsid w:val="00FB4A6B"/>
    <w:rsid w:val="00FC25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1447F7E"/>
  <w15:chartTrackingRefBased/>
  <w15:docId w15:val="{614ED05E-DDCF-4B50-9DAA-032703AC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523F7"/>
    <w:pPr>
      <w:ind w:left="720"/>
      <w:contextualSpacing/>
    </w:pPr>
  </w:style>
  <w:style w:type="paragraph" w:styleId="Textodeglobo">
    <w:name w:val="Balloon Text"/>
    <w:basedOn w:val="Normal"/>
    <w:link w:val="TextodegloboCar"/>
    <w:uiPriority w:val="99"/>
    <w:semiHidden/>
    <w:unhideWhenUsed/>
    <w:rsid w:val="00F1198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1987"/>
    <w:rPr>
      <w:rFonts w:ascii="Segoe UI" w:hAnsi="Segoe UI" w:cs="Segoe UI"/>
      <w:sz w:val="18"/>
      <w:szCs w:val="18"/>
    </w:rPr>
  </w:style>
  <w:style w:type="paragraph" w:styleId="Encabezado">
    <w:name w:val="header"/>
    <w:basedOn w:val="Normal"/>
    <w:link w:val="EncabezadoCar"/>
    <w:uiPriority w:val="99"/>
    <w:unhideWhenUsed/>
    <w:rsid w:val="008D6137"/>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8D6137"/>
  </w:style>
  <w:style w:type="paragraph" w:styleId="Piedepgina">
    <w:name w:val="footer"/>
    <w:basedOn w:val="Normal"/>
    <w:link w:val="PiedepginaCar"/>
    <w:uiPriority w:val="99"/>
    <w:unhideWhenUsed/>
    <w:rsid w:val="008D6137"/>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8D6137"/>
  </w:style>
  <w:style w:type="character" w:styleId="Hipervnculo">
    <w:name w:val="Hyperlink"/>
    <w:basedOn w:val="Fuentedeprrafopredeter"/>
    <w:uiPriority w:val="99"/>
    <w:unhideWhenUsed/>
    <w:rsid w:val="00FC2549"/>
    <w:rPr>
      <w:color w:val="0563C1" w:themeColor="hyperlink"/>
      <w:u w:val="single"/>
    </w:rPr>
  </w:style>
  <w:style w:type="character" w:customStyle="1" w:styleId="UnresolvedMention">
    <w:name w:val="Unresolved Mention"/>
    <w:basedOn w:val="Fuentedeprrafopredeter"/>
    <w:uiPriority w:val="99"/>
    <w:semiHidden/>
    <w:unhideWhenUsed/>
    <w:rsid w:val="00FC2549"/>
    <w:rPr>
      <w:color w:val="605E5C"/>
      <w:shd w:val="clear" w:color="auto" w:fill="E1DFDD"/>
    </w:rPr>
  </w:style>
  <w:style w:type="character" w:styleId="Refdecomentario">
    <w:name w:val="annotation reference"/>
    <w:basedOn w:val="Fuentedeprrafopredeter"/>
    <w:uiPriority w:val="99"/>
    <w:semiHidden/>
    <w:unhideWhenUsed/>
    <w:rsid w:val="00B63F3E"/>
    <w:rPr>
      <w:sz w:val="16"/>
      <w:szCs w:val="16"/>
    </w:rPr>
  </w:style>
  <w:style w:type="paragraph" w:styleId="Textocomentario">
    <w:name w:val="annotation text"/>
    <w:basedOn w:val="Normal"/>
    <w:link w:val="TextocomentarioCar"/>
    <w:uiPriority w:val="99"/>
    <w:semiHidden/>
    <w:unhideWhenUsed/>
    <w:rsid w:val="00B63F3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63F3E"/>
    <w:rPr>
      <w:sz w:val="20"/>
      <w:szCs w:val="20"/>
    </w:rPr>
  </w:style>
  <w:style w:type="paragraph" w:styleId="Asuntodelcomentario">
    <w:name w:val="annotation subject"/>
    <w:basedOn w:val="Textocomentario"/>
    <w:next w:val="Textocomentario"/>
    <w:link w:val="AsuntodelcomentarioCar"/>
    <w:uiPriority w:val="99"/>
    <w:semiHidden/>
    <w:unhideWhenUsed/>
    <w:rsid w:val="00B63F3E"/>
    <w:rPr>
      <w:b/>
      <w:bCs/>
    </w:rPr>
  </w:style>
  <w:style w:type="character" w:customStyle="1" w:styleId="AsuntodelcomentarioCar">
    <w:name w:val="Asunto del comentario Car"/>
    <w:basedOn w:val="TextocomentarioCar"/>
    <w:link w:val="Asuntodelcomentario"/>
    <w:uiPriority w:val="99"/>
    <w:semiHidden/>
    <w:rsid w:val="00B63F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893876">
      <w:bodyDiv w:val="1"/>
      <w:marLeft w:val="0"/>
      <w:marRight w:val="0"/>
      <w:marTop w:val="0"/>
      <w:marBottom w:val="0"/>
      <w:divBdr>
        <w:top w:val="none" w:sz="0" w:space="0" w:color="auto"/>
        <w:left w:val="none" w:sz="0" w:space="0" w:color="auto"/>
        <w:bottom w:val="none" w:sz="0" w:space="0" w:color="auto"/>
        <w:right w:val="none" w:sz="0" w:space="0" w:color="auto"/>
      </w:divBdr>
    </w:div>
    <w:div w:id="285165022">
      <w:bodyDiv w:val="1"/>
      <w:marLeft w:val="0"/>
      <w:marRight w:val="0"/>
      <w:marTop w:val="0"/>
      <w:marBottom w:val="0"/>
      <w:divBdr>
        <w:top w:val="none" w:sz="0" w:space="0" w:color="auto"/>
        <w:left w:val="none" w:sz="0" w:space="0" w:color="auto"/>
        <w:bottom w:val="none" w:sz="0" w:space="0" w:color="auto"/>
        <w:right w:val="none" w:sz="0" w:space="0" w:color="auto"/>
      </w:divBdr>
    </w:div>
    <w:div w:id="515072991">
      <w:bodyDiv w:val="1"/>
      <w:marLeft w:val="0"/>
      <w:marRight w:val="0"/>
      <w:marTop w:val="0"/>
      <w:marBottom w:val="0"/>
      <w:divBdr>
        <w:top w:val="none" w:sz="0" w:space="0" w:color="auto"/>
        <w:left w:val="none" w:sz="0" w:space="0" w:color="auto"/>
        <w:bottom w:val="none" w:sz="0" w:space="0" w:color="auto"/>
        <w:right w:val="none" w:sz="0" w:space="0" w:color="auto"/>
      </w:divBdr>
    </w:div>
    <w:div w:id="754401226">
      <w:bodyDiv w:val="1"/>
      <w:marLeft w:val="0"/>
      <w:marRight w:val="0"/>
      <w:marTop w:val="0"/>
      <w:marBottom w:val="0"/>
      <w:divBdr>
        <w:top w:val="none" w:sz="0" w:space="0" w:color="auto"/>
        <w:left w:val="none" w:sz="0" w:space="0" w:color="auto"/>
        <w:bottom w:val="none" w:sz="0" w:space="0" w:color="auto"/>
        <w:right w:val="none" w:sz="0" w:space="0" w:color="auto"/>
      </w:divBdr>
    </w:div>
    <w:div w:id="1041242931">
      <w:bodyDiv w:val="1"/>
      <w:marLeft w:val="0"/>
      <w:marRight w:val="0"/>
      <w:marTop w:val="0"/>
      <w:marBottom w:val="0"/>
      <w:divBdr>
        <w:top w:val="none" w:sz="0" w:space="0" w:color="auto"/>
        <w:left w:val="none" w:sz="0" w:space="0" w:color="auto"/>
        <w:bottom w:val="none" w:sz="0" w:space="0" w:color="auto"/>
        <w:right w:val="none" w:sz="0" w:space="0" w:color="auto"/>
      </w:divBdr>
    </w:div>
    <w:div w:id="1533225717">
      <w:bodyDiv w:val="1"/>
      <w:marLeft w:val="0"/>
      <w:marRight w:val="0"/>
      <w:marTop w:val="0"/>
      <w:marBottom w:val="0"/>
      <w:divBdr>
        <w:top w:val="none" w:sz="0" w:space="0" w:color="auto"/>
        <w:left w:val="none" w:sz="0" w:space="0" w:color="auto"/>
        <w:bottom w:val="none" w:sz="0" w:space="0" w:color="auto"/>
        <w:right w:val="none" w:sz="0" w:space="0" w:color="auto"/>
      </w:divBdr>
    </w:div>
    <w:div w:id="196804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rosenmayr@eurochambres.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2326</Words>
  <Characters>12798</Characters>
  <Application>Microsoft Office Word</Application>
  <DocSecurity>0</DocSecurity>
  <Lines>106</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Clemens ROSENMAYR</dc:creator>
  <cp:keywords/>
  <dc:description/>
  <cp:lastModifiedBy>Sara Royo Cacho</cp:lastModifiedBy>
  <cp:revision>2</cp:revision>
  <dcterms:created xsi:type="dcterms:W3CDTF">2019-07-01T07:44:00Z</dcterms:created>
  <dcterms:modified xsi:type="dcterms:W3CDTF">2019-07-01T07:44:00Z</dcterms:modified>
</cp:coreProperties>
</file>