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54E60" w14:textId="77777777" w:rsidR="007D46C5" w:rsidRPr="0095784D" w:rsidRDefault="007D46C5" w:rsidP="00BF2936">
      <w:pPr>
        <w:tabs>
          <w:tab w:val="right" w:pos="8280"/>
        </w:tabs>
        <w:ind w:left="8640" w:right="-22" w:hanging="8640"/>
        <w:jc w:val="left"/>
        <w:rPr>
          <w:rFonts w:ascii="Arial" w:hAnsi="Arial" w:cs="Arial"/>
          <w:caps/>
          <w:lang w:val="es-ES"/>
        </w:rPr>
      </w:pPr>
      <w:bookmarkStart w:id="0" w:name="_GoBack"/>
      <w:bookmarkEnd w:id="0"/>
    </w:p>
    <w:p w14:paraId="54BC6AED" w14:textId="77777777" w:rsidR="00A50808" w:rsidRPr="0095784D" w:rsidRDefault="00A50808" w:rsidP="00B31214">
      <w:pPr>
        <w:tabs>
          <w:tab w:val="right" w:pos="8280"/>
        </w:tabs>
        <w:ind w:right="-22"/>
        <w:jc w:val="left"/>
        <w:rPr>
          <w:rFonts w:ascii="Arial" w:hAnsi="Arial" w:cs="Arial"/>
          <w:caps/>
          <w:lang w:val="es-ES"/>
        </w:rPr>
      </w:pPr>
    </w:p>
    <w:p w14:paraId="5B5EECD3" w14:textId="77777777" w:rsidR="00AE7C03" w:rsidRPr="0095784D" w:rsidRDefault="00503869" w:rsidP="00B31214">
      <w:pPr>
        <w:tabs>
          <w:tab w:val="right" w:pos="8280"/>
        </w:tabs>
        <w:ind w:right="-22"/>
        <w:jc w:val="left"/>
        <w:rPr>
          <w:rFonts w:ascii="Arial" w:hAnsi="Arial" w:cs="Arial"/>
          <w:caps/>
          <w:lang w:val="es-ES"/>
        </w:rPr>
      </w:pPr>
      <w:r>
        <w:rPr>
          <w:rFonts w:ascii="Arial" w:eastAsia="Calibri" w:hAnsi="Arial" w:cs="Arial"/>
          <w:b/>
          <w:noProof/>
          <w:color w:val="000000"/>
          <w:sz w:val="52"/>
          <w:szCs w:val="22"/>
          <w:lang w:val="es-ES" w:eastAsia="es-ES"/>
        </w:rPr>
        <w:drawing>
          <wp:anchor distT="0" distB="0" distL="114300" distR="114300" simplePos="0" relativeHeight="251653120" behindDoc="1" locked="0" layoutInCell="1" allowOverlap="1" wp14:anchorId="4339ED6D" wp14:editId="20564C56">
            <wp:simplePos x="0" y="0"/>
            <wp:positionH relativeFrom="column">
              <wp:posOffset>-910590</wp:posOffset>
            </wp:positionH>
            <wp:positionV relativeFrom="margin">
              <wp:posOffset>782320</wp:posOffset>
            </wp:positionV>
            <wp:extent cx="7580630" cy="8696325"/>
            <wp:effectExtent l="0" t="0" r="1270"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630" cy="8696325"/>
                    </a:xfrm>
                    <a:prstGeom prst="rect">
                      <a:avLst/>
                    </a:prstGeom>
                    <a:noFill/>
                  </pic:spPr>
                </pic:pic>
              </a:graphicData>
            </a:graphic>
            <wp14:sizeRelH relativeFrom="page">
              <wp14:pctWidth>0</wp14:pctWidth>
            </wp14:sizeRelH>
            <wp14:sizeRelV relativeFrom="page">
              <wp14:pctHeight>0</wp14:pctHeight>
            </wp14:sizeRelV>
          </wp:anchor>
        </w:drawing>
      </w:r>
    </w:p>
    <w:p w14:paraId="63B0359D" w14:textId="77777777" w:rsidR="0060255B" w:rsidRPr="0095784D" w:rsidRDefault="0060255B" w:rsidP="00B31214">
      <w:pPr>
        <w:tabs>
          <w:tab w:val="right" w:pos="8280"/>
        </w:tabs>
        <w:ind w:right="-22"/>
        <w:jc w:val="left"/>
        <w:rPr>
          <w:rFonts w:ascii="Arial" w:hAnsi="Arial" w:cs="Arial"/>
          <w:caps/>
          <w:lang w:val="es-ES"/>
        </w:rPr>
      </w:pPr>
    </w:p>
    <w:p w14:paraId="7A05B581" w14:textId="77777777" w:rsidR="0060255B" w:rsidRPr="0095784D" w:rsidRDefault="0060255B" w:rsidP="00B31214">
      <w:pPr>
        <w:tabs>
          <w:tab w:val="right" w:pos="8280"/>
        </w:tabs>
        <w:ind w:right="-22"/>
        <w:jc w:val="left"/>
        <w:rPr>
          <w:rFonts w:ascii="Arial" w:hAnsi="Arial" w:cs="Arial"/>
          <w:caps/>
          <w:lang w:val="es-ES"/>
        </w:rPr>
      </w:pPr>
    </w:p>
    <w:p w14:paraId="4810FE2A" w14:textId="77777777" w:rsidR="0060255B" w:rsidRPr="0095784D" w:rsidRDefault="0060255B" w:rsidP="00B31214">
      <w:pPr>
        <w:tabs>
          <w:tab w:val="right" w:pos="8280"/>
        </w:tabs>
        <w:ind w:right="-22"/>
        <w:jc w:val="left"/>
        <w:rPr>
          <w:rFonts w:ascii="Arial" w:hAnsi="Arial" w:cs="Arial"/>
          <w:caps/>
          <w:lang w:val="es-ES"/>
        </w:rPr>
      </w:pPr>
    </w:p>
    <w:p w14:paraId="4EF3651A" w14:textId="77777777" w:rsidR="00910BEB" w:rsidRPr="0095784D" w:rsidRDefault="00910BEB" w:rsidP="009B6318">
      <w:pPr>
        <w:tabs>
          <w:tab w:val="right" w:pos="8280"/>
        </w:tabs>
        <w:ind w:right="-22"/>
        <w:jc w:val="left"/>
        <w:rPr>
          <w:rFonts w:ascii="Arial" w:hAnsi="Arial" w:cs="Arial"/>
          <w:caps/>
          <w:lang w:val="es-ES"/>
        </w:rPr>
      </w:pPr>
    </w:p>
    <w:p w14:paraId="6A7A7A19" w14:textId="5C8D9336" w:rsidR="005846FD" w:rsidRPr="0097284A" w:rsidRDefault="005846FD" w:rsidP="005846FD">
      <w:pPr>
        <w:spacing w:before="120" w:after="0"/>
        <w:jc w:val="center"/>
        <w:rPr>
          <w:rFonts w:ascii="Century Gothic" w:hAnsi="Century Gothic" w:cs="Arial"/>
          <w:b/>
          <w:bCs/>
          <w:color w:val="000000"/>
          <w:sz w:val="44"/>
          <w:szCs w:val="24"/>
          <w:lang w:val="es-ES" w:eastAsia="es-ES"/>
        </w:rPr>
      </w:pPr>
      <w:r w:rsidRPr="0097284A">
        <w:rPr>
          <w:rFonts w:ascii="Century Gothic" w:hAnsi="Century Gothic" w:cs="Arial"/>
          <w:b/>
          <w:bCs/>
          <w:color w:val="000000"/>
          <w:sz w:val="44"/>
          <w:szCs w:val="24"/>
          <w:lang w:val="es-ES" w:eastAsia="es-ES"/>
        </w:rPr>
        <w:t>MARCO ESTRATÉGICO EN POLÍTICA</w:t>
      </w:r>
      <w:r w:rsidR="000913FF">
        <w:rPr>
          <w:rFonts w:ascii="Century Gothic" w:hAnsi="Century Gothic" w:cs="Arial"/>
          <w:b/>
          <w:bCs/>
          <w:color w:val="000000"/>
          <w:sz w:val="44"/>
          <w:szCs w:val="24"/>
          <w:lang w:val="es-ES" w:eastAsia="es-ES"/>
        </w:rPr>
        <w:t xml:space="preserve"> DE</w:t>
      </w:r>
      <w:r w:rsidRPr="0097284A">
        <w:rPr>
          <w:rFonts w:ascii="Century Gothic" w:hAnsi="Century Gothic" w:cs="Arial"/>
          <w:b/>
          <w:bCs/>
          <w:color w:val="000000"/>
          <w:sz w:val="44"/>
          <w:szCs w:val="24"/>
          <w:lang w:val="es-ES" w:eastAsia="es-ES"/>
        </w:rPr>
        <w:t xml:space="preserve"> PYME</w:t>
      </w:r>
      <w:r w:rsidR="00283190">
        <w:rPr>
          <w:rFonts w:ascii="Century Gothic" w:hAnsi="Century Gothic" w:cs="Arial"/>
          <w:b/>
          <w:bCs/>
          <w:color w:val="000000"/>
          <w:sz w:val="44"/>
          <w:szCs w:val="24"/>
          <w:lang w:val="es-ES" w:eastAsia="es-ES"/>
        </w:rPr>
        <w:t xml:space="preserve"> 2030</w:t>
      </w:r>
    </w:p>
    <w:p w14:paraId="77AB013F" w14:textId="0201ED05" w:rsidR="005846FD" w:rsidRPr="0097284A" w:rsidRDefault="00DF1DC5" w:rsidP="005846FD">
      <w:pPr>
        <w:spacing w:before="120" w:after="0"/>
        <w:jc w:val="center"/>
        <w:rPr>
          <w:rFonts w:ascii="Century Gothic" w:hAnsi="Century Gothic" w:cs="Arial"/>
          <w:b/>
          <w:color w:val="000000"/>
          <w:sz w:val="44"/>
          <w:szCs w:val="44"/>
          <w:lang w:val="es-ES" w:eastAsia="es-ES"/>
        </w:rPr>
      </w:pPr>
      <w:r>
        <w:rPr>
          <w:rFonts w:ascii="Century Gothic" w:hAnsi="Century Gothic" w:cs="Arial"/>
          <w:bCs/>
          <w:color w:val="000000"/>
          <w:sz w:val="44"/>
          <w:szCs w:val="44"/>
          <w:lang w:val="es-ES" w:eastAsia="es-ES"/>
        </w:rPr>
        <w:t>Secretaría</w:t>
      </w:r>
      <w:r w:rsidR="005846FD" w:rsidRPr="0097284A">
        <w:rPr>
          <w:rFonts w:ascii="Century Gothic" w:hAnsi="Century Gothic" w:cs="Arial"/>
          <w:bCs/>
          <w:color w:val="000000"/>
          <w:sz w:val="44"/>
          <w:szCs w:val="44"/>
          <w:lang w:val="es-ES" w:eastAsia="es-ES"/>
        </w:rPr>
        <w:t xml:space="preserve"> General de Industria y de la Pequeña y Mediana Empresa</w:t>
      </w:r>
    </w:p>
    <w:p w14:paraId="765BCADD"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3A827F97"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3B658EB6"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4220A134" w14:textId="77777777" w:rsidR="005846FD" w:rsidRPr="0095784D" w:rsidRDefault="00E06631" w:rsidP="005846FD">
      <w:pPr>
        <w:spacing w:after="0"/>
        <w:jc w:val="center"/>
        <w:rPr>
          <w:rFonts w:ascii="Arial" w:eastAsia="Calibri" w:hAnsi="Arial" w:cs="Arial"/>
          <w:b/>
          <w:color w:val="000000"/>
          <w:sz w:val="52"/>
          <w:szCs w:val="22"/>
          <w:lang w:val="es-ES" w:eastAsia="es-ES"/>
        </w:rPr>
      </w:pPr>
      <w:r>
        <w:rPr>
          <w:rFonts w:ascii="Arial" w:eastAsia="Calibri" w:hAnsi="Arial" w:cs="Arial"/>
          <w:b/>
          <w:noProof/>
          <w:color w:val="000000"/>
          <w:sz w:val="52"/>
          <w:szCs w:val="22"/>
          <w:lang w:val="es-ES" w:eastAsia="es-ES"/>
        </w:rPr>
        <w:drawing>
          <wp:anchor distT="0" distB="0" distL="114300" distR="114300" simplePos="0" relativeHeight="251654144" behindDoc="0" locked="0" layoutInCell="1" allowOverlap="1" wp14:anchorId="29BB3BA3" wp14:editId="0EEB9F21">
            <wp:simplePos x="0" y="0"/>
            <wp:positionH relativeFrom="column">
              <wp:posOffset>870585</wp:posOffset>
            </wp:positionH>
            <wp:positionV relativeFrom="margin">
              <wp:posOffset>4719211</wp:posOffset>
            </wp:positionV>
            <wp:extent cx="3907790" cy="90233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902335"/>
                    </a:xfrm>
                    <a:prstGeom prst="rect">
                      <a:avLst/>
                    </a:prstGeom>
                    <a:noFill/>
                  </pic:spPr>
                </pic:pic>
              </a:graphicData>
            </a:graphic>
            <wp14:sizeRelH relativeFrom="page">
              <wp14:pctWidth>0</wp14:pctWidth>
            </wp14:sizeRelH>
            <wp14:sizeRelV relativeFrom="page">
              <wp14:pctHeight>0</wp14:pctHeight>
            </wp14:sizeRelV>
          </wp:anchor>
        </w:drawing>
      </w:r>
    </w:p>
    <w:p w14:paraId="78D50D7F"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2073B787"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12546939"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4B556581"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2623EFBD" w14:textId="77777777" w:rsidR="00E06631" w:rsidRPr="0097284A" w:rsidRDefault="00E06631" w:rsidP="005846FD">
      <w:pPr>
        <w:spacing w:after="0"/>
        <w:jc w:val="right"/>
        <w:rPr>
          <w:rFonts w:ascii="Century Gothic" w:eastAsia="Calibri" w:hAnsi="Century Gothic" w:cs="Arial"/>
          <w:b/>
          <w:color w:val="000000" w:themeColor="text1"/>
          <w:sz w:val="36"/>
          <w:szCs w:val="22"/>
          <w:lang w:val="es-ES" w:eastAsia="es-ES"/>
        </w:rPr>
      </w:pPr>
    </w:p>
    <w:p w14:paraId="4BB0F263" w14:textId="77777777" w:rsidR="00B438AD" w:rsidRPr="0097284A" w:rsidRDefault="00B438AD" w:rsidP="005846FD">
      <w:pPr>
        <w:spacing w:after="0"/>
        <w:jc w:val="right"/>
        <w:rPr>
          <w:rFonts w:ascii="Century Gothic" w:eastAsia="Calibri" w:hAnsi="Century Gothic" w:cs="Arial"/>
          <w:color w:val="000000" w:themeColor="text1"/>
          <w:sz w:val="36"/>
          <w:szCs w:val="22"/>
          <w:lang w:val="es-ES" w:eastAsia="es-ES"/>
        </w:rPr>
      </w:pPr>
      <w:r w:rsidRPr="0097284A">
        <w:rPr>
          <w:rFonts w:ascii="Century Gothic" w:eastAsia="Calibri" w:hAnsi="Century Gothic" w:cs="Arial"/>
          <w:color w:val="000000" w:themeColor="text1"/>
          <w:sz w:val="36"/>
          <w:szCs w:val="22"/>
          <w:lang w:val="es-ES" w:eastAsia="es-ES"/>
        </w:rPr>
        <w:t>Versión</w:t>
      </w:r>
    </w:p>
    <w:p w14:paraId="5E4F99CD" w14:textId="75E539FF" w:rsidR="005846FD" w:rsidRPr="0097284A" w:rsidRDefault="00E36101" w:rsidP="005846FD">
      <w:pPr>
        <w:spacing w:after="0"/>
        <w:jc w:val="right"/>
        <w:rPr>
          <w:rFonts w:ascii="Century Gothic" w:eastAsia="Calibri" w:hAnsi="Century Gothic" w:cs="Arial"/>
          <w:b/>
          <w:color w:val="000000" w:themeColor="text1"/>
          <w:sz w:val="36"/>
          <w:szCs w:val="22"/>
          <w:lang w:val="es-ES" w:eastAsia="es-ES"/>
        </w:rPr>
      </w:pPr>
      <w:r>
        <w:rPr>
          <w:rFonts w:ascii="Century Gothic" w:eastAsia="Calibri" w:hAnsi="Century Gothic" w:cs="Arial"/>
          <w:b/>
          <w:color w:val="000000" w:themeColor="text1"/>
          <w:sz w:val="36"/>
          <w:szCs w:val="22"/>
          <w:lang w:val="es-ES" w:eastAsia="es-ES"/>
        </w:rPr>
        <w:t>1</w:t>
      </w:r>
      <w:r w:rsidR="00F16D09">
        <w:rPr>
          <w:rFonts w:ascii="Century Gothic" w:eastAsia="Calibri" w:hAnsi="Century Gothic" w:cs="Arial"/>
          <w:b/>
          <w:color w:val="000000" w:themeColor="text1"/>
          <w:sz w:val="36"/>
          <w:szCs w:val="22"/>
          <w:lang w:val="es-ES" w:eastAsia="es-ES"/>
        </w:rPr>
        <w:t>8</w:t>
      </w:r>
      <w:r w:rsidR="00A2234F">
        <w:rPr>
          <w:rFonts w:ascii="Century Gothic" w:eastAsia="Calibri" w:hAnsi="Century Gothic" w:cs="Arial"/>
          <w:b/>
          <w:color w:val="000000" w:themeColor="text1"/>
          <w:sz w:val="36"/>
          <w:szCs w:val="22"/>
          <w:lang w:val="es-ES" w:eastAsia="es-ES"/>
        </w:rPr>
        <w:t>/</w:t>
      </w:r>
      <w:r w:rsidR="005164C5">
        <w:rPr>
          <w:rFonts w:ascii="Century Gothic" w:eastAsia="Calibri" w:hAnsi="Century Gothic" w:cs="Arial"/>
          <w:b/>
          <w:color w:val="000000" w:themeColor="text1"/>
          <w:sz w:val="36"/>
          <w:szCs w:val="22"/>
          <w:lang w:val="es-ES" w:eastAsia="es-ES"/>
        </w:rPr>
        <w:t>10</w:t>
      </w:r>
      <w:r w:rsidR="00393ABC">
        <w:rPr>
          <w:rFonts w:ascii="Century Gothic" w:eastAsia="Calibri" w:hAnsi="Century Gothic" w:cs="Arial"/>
          <w:b/>
          <w:color w:val="000000" w:themeColor="text1"/>
          <w:sz w:val="36"/>
          <w:szCs w:val="22"/>
          <w:lang w:val="es-ES" w:eastAsia="es-ES"/>
        </w:rPr>
        <w:t>/</w:t>
      </w:r>
      <w:r w:rsidR="00B438AD" w:rsidRPr="0097284A">
        <w:rPr>
          <w:rFonts w:ascii="Century Gothic" w:eastAsia="Calibri" w:hAnsi="Century Gothic" w:cs="Arial"/>
          <w:b/>
          <w:color w:val="000000" w:themeColor="text1"/>
          <w:sz w:val="36"/>
          <w:szCs w:val="22"/>
          <w:lang w:val="es-ES" w:eastAsia="es-ES"/>
        </w:rPr>
        <w:t>201</w:t>
      </w:r>
      <w:r w:rsidR="00E577DB">
        <w:rPr>
          <w:rFonts w:ascii="Century Gothic" w:eastAsia="Calibri" w:hAnsi="Century Gothic" w:cs="Arial"/>
          <w:b/>
          <w:color w:val="000000" w:themeColor="text1"/>
          <w:sz w:val="36"/>
          <w:szCs w:val="22"/>
          <w:lang w:val="es-ES" w:eastAsia="es-ES"/>
        </w:rPr>
        <w:t>8</w:t>
      </w:r>
    </w:p>
    <w:p w14:paraId="2ECC4582" w14:textId="77777777" w:rsidR="00E15F27" w:rsidRPr="0097284A" w:rsidRDefault="00E15F27" w:rsidP="002F375E">
      <w:pPr>
        <w:rPr>
          <w:rFonts w:ascii="Century Gothic" w:hAnsi="Century Gothic" w:cs="Arial"/>
          <w:lang w:val="es-ES"/>
        </w:rPr>
      </w:pPr>
    </w:p>
    <w:p w14:paraId="6D93659D" w14:textId="77777777" w:rsidR="002F375E" w:rsidRPr="0095784D" w:rsidRDefault="002F375E" w:rsidP="002F375E">
      <w:pPr>
        <w:rPr>
          <w:rFonts w:ascii="Arial" w:hAnsi="Arial" w:cs="Arial"/>
          <w:lang w:val="es-ES"/>
        </w:rPr>
      </w:pPr>
    </w:p>
    <w:p w14:paraId="4AAE2CA0" w14:textId="77777777" w:rsidR="002F375E" w:rsidRPr="0095784D" w:rsidRDefault="002F375E" w:rsidP="002F375E">
      <w:pPr>
        <w:rPr>
          <w:rFonts w:ascii="Arial" w:hAnsi="Arial" w:cs="Arial"/>
          <w:lang w:val="es-ES"/>
        </w:rPr>
      </w:pPr>
    </w:p>
    <w:p w14:paraId="16F2C1E1" w14:textId="77777777" w:rsidR="002F375E" w:rsidRPr="0095784D" w:rsidRDefault="002F375E" w:rsidP="002F375E">
      <w:pPr>
        <w:rPr>
          <w:rFonts w:ascii="Arial" w:hAnsi="Arial" w:cs="Arial"/>
          <w:lang w:val="es-ES"/>
        </w:rPr>
      </w:pPr>
    </w:p>
    <w:p w14:paraId="7A04A0B6" w14:textId="77777777" w:rsidR="00E15F27" w:rsidRPr="0095784D" w:rsidRDefault="00E15F27" w:rsidP="00E15F27">
      <w:pPr>
        <w:pStyle w:val="DocumentSubtitle"/>
        <w:tabs>
          <w:tab w:val="left" w:pos="4536"/>
        </w:tabs>
        <w:jc w:val="left"/>
        <w:rPr>
          <w:rFonts w:ascii="Arial" w:hAnsi="Arial" w:cs="Arial"/>
          <w:b/>
          <w:i/>
          <w:sz w:val="24"/>
          <w:szCs w:val="24"/>
          <w:lang w:val="es-ES"/>
        </w:rPr>
        <w:sectPr w:rsidR="00E15F27" w:rsidRPr="0095784D" w:rsidSect="00C66145">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39" w:code="9"/>
          <w:pgMar w:top="89" w:right="1418" w:bottom="1134" w:left="1418" w:header="567" w:footer="947" w:gutter="0"/>
          <w:cols w:space="720"/>
          <w:titlePg/>
          <w:docGrid w:linePitch="326"/>
        </w:sectPr>
      </w:pPr>
    </w:p>
    <w:p w14:paraId="1E966D5D" w14:textId="77777777" w:rsidR="00846ADB" w:rsidRPr="003911FA" w:rsidRDefault="005846FD" w:rsidP="005846FD">
      <w:pPr>
        <w:pStyle w:val="TtulodeTDC"/>
        <w:rPr>
          <w:rFonts w:cs="Arial"/>
          <w:color w:val="003399"/>
          <w:lang w:val="es-ES"/>
        </w:rPr>
      </w:pPr>
      <w:r w:rsidRPr="003911FA">
        <w:rPr>
          <w:rFonts w:cs="Arial"/>
          <w:color w:val="003399"/>
          <w:lang w:val="es-ES"/>
        </w:rPr>
        <w:lastRenderedPageBreak/>
        <w:t>Contenido</w:t>
      </w:r>
    </w:p>
    <w:p w14:paraId="0BEE5D62" w14:textId="77777777" w:rsidR="00846ADB" w:rsidRPr="004746D7" w:rsidRDefault="00846ADB" w:rsidP="001A1395">
      <w:pPr>
        <w:pStyle w:val="Tabladeilustraciones"/>
        <w:tabs>
          <w:tab w:val="right" w:leader="dot" w:pos="8495"/>
        </w:tabs>
        <w:rPr>
          <w:rFonts w:ascii="Arial" w:hAnsi="Arial" w:cs="Arial"/>
          <w:lang w:val="es-ES"/>
        </w:rPr>
      </w:pPr>
    </w:p>
    <w:p w14:paraId="6FB010E5" w14:textId="328BB90E" w:rsidR="006B5618" w:rsidRDefault="003911FA">
      <w:pPr>
        <w:pStyle w:val="TDC1"/>
        <w:rPr>
          <w:rFonts w:asciiTheme="minorHAnsi" w:eastAsiaTheme="minorEastAsia" w:hAnsiTheme="minorHAnsi" w:cstheme="minorBidi"/>
          <w:caps w:val="0"/>
          <w:noProof/>
          <w:sz w:val="22"/>
          <w:szCs w:val="22"/>
          <w:lang w:val="es-ES" w:eastAsia="es-ES"/>
        </w:rPr>
      </w:pPr>
      <w:r>
        <w:rPr>
          <w:rFonts w:ascii="Arial" w:hAnsi="Arial" w:cs="Arial"/>
          <w:b/>
          <w:sz w:val="22"/>
          <w:szCs w:val="22"/>
          <w:lang w:val="es-ES"/>
        </w:rPr>
        <w:fldChar w:fldCharType="begin"/>
      </w:r>
      <w:r>
        <w:rPr>
          <w:rFonts w:ascii="Arial" w:hAnsi="Arial" w:cs="Arial"/>
          <w:b/>
          <w:sz w:val="22"/>
          <w:szCs w:val="22"/>
          <w:lang w:val="es-ES"/>
        </w:rPr>
        <w:instrText xml:space="preserve"> TOC \o "1-4" \h \z \u </w:instrText>
      </w:r>
      <w:r>
        <w:rPr>
          <w:rFonts w:ascii="Arial" w:hAnsi="Arial" w:cs="Arial"/>
          <w:b/>
          <w:sz w:val="22"/>
          <w:szCs w:val="22"/>
          <w:lang w:val="es-ES"/>
        </w:rPr>
        <w:fldChar w:fldCharType="separate"/>
      </w:r>
      <w:hyperlink w:anchor="_Toc527630330" w:history="1">
        <w:r w:rsidR="006B5618" w:rsidRPr="00793922">
          <w:rPr>
            <w:rStyle w:val="Hipervnculo"/>
            <w:rFonts w:cs="Arial"/>
            <w:noProof/>
            <w:lang w:val="es-ES"/>
          </w:rPr>
          <w:t>1. Introducción</w:t>
        </w:r>
        <w:r w:rsidR="006B5618">
          <w:rPr>
            <w:noProof/>
            <w:webHidden/>
          </w:rPr>
          <w:tab/>
        </w:r>
        <w:r w:rsidR="006B5618">
          <w:rPr>
            <w:noProof/>
            <w:webHidden/>
          </w:rPr>
          <w:fldChar w:fldCharType="begin"/>
        </w:r>
        <w:r w:rsidR="006B5618">
          <w:rPr>
            <w:noProof/>
            <w:webHidden/>
          </w:rPr>
          <w:instrText xml:space="preserve"> PAGEREF _Toc527630330 \h </w:instrText>
        </w:r>
        <w:r w:rsidR="006B5618">
          <w:rPr>
            <w:noProof/>
            <w:webHidden/>
          </w:rPr>
        </w:r>
        <w:r w:rsidR="006B5618">
          <w:rPr>
            <w:noProof/>
            <w:webHidden/>
          </w:rPr>
          <w:fldChar w:fldCharType="separate"/>
        </w:r>
        <w:r w:rsidR="006B5618">
          <w:rPr>
            <w:noProof/>
            <w:webHidden/>
          </w:rPr>
          <w:t>4</w:t>
        </w:r>
        <w:r w:rsidR="006B5618">
          <w:rPr>
            <w:noProof/>
            <w:webHidden/>
          </w:rPr>
          <w:fldChar w:fldCharType="end"/>
        </w:r>
      </w:hyperlink>
    </w:p>
    <w:p w14:paraId="50851D59" w14:textId="4337FD63" w:rsidR="006B5618" w:rsidRDefault="00576E76">
      <w:pPr>
        <w:pStyle w:val="TDC1"/>
        <w:rPr>
          <w:rFonts w:asciiTheme="minorHAnsi" w:eastAsiaTheme="minorEastAsia" w:hAnsiTheme="minorHAnsi" w:cstheme="minorBidi"/>
          <w:caps w:val="0"/>
          <w:noProof/>
          <w:sz w:val="22"/>
          <w:szCs w:val="22"/>
          <w:lang w:val="es-ES" w:eastAsia="es-ES"/>
        </w:rPr>
      </w:pPr>
      <w:hyperlink w:anchor="_Toc527630331" w:history="1">
        <w:r w:rsidR="006B5618" w:rsidRPr="00793922">
          <w:rPr>
            <w:rStyle w:val="Hipervnculo"/>
            <w:rFonts w:cs="Arial"/>
            <w:noProof/>
            <w:lang w:val="es-ES"/>
          </w:rPr>
          <w:t>2. El contexto de la PYME: En España y Europa</w:t>
        </w:r>
        <w:r w:rsidR="006B5618">
          <w:rPr>
            <w:noProof/>
            <w:webHidden/>
          </w:rPr>
          <w:tab/>
        </w:r>
        <w:r w:rsidR="006B5618">
          <w:rPr>
            <w:noProof/>
            <w:webHidden/>
          </w:rPr>
          <w:fldChar w:fldCharType="begin"/>
        </w:r>
        <w:r w:rsidR="006B5618">
          <w:rPr>
            <w:noProof/>
            <w:webHidden/>
          </w:rPr>
          <w:instrText xml:space="preserve"> PAGEREF _Toc527630331 \h </w:instrText>
        </w:r>
        <w:r w:rsidR="006B5618">
          <w:rPr>
            <w:noProof/>
            <w:webHidden/>
          </w:rPr>
        </w:r>
        <w:r w:rsidR="006B5618">
          <w:rPr>
            <w:noProof/>
            <w:webHidden/>
          </w:rPr>
          <w:fldChar w:fldCharType="separate"/>
        </w:r>
        <w:r w:rsidR="006B5618">
          <w:rPr>
            <w:noProof/>
            <w:webHidden/>
          </w:rPr>
          <w:t>7</w:t>
        </w:r>
        <w:r w:rsidR="006B5618">
          <w:rPr>
            <w:noProof/>
            <w:webHidden/>
          </w:rPr>
          <w:fldChar w:fldCharType="end"/>
        </w:r>
      </w:hyperlink>
    </w:p>
    <w:p w14:paraId="1DC3B86D" w14:textId="51792119" w:rsidR="006B5618" w:rsidRDefault="00576E76">
      <w:pPr>
        <w:pStyle w:val="TDC2"/>
        <w:rPr>
          <w:rFonts w:asciiTheme="minorHAnsi" w:eastAsiaTheme="minorEastAsia" w:hAnsiTheme="minorHAnsi" w:cstheme="minorBidi"/>
          <w:noProof/>
          <w:sz w:val="22"/>
          <w:szCs w:val="22"/>
          <w:lang w:val="es-ES" w:eastAsia="es-ES"/>
        </w:rPr>
      </w:pPr>
      <w:hyperlink w:anchor="_Toc527630332" w:history="1">
        <w:r w:rsidR="006B5618" w:rsidRPr="00793922">
          <w:rPr>
            <w:rStyle w:val="Hipervnculo"/>
            <w:rFonts w:cs="Arial"/>
            <w:noProof/>
            <w:lang w:val="es-ES"/>
          </w:rPr>
          <w:t>2.1. La situación de la PYME en España</w:t>
        </w:r>
        <w:r w:rsidR="006B5618">
          <w:rPr>
            <w:noProof/>
            <w:webHidden/>
          </w:rPr>
          <w:tab/>
        </w:r>
        <w:r w:rsidR="006B5618">
          <w:rPr>
            <w:noProof/>
            <w:webHidden/>
          </w:rPr>
          <w:fldChar w:fldCharType="begin"/>
        </w:r>
        <w:r w:rsidR="006B5618">
          <w:rPr>
            <w:noProof/>
            <w:webHidden/>
          </w:rPr>
          <w:instrText xml:space="preserve"> PAGEREF _Toc527630332 \h </w:instrText>
        </w:r>
        <w:r w:rsidR="006B5618">
          <w:rPr>
            <w:noProof/>
            <w:webHidden/>
          </w:rPr>
        </w:r>
        <w:r w:rsidR="006B5618">
          <w:rPr>
            <w:noProof/>
            <w:webHidden/>
          </w:rPr>
          <w:fldChar w:fldCharType="separate"/>
        </w:r>
        <w:r w:rsidR="006B5618">
          <w:rPr>
            <w:noProof/>
            <w:webHidden/>
          </w:rPr>
          <w:t>7</w:t>
        </w:r>
        <w:r w:rsidR="006B5618">
          <w:rPr>
            <w:noProof/>
            <w:webHidden/>
          </w:rPr>
          <w:fldChar w:fldCharType="end"/>
        </w:r>
      </w:hyperlink>
    </w:p>
    <w:p w14:paraId="7886DFF2" w14:textId="3FE36392" w:rsidR="006B5618" w:rsidRDefault="00576E76">
      <w:pPr>
        <w:pStyle w:val="TDC2"/>
        <w:rPr>
          <w:rFonts w:asciiTheme="minorHAnsi" w:eastAsiaTheme="minorEastAsia" w:hAnsiTheme="minorHAnsi" w:cstheme="minorBidi"/>
          <w:noProof/>
          <w:sz w:val="22"/>
          <w:szCs w:val="22"/>
          <w:lang w:val="es-ES" w:eastAsia="es-ES"/>
        </w:rPr>
      </w:pPr>
      <w:hyperlink w:anchor="_Toc527630333" w:history="1">
        <w:r w:rsidR="006B5618" w:rsidRPr="00793922">
          <w:rPr>
            <w:rStyle w:val="Hipervnculo"/>
            <w:rFonts w:cs="Arial"/>
            <w:noProof/>
            <w:lang w:val="es-ES"/>
          </w:rPr>
          <w:t>2.2. La situación de la PYME en Europa</w:t>
        </w:r>
        <w:r w:rsidR="006B5618">
          <w:rPr>
            <w:noProof/>
            <w:webHidden/>
          </w:rPr>
          <w:tab/>
        </w:r>
        <w:r w:rsidR="006B5618">
          <w:rPr>
            <w:noProof/>
            <w:webHidden/>
          </w:rPr>
          <w:fldChar w:fldCharType="begin"/>
        </w:r>
        <w:r w:rsidR="006B5618">
          <w:rPr>
            <w:noProof/>
            <w:webHidden/>
          </w:rPr>
          <w:instrText xml:space="preserve"> PAGEREF _Toc527630333 \h </w:instrText>
        </w:r>
        <w:r w:rsidR="006B5618">
          <w:rPr>
            <w:noProof/>
            <w:webHidden/>
          </w:rPr>
        </w:r>
        <w:r w:rsidR="006B5618">
          <w:rPr>
            <w:noProof/>
            <w:webHidden/>
          </w:rPr>
          <w:fldChar w:fldCharType="separate"/>
        </w:r>
        <w:r w:rsidR="006B5618">
          <w:rPr>
            <w:noProof/>
            <w:webHidden/>
          </w:rPr>
          <w:t>12</w:t>
        </w:r>
        <w:r w:rsidR="006B5618">
          <w:rPr>
            <w:noProof/>
            <w:webHidden/>
          </w:rPr>
          <w:fldChar w:fldCharType="end"/>
        </w:r>
      </w:hyperlink>
    </w:p>
    <w:p w14:paraId="694A4983" w14:textId="7E2075AA" w:rsidR="006B5618" w:rsidRDefault="00576E76">
      <w:pPr>
        <w:pStyle w:val="TDC1"/>
        <w:rPr>
          <w:rFonts w:asciiTheme="minorHAnsi" w:eastAsiaTheme="minorEastAsia" w:hAnsiTheme="minorHAnsi" w:cstheme="minorBidi"/>
          <w:caps w:val="0"/>
          <w:noProof/>
          <w:sz w:val="22"/>
          <w:szCs w:val="22"/>
          <w:lang w:val="es-ES" w:eastAsia="es-ES"/>
        </w:rPr>
      </w:pPr>
      <w:hyperlink w:anchor="_Toc527630334" w:history="1">
        <w:r w:rsidR="006B5618" w:rsidRPr="00793922">
          <w:rPr>
            <w:rStyle w:val="Hipervnculo"/>
            <w:rFonts w:cs="Arial"/>
            <w:noProof/>
            <w:lang w:val="es-ES"/>
          </w:rPr>
          <w:t>3. BASES DEL MARCO ESTRATÉGICO</w:t>
        </w:r>
        <w:r w:rsidR="006B5618">
          <w:rPr>
            <w:noProof/>
            <w:webHidden/>
          </w:rPr>
          <w:tab/>
        </w:r>
        <w:r w:rsidR="006B5618">
          <w:rPr>
            <w:noProof/>
            <w:webHidden/>
          </w:rPr>
          <w:fldChar w:fldCharType="begin"/>
        </w:r>
        <w:r w:rsidR="006B5618">
          <w:rPr>
            <w:noProof/>
            <w:webHidden/>
          </w:rPr>
          <w:instrText xml:space="preserve"> PAGEREF _Toc527630334 \h </w:instrText>
        </w:r>
        <w:r w:rsidR="006B5618">
          <w:rPr>
            <w:noProof/>
            <w:webHidden/>
          </w:rPr>
        </w:r>
        <w:r w:rsidR="006B5618">
          <w:rPr>
            <w:noProof/>
            <w:webHidden/>
          </w:rPr>
          <w:fldChar w:fldCharType="separate"/>
        </w:r>
        <w:r w:rsidR="006B5618">
          <w:rPr>
            <w:noProof/>
            <w:webHidden/>
          </w:rPr>
          <w:t>15</w:t>
        </w:r>
        <w:r w:rsidR="006B5618">
          <w:rPr>
            <w:noProof/>
            <w:webHidden/>
          </w:rPr>
          <w:fldChar w:fldCharType="end"/>
        </w:r>
      </w:hyperlink>
    </w:p>
    <w:p w14:paraId="61F31781" w14:textId="6B903301" w:rsidR="006B5618" w:rsidRDefault="00576E76">
      <w:pPr>
        <w:pStyle w:val="TDC2"/>
        <w:rPr>
          <w:rFonts w:asciiTheme="minorHAnsi" w:eastAsiaTheme="minorEastAsia" w:hAnsiTheme="minorHAnsi" w:cstheme="minorBidi"/>
          <w:noProof/>
          <w:sz w:val="22"/>
          <w:szCs w:val="22"/>
          <w:lang w:val="es-ES" w:eastAsia="es-ES"/>
        </w:rPr>
      </w:pPr>
      <w:hyperlink w:anchor="_Toc527630335" w:history="1">
        <w:r w:rsidR="006B5618" w:rsidRPr="00793922">
          <w:rPr>
            <w:rStyle w:val="Hipervnculo"/>
            <w:rFonts w:cs="Arial"/>
            <w:noProof/>
            <w:lang w:val="es-ES"/>
          </w:rPr>
          <w:t>3.1. La política de la Administración General del Estado</w:t>
        </w:r>
        <w:r w:rsidR="006B5618">
          <w:rPr>
            <w:noProof/>
            <w:webHidden/>
          </w:rPr>
          <w:tab/>
        </w:r>
        <w:r w:rsidR="006B5618">
          <w:rPr>
            <w:noProof/>
            <w:webHidden/>
          </w:rPr>
          <w:fldChar w:fldCharType="begin"/>
        </w:r>
        <w:r w:rsidR="006B5618">
          <w:rPr>
            <w:noProof/>
            <w:webHidden/>
          </w:rPr>
          <w:instrText xml:space="preserve"> PAGEREF _Toc527630335 \h </w:instrText>
        </w:r>
        <w:r w:rsidR="006B5618">
          <w:rPr>
            <w:noProof/>
            <w:webHidden/>
          </w:rPr>
        </w:r>
        <w:r w:rsidR="006B5618">
          <w:rPr>
            <w:noProof/>
            <w:webHidden/>
          </w:rPr>
          <w:fldChar w:fldCharType="separate"/>
        </w:r>
        <w:r w:rsidR="006B5618">
          <w:rPr>
            <w:noProof/>
            <w:webHidden/>
          </w:rPr>
          <w:t>15</w:t>
        </w:r>
        <w:r w:rsidR="006B5618">
          <w:rPr>
            <w:noProof/>
            <w:webHidden/>
          </w:rPr>
          <w:fldChar w:fldCharType="end"/>
        </w:r>
      </w:hyperlink>
    </w:p>
    <w:p w14:paraId="45D9A5CD" w14:textId="12490A02" w:rsidR="006B5618" w:rsidRDefault="00576E76">
      <w:pPr>
        <w:pStyle w:val="TDC2"/>
        <w:rPr>
          <w:rFonts w:asciiTheme="minorHAnsi" w:eastAsiaTheme="minorEastAsia" w:hAnsiTheme="minorHAnsi" w:cstheme="minorBidi"/>
          <w:noProof/>
          <w:sz w:val="22"/>
          <w:szCs w:val="22"/>
          <w:lang w:val="es-ES" w:eastAsia="es-ES"/>
        </w:rPr>
      </w:pPr>
      <w:hyperlink w:anchor="_Toc527630336" w:history="1">
        <w:r w:rsidR="006B5618" w:rsidRPr="00793922">
          <w:rPr>
            <w:rStyle w:val="Hipervnculo"/>
            <w:rFonts w:cs="Arial"/>
            <w:noProof/>
            <w:lang w:val="es-ES"/>
          </w:rPr>
          <w:t>3.2. El Marco de la Unión Europea en materia de PYME</w:t>
        </w:r>
        <w:r w:rsidR="006B5618">
          <w:rPr>
            <w:noProof/>
            <w:webHidden/>
          </w:rPr>
          <w:tab/>
        </w:r>
        <w:r w:rsidR="006B5618">
          <w:rPr>
            <w:noProof/>
            <w:webHidden/>
          </w:rPr>
          <w:fldChar w:fldCharType="begin"/>
        </w:r>
        <w:r w:rsidR="006B5618">
          <w:rPr>
            <w:noProof/>
            <w:webHidden/>
          </w:rPr>
          <w:instrText xml:space="preserve"> PAGEREF _Toc527630336 \h </w:instrText>
        </w:r>
        <w:r w:rsidR="006B5618">
          <w:rPr>
            <w:noProof/>
            <w:webHidden/>
          </w:rPr>
        </w:r>
        <w:r w:rsidR="006B5618">
          <w:rPr>
            <w:noProof/>
            <w:webHidden/>
          </w:rPr>
          <w:fldChar w:fldCharType="separate"/>
        </w:r>
        <w:r w:rsidR="006B5618">
          <w:rPr>
            <w:noProof/>
            <w:webHidden/>
          </w:rPr>
          <w:t>16</w:t>
        </w:r>
        <w:r w:rsidR="006B5618">
          <w:rPr>
            <w:noProof/>
            <w:webHidden/>
          </w:rPr>
          <w:fldChar w:fldCharType="end"/>
        </w:r>
      </w:hyperlink>
    </w:p>
    <w:p w14:paraId="49BA7F91" w14:textId="5C2F214A" w:rsidR="006B5618" w:rsidRDefault="00576E76">
      <w:pPr>
        <w:pStyle w:val="TDC1"/>
        <w:rPr>
          <w:rFonts w:asciiTheme="minorHAnsi" w:eastAsiaTheme="minorEastAsia" w:hAnsiTheme="minorHAnsi" w:cstheme="minorBidi"/>
          <w:caps w:val="0"/>
          <w:noProof/>
          <w:sz w:val="22"/>
          <w:szCs w:val="22"/>
          <w:lang w:val="es-ES" w:eastAsia="es-ES"/>
        </w:rPr>
      </w:pPr>
      <w:hyperlink w:anchor="_Toc527630337" w:history="1">
        <w:r w:rsidR="006B5618" w:rsidRPr="00793922">
          <w:rPr>
            <w:rStyle w:val="Hipervnculo"/>
            <w:rFonts w:cs="Arial"/>
            <w:noProof/>
            <w:lang w:val="es-ES"/>
          </w:rPr>
          <w:t>4. Marco Estratégico</w:t>
        </w:r>
        <w:r w:rsidR="006B5618">
          <w:rPr>
            <w:noProof/>
            <w:webHidden/>
          </w:rPr>
          <w:tab/>
        </w:r>
        <w:r w:rsidR="006B5618">
          <w:rPr>
            <w:noProof/>
            <w:webHidden/>
          </w:rPr>
          <w:fldChar w:fldCharType="begin"/>
        </w:r>
        <w:r w:rsidR="006B5618">
          <w:rPr>
            <w:noProof/>
            <w:webHidden/>
          </w:rPr>
          <w:instrText xml:space="preserve"> PAGEREF _Toc527630337 \h </w:instrText>
        </w:r>
        <w:r w:rsidR="006B5618">
          <w:rPr>
            <w:noProof/>
            <w:webHidden/>
          </w:rPr>
        </w:r>
        <w:r w:rsidR="006B5618">
          <w:rPr>
            <w:noProof/>
            <w:webHidden/>
          </w:rPr>
          <w:fldChar w:fldCharType="separate"/>
        </w:r>
        <w:r w:rsidR="006B5618">
          <w:rPr>
            <w:noProof/>
            <w:webHidden/>
          </w:rPr>
          <w:t>19</w:t>
        </w:r>
        <w:r w:rsidR="006B5618">
          <w:rPr>
            <w:noProof/>
            <w:webHidden/>
          </w:rPr>
          <w:fldChar w:fldCharType="end"/>
        </w:r>
      </w:hyperlink>
    </w:p>
    <w:p w14:paraId="12BCAC34" w14:textId="0B6A2BF7" w:rsidR="006B5618" w:rsidRDefault="00576E76">
      <w:pPr>
        <w:pStyle w:val="TDC2"/>
        <w:rPr>
          <w:rFonts w:asciiTheme="minorHAnsi" w:eastAsiaTheme="minorEastAsia" w:hAnsiTheme="minorHAnsi" w:cstheme="minorBidi"/>
          <w:noProof/>
          <w:sz w:val="22"/>
          <w:szCs w:val="22"/>
          <w:lang w:val="es-ES" w:eastAsia="es-ES"/>
        </w:rPr>
      </w:pPr>
      <w:hyperlink w:anchor="_Toc527630338" w:history="1">
        <w:r w:rsidR="006B5618" w:rsidRPr="00793922">
          <w:rPr>
            <w:rStyle w:val="Hipervnculo"/>
            <w:rFonts w:cs="Arial"/>
            <w:noProof/>
            <w:lang w:val="es-ES"/>
          </w:rPr>
          <w:t>4.1. Emprendimiento</w:t>
        </w:r>
        <w:r w:rsidR="006B5618">
          <w:rPr>
            <w:noProof/>
            <w:webHidden/>
          </w:rPr>
          <w:tab/>
        </w:r>
        <w:r w:rsidR="006B5618">
          <w:rPr>
            <w:noProof/>
            <w:webHidden/>
          </w:rPr>
          <w:fldChar w:fldCharType="begin"/>
        </w:r>
        <w:r w:rsidR="006B5618">
          <w:rPr>
            <w:noProof/>
            <w:webHidden/>
          </w:rPr>
          <w:instrText xml:space="preserve"> PAGEREF _Toc527630338 \h </w:instrText>
        </w:r>
        <w:r w:rsidR="006B5618">
          <w:rPr>
            <w:noProof/>
            <w:webHidden/>
          </w:rPr>
        </w:r>
        <w:r w:rsidR="006B5618">
          <w:rPr>
            <w:noProof/>
            <w:webHidden/>
          </w:rPr>
          <w:fldChar w:fldCharType="separate"/>
        </w:r>
        <w:r w:rsidR="006B5618">
          <w:rPr>
            <w:noProof/>
            <w:webHidden/>
          </w:rPr>
          <w:t>20</w:t>
        </w:r>
        <w:r w:rsidR="006B5618">
          <w:rPr>
            <w:noProof/>
            <w:webHidden/>
          </w:rPr>
          <w:fldChar w:fldCharType="end"/>
        </w:r>
      </w:hyperlink>
    </w:p>
    <w:p w14:paraId="6B270827" w14:textId="0C8F0D18" w:rsidR="006B5618" w:rsidRDefault="00576E76">
      <w:pPr>
        <w:pStyle w:val="TDC3"/>
        <w:rPr>
          <w:rFonts w:asciiTheme="minorHAnsi" w:eastAsiaTheme="minorEastAsia" w:hAnsiTheme="minorHAnsi" w:cstheme="minorBidi"/>
          <w:noProof/>
          <w:sz w:val="22"/>
          <w:szCs w:val="22"/>
          <w:lang w:val="es-ES" w:eastAsia="es-ES"/>
        </w:rPr>
      </w:pPr>
      <w:hyperlink w:anchor="_Toc527630339" w:history="1">
        <w:r w:rsidR="006B5618" w:rsidRPr="00793922">
          <w:rPr>
            <w:rStyle w:val="Hipervnculo"/>
            <w:noProof/>
          </w:rPr>
          <w:t>4.1.1. Marco conceptual y diagnóstico</w:t>
        </w:r>
        <w:r w:rsidR="006B5618">
          <w:rPr>
            <w:noProof/>
            <w:webHidden/>
          </w:rPr>
          <w:tab/>
        </w:r>
        <w:r w:rsidR="006B5618">
          <w:rPr>
            <w:noProof/>
            <w:webHidden/>
          </w:rPr>
          <w:fldChar w:fldCharType="begin"/>
        </w:r>
        <w:r w:rsidR="006B5618">
          <w:rPr>
            <w:noProof/>
            <w:webHidden/>
          </w:rPr>
          <w:instrText xml:space="preserve"> PAGEREF _Toc527630339 \h </w:instrText>
        </w:r>
        <w:r w:rsidR="006B5618">
          <w:rPr>
            <w:noProof/>
            <w:webHidden/>
          </w:rPr>
        </w:r>
        <w:r w:rsidR="006B5618">
          <w:rPr>
            <w:noProof/>
            <w:webHidden/>
          </w:rPr>
          <w:fldChar w:fldCharType="separate"/>
        </w:r>
        <w:r w:rsidR="006B5618">
          <w:rPr>
            <w:noProof/>
            <w:webHidden/>
          </w:rPr>
          <w:t>20</w:t>
        </w:r>
        <w:r w:rsidR="006B5618">
          <w:rPr>
            <w:noProof/>
            <w:webHidden/>
          </w:rPr>
          <w:fldChar w:fldCharType="end"/>
        </w:r>
      </w:hyperlink>
    </w:p>
    <w:p w14:paraId="5370A206" w14:textId="41FDE05A" w:rsidR="006B5618" w:rsidRDefault="00576E76">
      <w:pPr>
        <w:pStyle w:val="TDC3"/>
        <w:rPr>
          <w:rFonts w:asciiTheme="minorHAnsi" w:eastAsiaTheme="minorEastAsia" w:hAnsiTheme="minorHAnsi" w:cstheme="minorBidi"/>
          <w:noProof/>
          <w:sz w:val="22"/>
          <w:szCs w:val="22"/>
          <w:lang w:val="es-ES" w:eastAsia="es-ES"/>
        </w:rPr>
      </w:pPr>
      <w:hyperlink w:anchor="_Toc527630340" w:history="1">
        <w:r w:rsidR="006B5618" w:rsidRPr="00793922">
          <w:rPr>
            <w:rStyle w:val="Hipervnculo"/>
            <w:noProof/>
          </w:rPr>
          <w:t>4.1.2. Líneas de actuación</w:t>
        </w:r>
        <w:r w:rsidR="006B5618">
          <w:rPr>
            <w:noProof/>
            <w:webHidden/>
          </w:rPr>
          <w:tab/>
        </w:r>
        <w:r w:rsidR="006B5618">
          <w:rPr>
            <w:noProof/>
            <w:webHidden/>
          </w:rPr>
          <w:fldChar w:fldCharType="begin"/>
        </w:r>
        <w:r w:rsidR="006B5618">
          <w:rPr>
            <w:noProof/>
            <w:webHidden/>
          </w:rPr>
          <w:instrText xml:space="preserve"> PAGEREF _Toc527630340 \h </w:instrText>
        </w:r>
        <w:r w:rsidR="006B5618">
          <w:rPr>
            <w:noProof/>
            <w:webHidden/>
          </w:rPr>
        </w:r>
        <w:r w:rsidR="006B5618">
          <w:rPr>
            <w:noProof/>
            <w:webHidden/>
          </w:rPr>
          <w:fldChar w:fldCharType="separate"/>
        </w:r>
        <w:r w:rsidR="006B5618">
          <w:rPr>
            <w:noProof/>
            <w:webHidden/>
          </w:rPr>
          <w:t>27</w:t>
        </w:r>
        <w:r w:rsidR="006B5618">
          <w:rPr>
            <w:noProof/>
            <w:webHidden/>
          </w:rPr>
          <w:fldChar w:fldCharType="end"/>
        </w:r>
      </w:hyperlink>
    </w:p>
    <w:p w14:paraId="2304A2B6" w14:textId="47A2D445" w:rsidR="006B5618" w:rsidRDefault="00576E76">
      <w:pPr>
        <w:pStyle w:val="TDC2"/>
        <w:rPr>
          <w:rFonts w:asciiTheme="minorHAnsi" w:eastAsiaTheme="minorEastAsia" w:hAnsiTheme="minorHAnsi" w:cstheme="minorBidi"/>
          <w:noProof/>
          <w:sz w:val="22"/>
          <w:szCs w:val="22"/>
          <w:lang w:val="es-ES" w:eastAsia="es-ES"/>
        </w:rPr>
      </w:pPr>
      <w:hyperlink w:anchor="_Toc527630341" w:history="1">
        <w:r w:rsidR="006B5618" w:rsidRPr="00793922">
          <w:rPr>
            <w:rStyle w:val="Hipervnculo"/>
            <w:rFonts w:cs="Arial"/>
            <w:noProof/>
            <w:lang w:val="es-ES"/>
          </w:rPr>
          <w:t>4.2. Gestión empresarial y talento</w:t>
        </w:r>
        <w:r w:rsidR="006B5618">
          <w:rPr>
            <w:noProof/>
            <w:webHidden/>
          </w:rPr>
          <w:tab/>
        </w:r>
        <w:r w:rsidR="006B5618">
          <w:rPr>
            <w:noProof/>
            <w:webHidden/>
          </w:rPr>
          <w:fldChar w:fldCharType="begin"/>
        </w:r>
        <w:r w:rsidR="006B5618">
          <w:rPr>
            <w:noProof/>
            <w:webHidden/>
          </w:rPr>
          <w:instrText xml:space="preserve"> PAGEREF _Toc527630341 \h </w:instrText>
        </w:r>
        <w:r w:rsidR="006B5618">
          <w:rPr>
            <w:noProof/>
            <w:webHidden/>
          </w:rPr>
        </w:r>
        <w:r w:rsidR="006B5618">
          <w:rPr>
            <w:noProof/>
            <w:webHidden/>
          </w:rPr>
          <w:fldChar w:fldCharType="separate"/>
        </w:r>
        <w:r w:rsidR="006B5618">
          <w:rPr>
            <w:noProof/>
            <w:webHidden/>
          </w:rPr>
          <w:t>29</w:t>
        </w:r>
        <w:r w:rsidR="006B5618">
          <w:rPr>
            <w:noProof/>
            <w:webHidden/>
          </w:rPr>
          <w:fldChar w:fldCharType="end"/>
        </w:r>
      </w:hyperlink>
    </w:p>
    <w:p w14:paraId="03E2F47E" w14:textId="2698DC97" w:rsidR="006B5618" w:rsidRDefault="00576E76">
      <w:pPr>
        <w:pStyle w:val="TDC3"/>
        <w:rPr>
          <w:rFonts w:asciiTheme="minorHAnsi" w:eastAsiaTheme="minorEastAsia" w:hAnsiTheme="minorHAnsi" w:cstheme="minorBidi"/>
          <w:noProof/>
          <w:sz w:val="22"/>
          <w:szCs w:val="22"/>
          <w:lang w:val="es-ES" w:eastAsia="es-ES"/>
        </w:rPr>
      </w:pPr>
      <w:hyperlink w:anchor="_Toc527630342" w:history="1">
        <w:r w:rsidR="006B5618" w:rsidRPr="00793922">
          <w:rPr>
            <w:rStyle w:val="Hipervnculo"/>
            <w:noProof/>
          </w:rPr>
          <w:t>4.2.1. Marco conceptual y diagnóstico</w:t>
        </w:r>
        <w:r w:rsidR="006B5618">
          <w:rPr>
            <w:noProof/>
            <w:webHidden/>
          </w:rPr>
          <w:tab/>
        </w:r>
        <w:r w:rsidR="006B5618">
          <w:rPr>
            <w:noProof/>
            <w:webHidden/>
          </w:rPr>
          <w:fldChar w:fldCharType="begin"/>
        </w:r>
        <w:r w:rsidR="006B5618">
          <w:rPr>
            <w:noProof/>
            <w:webHidden/>
          </w:rPr>
          <w:instrText xml:space="preserve"> PAGEREF _Toc527630342 \h </w:instrText>
        </w:r>
        <w:r w:rsidR="006B5618">
          <w:rPr>
            <w:noProof/>
            <w:webHidden/>
          </w:rPr>
        </w:r>
        <w:r w:rsidR="006B5618">
          <w:rPr>
            <w:noProof/>
            <w:webHidden/>
          </w:rPr>
          <w:fldChar w:fldCharType="separate"/>
        </w:r>
        <w:r w:rsidR="006B5618">
          <w:rPr>
            <w:noProof/>
            <w:webHidden/>
          </w:rPr>
          <w:t>29</w:t>
        </w:r>
        <w:r w:rsidR="006B5618">
          <w:rPr>
            <w:noProof/>
            <w:webHidden/>
          </w:rPr>
          <w:fldChar w:fldCharType="end"/>
        </w:r>
      </w:hyperlink>
    </w:p>
    <w:p w14:paraId="34CA271E" w14:textId="6B5677D4" w:rsidR="006B5618" w:rsidRDefault="00576E76">
      <w:pPr>
        <w:pStyle w:val="TDC3"/>
        <w:rPr>
          <w:rFonts w:asciiTheme="minorHAnsi" w:eastAsiaTheme="minorEastAsia" w:hAnsiTheme="minorHAnsi" w:cstheme="minorBidi"/>
          <w:noProof/>
          <w:sz w:val="22"/>
          <w:szCs w:val="22"/>
          <w:lang w:val="es-ES" w:eastAsia="es-ES"/>
        </w:rPr>
      </w:pPr>
      <w:hyperlink w:anchor="_Toc527630343" w:history="1">
        <w:r w:rsidR="006B5618" w:rsidRPr="00793922">
          <w:rPr>
            <w:rStyle w:val="Hipervnculo"/>
            <w:noProof/>
          </w:rPr>
          <w:t>4.2.2. Líneas de actuación</w:t>
        </w:r>
        <w:r w:rsidR="006B5618">
          <w:rPr>
            <w:noProof/>
            <w:webHidden/>
          </w:rPr>
          <w:tab/>
        </w:r>
        <w:r w:rsidR="006B5618">
          <w:rPr>
            <w:noProof/>
            <w:webHidden/>
          </w:rPr>
          <w:fldChar w:fldCharType="begin"/>
        </w:r>
        <w:r w:rsidR="006B5618">
          <w:rPr>
            <w:noProof/>
            <w:webHidden/>
          </w:rPr>
          <w:instrText xml:space="preserve"> PAGEREF _Toc527630343 \h </w:instrText>
        </w:r>
        <w:r w:rsidR="006B5618">
          <w:rPr>
            <w:noProof/>
            <w:webHidden/>
          </w:rPr>
        </w:r>
        <w:r w:rsidR="006B5618">
          <w:rPr>
            <w:noProof/>
            <w:webHidden/>
          </w:rPr>
          <w:fldChar w:fldCharType="separate"/>
        </w:r>
        <w:r w:rsidR="006B5618">
          <w:rPr>
            <w:noProof/>
            <w:webHidden/>
          </w:rPr>
          <w:t>35</w:t>
        </w:r>
        <w:r w:rsidR="006B5618">
          <w:rPr>
            <w:noProof/>
            <w:webHidden/>
          </w:rPr>
          <w:fldChar w:fldCharType="end"/>
        </w:r>
      </w:hyperlink>
    </w:p>
    <w:p w14:paraId="4A4B7D38" w14:textId="1269E8F1" w:rsidR="006B5618" w:rsidRDefault="00576E76">
      <w:pPr>
        <w:pStyle w:val="TDC2"/>
        <w:rPr>
          <w:rFonts w:asciiTheme="minorHAnsi" w:eastAsiaTheme="minorEastAsia" w:hAnsiTheme="minorHAnsi" w:cstheme="minorBidi"/>
          <w:noProof/>
          <w:sz w:val="22"/>
          <w:szCs w:val="22"/>
          <w:lang w:val="es-ES" w:eastAsia="es-ES"/>
        </w:rPr>
      </w:pPr>
      <w:hyperlink w:anchor="_Toc527630344" w:history="1">
        <w:r w:rsidR="006B5618" w:rsidRPr="00793922">
          <w:rPr>
            <w:rStyle w:val="Hipervnculo"/>
            <w:rFonts w:cs="Arial"/>
            <w:noProof/>
            <w:lang w:val="es-ES"/>
          </w:rPr>
          <w:t>4.3. Marco regulatorio</w:t>
        </w:r>
        <w:r w:rsidR="006B5618">
          <w:rPr>
            <w:noProof/>
            <w:webHidden/>
          </w:rPr>
          <w:tab/>
        </w:r>
        <w:r w:rsidR="006B5618">
          <w:rPr>
            <w:noProof/>
            <w:webHidden/>
          </w:rPr>
          <w:fldChar w:fldCharType="begin"/>
        </w:r>
        <w:r w:rsidR="006B5618">
          <w:rPr>
            <w:noProof/>
            <w:webHidden/>
          </w:rPr>
          <w:instrText xml:space="preserve"> PAGEREF _Toc527630344 \h </w:instrText>
        </w:r>
        <w:r w:rsidR="006B5618">
          <w:rPr>
            <w:noProof/>
            <w:webHidden/>
          </w:rPr>
        </w:r>
        <w:r w:rsidR="006B5618">
          <w:rPr>
            <w:noProof/>
            <w:webHidden/>
          </w:rPr>
          <w:fldChar w:fldCharType="separate"/>
        </w:r>
        <w:r w:rsidR="006B5618">
          <w:rPr>
            <w:noProof/>
            <w:webHidden/>
          </w:rPr>
          <w:t>36</w:t>
        </w:r>
        <w:r w:rsidR="006B5618">
          <w:rPr>
            <w:noProof/>
            <w:webHidden/>
          </w:rPr>
          <w:fldChar w:fldCharType="end"/>
        </w:r>
      </w:hyperlink>
    </w:p>
    <w:p w14:paraId="4D0FA695" w14:textId="5AC820BF" w:rsidR="006B5618" w:rsidRDefault="00576E76">
      <w:pPr>
        <w:pStyle w:val="TDC3"/>
        <w:rPr>
          <w:rFonts w:asciiTheme="minorHAnsi" w:eastAsiaTheme="minorEastAsia" w:hAnsiTheme="minorHAnsi" w:cstheme="minorBidi"/>
          <w:noProof/>
          <w:sz w:val="22"/>
          <w:szCs w:val="22"/>
          <w:lang w:val="es-ES" w:eastAsia="es-ES"/>
        </w:rPr>
      </w:pPr>
      <w:hyperlink w:anchor="_Toc527630345" w:history="1">
        <w:r w:rsidR="006B5618" w:rsidRPr="00793922">
          <w:rPr>
            <w:rStyle w:val="Hipervnculo"/>
            <w:noProof/>
          </w:rPr>
          <w:t>4.3.1. Marco conceptual y diagnóstico</w:t>
        </w:r>
        <w:r w:rsidR="006B5618">
          <w:rPr>
            <w:noProof/>
            <w:webHidden/>
          </w:rPr>
          <w:tab/>
        </w:r>
        <w:r w:rsidR="006B5618">
          <w:rPr>
            <w:noProof/>
            <w:webHidden/>
          </w:rPr>
          <w:fldChar w:fldCharType="begin"/>
        </w:r>
        <w:r w:rsidR="006B5618">
          <w:rPr>
            <w:noProof/>
            <w:webHidden/>
          </w:rPr>
          <w:instrText xml:space="preserve"> PAGEREF _Toc527630345 \h </w:instrText>
        </w:r>
        <w:r w:rsidR="006B5618">
          <w:rPr>
            <w:noProof/>
            <w:webHidden/>
          </w:rPr>
        </w:r>
        <w:r w:rsidR="006B5618">
          <w:rPr>
            <w:noProof/>
            <w:webHidden/>
          </w:rPr>
          <w:fldChar w:fldCharType="separate"/>
        </w:r>
        <w:r w:rsidR="006B5618">
          <w:rPr>
            <w:noProof/>
            <w:webHidden/>
          </w:rPr>
          <w:t>36</w:t>
        </w:r>
        <w:r w:rsidR="006B5618">
          <w:rPr>
            <w:noProof/>
            <w:webHidden/>
          </w:rPr>
          <w:fldChar w:fldCharType="end"/>
        </w:r>
      </w:hyperlink>
    </w:p>
    <w:p w14:paraId="6C7688C7" w14:textId="19D53A4C" w:rsidR="006B5618" w:rsidRDefault="00576E76">
      <w:pPr>
        <w:pStyle w:val="TDC3"/>
        <w:rPr>
          <w:rFonts w:asciiTheme="minorHAnsi" w:eastAsiaTheme="minorEastAsia" w:hAnsiTheme="minorHAnsi" w:cstheme="minorBidi"/>
          <w:noProof/>
          <w:sz w:val="22"/>
          <w:szCs w:val="22"/>
          <w:lang w:val="es-ES" w:eastAsia="es-ES"/>
        </w:rPr>
      </w:pPr>
      <w:hyperlink w:anchor="_Toc527630346" w:history="1">
        <w:r w:rsidR="006B5618" w:rsidRPr="00793922">
          <w:rPr>
            <w:rStyle w:val="Hipervnculo"/>
            <w:noProof/>
          </w:rPr>
          <w:t>4.3.2. Líneas de actuación</w:t>
        </w:r>
        <w:r w:rsidR="006B5618">
          <w:rPr>
            <w:noProof/>
            <w:webHidden/>
          </w:rPr>
          <w:tab/>
        </w:r>
        <w:r w:rsidR="006B5618">
          <w:rPr>
            <w:noProof/>
            <w:webHidden/>
          </w:rPr>
          <w:fldChar w:fldCharType="begin"/>
        </w:r>
        <w:r w:rsidR="006B5618">
          <w:rPr>
            <w:noProof/>
            <w:webHidden/>
          </w:rPr>
          <w:instrText xml:space="preserve"> PAGEREF _Toc527630346 \h </w:instrText>
        </w:r>
        <w:r w:rsidR="006B5618">
          <w:rPr>
            <w:noProof/>
            <w:webHidden/>
          </w:rPr>
        </w:r>
        <w:r w:rsidR="006B5618">
          <w:rPr>
            <w:noProof/>
            <w:webHidden/>
          </w:rPr>
          <w:fldChar w:fldCharType="separate"/>
        </w:r>
        <w:r w:rsidR="006B5618">
          <w:rPr>
            <w:noProof/>
            <w:webHidden/>
          </w:rPr>
          <w:t>42</w:t>
        </w:r>
        <w:r w:rsidR="006B5618">
          <w:rPr>
            <w:noProof/>
            <w:webHidden/>
          </w:rPr>
          <w:fldChar w:fldCharType="end"/>
        </w:r>
      </w:hyperlink>
    </w:p>
    <w:p w14:paraId="1A6A34A7" w14:textId="1790F3CA" w:rsidR="006B5618" w:rsidRDefault="00576E76">
      <w:pPr>
        <w:pStyle w:val="TDC2"/>
        <w:rPr>
          <w:rFonts w:asciiTheme="minorHAnsi" w:eastAsiaTheme="minorEastAsia" w:hAnsiTheme="minorHAnsi" w:cstheme="minorBidi"/>
          <w:noProof/>
          <w:sz w:val="22"/>
          <w:szCs w:val="22"/>
          <w:lang w:val="es-ES" w:eastAsia="es-ES"/>
        </w:rPr>
      </w:pPr>
      <w:hyperlink w:anchor="_Toc527630347" w:history="1">
        <w:r w:rsidR="006B5618" w:rsidRPr="00793922">
          <w:rPr>
            <w:rStyle w:val="Hipervnculo"/>
            <w:rFonts w:cs="Arial"/>
            <w:noProof/>
            <w:lang w:val="es-ES"/>
          </w:rPr>
          <w:t>4.4. Financiación</w:t>
        </w:r>
        <w:r w:rsidR="006B5618">
          <w:rPr>
            <w:noProof/>
            <w:webHidden/>
          </w:rPr>
          <w:tab/>
        </w:r>
        <w:r w:rsidR="006B5618">
          <w:rPr>
            <w:noProof/>
            <w:webHidden/>
          </w:rPr>
          <w:fldChar w:fldCharType="begin"/>
        </w:r>
        <w:r w:rsidR="006B5618">
          <w:rPr>
            <w:noProof/>
            <w:webHidden/>
          </w:rPr>
          <w:instrText xml:space="preserve"> PAGEREF _Toc527630347 \h </w:instrText>
        </w:r>
        <w:r w:rsidR="006B5618">
          <w:rPr>
            <w:noProof/>
            <w:webHidden/>
          </w:rPr>
        </w:r>
        <w:r w:rsidR="006B5618">
          <w:rPr>
            <w:noProof/>
            <w:webHidden/>
          </w:rPr>
          <w:fldChar w:fldCharType="separate"/>
        </w:r>
        <w:r w:rsidR="006B5618">
          <w:rPr>
            <w:noProof/>
            <w:webHidden/>
          </w:rPr>
          <w:t>44</w:t>
        </w:r>
        <w:r w:rsidR="006B5618">
          <w:rPr>
            <w:noProof/>
            <w:webHidden/>
          </w:rPr>
          <w:fldChar w:fldCharType="end"/>
        </w:r>
      </w:hyperlink>
    </w:p>
    <w:p w14:paraId="7772B5F8" w14:textId="35215F7E" w:rsidR="006B5618" w:rsidRDefault="00576E76">
      <w:pPr>
        <w:pStyle w:val="TDC3"/>
        <w:rPr>
          <w:rFonts w:asciiTheme="minorHAnsi" w:eastAsiaTheme="minorEastAsia" w:hAnsiTheme="minorHAnsi" w:cstheme="minorBidi"/>
          <w:noProof/>
          <w:sz w:val="22"/>
          <w:szCs w:val="22"/>
          <w:lang w:val="es-ES" w:eastAsia="es-ES"/>
        </w:rPr>
      </w:pPr>
      <w:hyperlink w:anchor="_Toc527630348" w:history="1">
        <w:r w:rsidR="006B5618" w:rsidRPr="00793922">
          <w:rPr>
            <w:rStyle w:val="Hipervnculo"/>
            <w:noProof/>
          </w:rPr>
          <w:t>4.4.1. Marco conceptual y diagnóstico</w:t>
        </w:r>
        <w:r w:rsidR="006B5618">
          <w:rPr>
            <w:noProof/>
            <w:webHidden/>
          </w:rPr>
          <w:tab/>
        </w:r>
        <w:r w:rsidR="006B5618">
          <w:rPr>
            <w:noProof/>
            <w:webHidden/>
          </w:rPr>
          <w:fldChar w:fldCharType="begin"/>
        </w:r>
        <w:r w:rsidR="006B5618">
          <w:rPr>
            <w:noProof/>
            <w:webHidden/>
          </w:rPr>
          <w:instrText xml:space="preserve"> PAGEREF _Toc527630348 \h </w:instrText>
        </w:r>
        <w:r w:rsidR="006B5618">
          <w:rPr>
            <w:noProof/>
            <w:webHidden/>
          </w:rPr>
        </w:r>
        <w:r w:rsidR="006B5618">
          <w:rPr>
            <w:noProof/>
            <w:webHidden/>
          </w:rPr>
          <w:fldChar w:fldCharType="separate"/>
        </w:r>
        <w:r w:rsidR="006B5618">
          <w:rPr>
            <w:noProof/>
            <w:webHidden/>
          </w:rPr>
          <w:t>44</w:t>
        </w:r>
        <w:r w:rsidR="006B5618">
          <w:rPr>
            <w:noProof/>
            <w:webHidden/>
          </w:rPr>
          <w:fldChar w:fldCharType="end"/>
        </w:r>
      </w:hyperlink>
    </w:p>
    <w:p w14:paraId="06BBD9FE" w14:textId="5E31C3D4" w:rsidR="006B5618" w:rsidRDefault="00576E76">
      <w:pPr>
        <w:pStyle w:val="TDC3"/>
        <w:rPr>
          <w:rFonts w:asciiTheme="minorHAnsi" w:eastAsiaTheme="minorEastAsia" w:hAnsiTheme="minorHAnsi" w:cstheme="minorBidi"/>
          <w:noProof/>
          <w:sz w:val="22"/>
          <w:szCs w:val="22"/>
          <w:lang w:val="es-ES" w:eastAsia="es-ES"/>
        </w:rPr>
      </w:pPr>
      <w:hyperlink w:anchor="_Toc527630349" w:history="1">
        <w:r w:rsidR="006B5618" w:rsidRPr="00793922">
          <w:rPr>
            <w:rStyle w:val="Hipervnculo"/>
            <w:noProof/>
          </w:rPr>
          <w:t>4.4.2. Líneas de actuación</w:t>
        </w:r>
        <w:r w:rsidR="006B5618">
          <w:rPr>
            <w:noProof/>
            <w:webHidden/>
          </w:rPr>
          <w:tab/>
        </w:r>
        <w:r w:rsidR="006B5618">
          <w:rPr>
            <w:noProof/>
            <w:webHidden/>
          </w:rPr>
          <w:fldChar w:fldCharType="begin"/>
        </w:r>
        <w:r w:rsidR="006B5618">
          <w:rPr>
            <w:noProof/>
            <w:webHidden/>
          </w:rPr>
          <w:instrText xml:space="preserve"> PAGEREF _Toc527630349 \h </w:instrText>
        </w:r>
        <w:r w:rsidR="006B5618">
          <w:rPr>
            <w:noProof/>
            <w:webHidden/>
          </w:rPr>
        </w:r>
        <w:r w:rsidR="006B5618">
          <w:rPr>
            <w:noProof/>
            <w:webHidden/>
          </w:rPr>
          <w:fldChar w:fldCharType="separate"/>
        </w:r>
        <w:r w:rsidR="006B5618">
          <w:rPr>
            <w:noProof/>
            <w:webHidden/>
          </w:rPr>
          <w:t>50</w:t>
        </w:r>
        <w:r w:rsidR="006B5618">
          <w:rPr>
            <w:noProof/>
            <w:webHidden/>
          </w:rPr>
          <w:fldChar w:fldCharType="end"/>
        </w:r>
      </w:hyperlink>
    </w:p>
    <w:p w14:paraId="6FA69227" w14:textId="605272E1" w:rsidR="006B5618" w:rsidRDefault="00576E76">
      <w:pPr>
        <w:pStyle w:val="TDC2"/>
        <w:rPr>
          <w:rFonts w:asciiTheme="minorHAnsi" w:eastAsiaTheme="minorEastAsia" w:hAnsiTheme="minorHAnsi" w:cstheme="minorBidi"/>
          <w:noProof/>
          <w:sz w:val="22"/>
          <w:szCs w:val="22"/>
          <w:lang w:val="es-ES" w:eastAsia="es-ES"/>
        </w:rPr>
      </w:pPr>
      <w:hyperlink w:anchor="_Toc527630350" w:history="1">
        <w:r w:rsidR="006B5618" w:rsidRPr="00793922">
          <w:rPr>
            <w:rStyle w:val="Hipervnculo"/>
            <w:rFonts w:cs="Arial"/>
            <w:noProof/>
            <w:lang w:val="es-ES"/>
          </w:rPr>
          <w:t>4.5. Innovación y digitalización</w:t>
        </w:r>
        <w:r w:rsidR="006B5618">
          <w:rPr>
            <w:noProof/>
            <w:webHidden/>
          </w:rPr>
          <w:tab/>
        </w:r>
        <w:r w:rsidR="006B5618">
          <w:rPr>
            <w:noProof/>
            <w:webHidden/>
          </w:rPr>
          <w:fldChar w:fldCharType="begin"/>
        </w:r>
        <w:r w:rsidR="006B5618">
          <w:rPr>
            <w:noProof/>
            <w:webHidden/>
          </w:rPr>
          <w:instrText xml:space="preserve"> PAGEREF _Toc527630350 \h </w:instrText>
        </w:r>
        <w:r w:rsidR="006B5618">
          <w:rPr>
            <w:noProof/>
            <w:webHidden/>
          </w:rPr>
        </w:r>
        <w:r w:rsidR="006B5618">
          <w:rPr>
            <w:noProof/>
            <w:webHidden/>
          </w:rPr>
          <w:fldChar w:fldCharType="separate"/>
        </w:r>
        <w:r w:rsidR="006B5618">
          <w:rPr>
            <w:noProof/>
            <w:webHidden/>
          </w:rPr>
          <w:t>52</w:t>
        </w:r>
        <w:r w:rsidR="006B5618">
          <w:rPr>
            <w:noProof/>
            <w:webHidden/>
          </w:rPr>
          <w:fldChar w:fldCharType="end"/>
        </w:r>
      </w:hyperlink>
    </w:p>
    <w:p w14:paraId="6441DACD" w14:textId="48E3EF05" w:rsidR="006B5618" w:rsidRDefault="00576E76">
      <w:pPr>
        <w:pStyle w:val="TDC3"/>
        <w:rPr>
          <w:rFonts w:asciiTheme="minorHAnsi" w:eastAsiaTheme="minorEastAsia" w:hAnsiTheme="minorHAnsi" w:cstheme="minorBidi"/>
          <w:noProof/>
          <w:sz w:val="22"/>
          <w:szCs w:val="22"/>
          <w:lang w:val="es-ES" w:eastAsia="es-ES"/>
        </w:rPr>
      </w:pPr>
      <w:hyperlink w:anchor="_Toc527630351" w:history="1">
        <w:r w:rsidR="006B5618" w:rsidRPr="00793922">
          <w:rPr>
            <w:rStyle w:val="Hipervnculo"/>
            <w:noProof/>
          </w:rPr>
          <w:t>4.5.1. Marco conceptual y diagnóstico</w:t>
        </w:r>
        <w:r w:rsidR="006B5618">
          <w:rPr>
            <w:noProof/>
            <w:webHidden/>
          </w:rPr>
          <w:tab/>
        </w:r>
        <w:r w:rsidR="006B5618">
          <w:rPr>
            <w:noProof/>
            <w:webHidden/>
          </w:rPr>
          <w:fldChar w:fldCharType="begin"/>
        </w:r>
        <w:r w:rsidR="006B5618">
          <w:rPr>
            <w:noProof/>
            <w:webHidden/>
          </w:rPr>
          <w:instrText xml:space="preserve"> PAGEREF _Toc527630351 \h </w:instrText>
        </w:r>
        <w:r w:rsidR="006B5618">
          <w:rPr>
            <w:noProof/>
            <w:webHidden/>
          </w:rPr>
        </w:r>
        <w:r w:rsidR="006B5618">
          <w:rPr>
            <w:noProof/>
            <w:webHidden/>
          </w:rPr>
          <w:fldChar w:fldCharType="separate"/>
        </w:r>
        <w:r w:rsidR="006B5618">
          <w:rPr>
            <w:noProof/>
            <w:webHidden/>
          </w:rPr>
          <w:t>52</w:t>
        </w:r>
        <w:r w:rsidR="006B5618">
          <w:rPr>
            <w:noProof/>
            <w:webHidden/>
          </w:rPr>
          <w:fldChar w:fldCharType="end"/>
        </w:r>
      </w:hyperlink>
    </w:p>
    <w:p w14:paraId="4D73D565" w14:textId="03B38C65" w:rsidR="006B5618" w:rsidRDefault="00576E76">
      <w:pPr>
        <w:pStyle w:val="TDC3"/>
        <w:rPr>
          <w:rFonts w:asciiTheme="minorHAnsi" w:eastAsiaTheme="minorEastAsia" w:hAnsiTheme="minorHAnsi" w:cstheme="minorBidi"/>
          <w:noProof/>
          <w:sz w:val="22"/>
          <w:szCs w:val="22"/>
          <w:lang w:val="es-ES" w:eastAsia="es-ES"/>
        </w:rPr>
      </w:pPr>
      <w:hyperlink w:anchor="_Toc527630352" w:history="1">
        <w:r w:rsidR="006B5618" w:rsidRPr="00793922">
          <w:rPr>
            <w:rStyle w:val="Hipervnculo"/>
            <w:noProof/>
          </w:rPr>
          <w:t>4.5.2. Líneas de actuación</w:t>
        </w:r>
        <w:r w:rsidR="006B5618">
          <w:rPr>
            <w:noProof/>
            <w:webHidden/>
          </w:rPr>
          <w:tab/>
        </w:r>
        <w:r w:rsidR="006B5618">
          <w:rPr>
            <w:noProof/>
            <w:webHidden/>
          </w:rPr>
          <w:fldChar w:fldCharType="begin"/>
        </w:r>
        <w:r w:rsidR="006B5618">
          <w:rPr>
            <w:noProof/>
            <w:webHidden/>
          </w:rPr>
          <w:instrText xml:space="preserve"> PAGEREF _Toc527630352 \h </w:instrText>
        </w:r>
        <w:r w:rsidR="006B5618">
          <w:rPr>
            <w:noProof/>
            <w:webHidden/>
          </w:rPr>
        </w:r>
        <w:r w:rsidR="006B5618">
          <w:rPr>
            <w:noProof/>
            <w:webHidden/>
          </w:rPr>
          <w:fldChar w:fldCharType="separate"/>
        </w:r>
        <w:r w:rsidR="006B5618">
          <w:rPr>
            <w:noProof/>
            <w:webHidden/>
          </w:rPr>
          <w:t>61</w:t>
        </w:r>
        <w:r w:rsidR="006B5618">
          <w:rPr>
            <w:noProof/>
            <w:webHidden/>
          </w:rPr>
          <w:fldChar w:fldCharType="end"/>
        </w:r>
      </w:hyperlink>
    </w:p>
    <w:p w14:paraId="6FCE653F" w14:textId="2BFF865B" w:rsidR="006B5618" w:rsidRDefault="00576E76">
      <w:pPr>
        <w:pStyle w:val="TDC2"/>
        <w:rPr>
          <w:rFonts w:asciiTheme="minorHAnsi" w:eastAsiaTheme="minorEastAsia" w:hAnsiTheme="minorHAnsi" w:cstheme="minorBidi"/>
          <w:noProof/>
          <w:sz w:val="22"/>
          <w:szCs w:val="22"/>
          <w:lang w:val="es-ES" w:eastAsia="es-ES"/>
        </w:rPr>
      </w:pPr>
      <w:hyperlink w:anchor="_Toc527630353" w:history="1">
        <w:r w:rsidR="006B5618" w:rsidRPr="00793922">
          <w:rPr>
            <w:rStyle w:val="Hipervnculo"/>
            <w:rFonts w:cs="Arial"/>
            <w:noProof/>
            <w:lang w:val="es-ES"/>
          </w:rPr>
          <w:t>4.6. Sostenibilidad</w:t>
        </w:r>
        <w:r w:rsidR="006B5618">
          <w:rPr>
            <w:noProof/>
            <w:webHidden/>
          </w:rPr>
          <w:tab/>
        </w:r>
        <w:r w:rsidR="006B5618">
          <w:rPr>
            <w:noProof/>
            <w:webHidden/>
          </w:rPr>
          <w:fldChar w:fldCharType="begin"/>
        </w:r>
        <w:r w:rsidR="006B5618">
          <w:rPr>
            <w:noProof/>
            <w:webHidden/>
          </w:rPr>
          <w:instrText xml:space="preserve"> PAGEREF _Toc527630353 \h </w:instrText>
        </w:r>
        <w:r w:rsidR="006B5618">
          <w:rPr>
            <w:noProof/>
            <w:webHidden/>
          </w:rPr>
        </w:r>
        <w:r w:rsidR="006B5618">
          <w:rPr>
            <w:noProof/>
            <w:webHidden/>
          </w:rPr>
          <w:fldChar w:fldCharType="separate"/>
        </w:r>
        <w:r w:rsidR="006B5618">
          <w:rPr>
            <w:noProof/>
            <w:webHidden/>
          </w:rPr>
          <w:t>63</w:t>
        </w:r>
        <w:r w:rsidR="006B5618">
          <w:rPr>
            <w:noProof/>
            <w:webHidden/>
          </w:rPr>
          <w:fldChar w:fldCharType="end"/>
        </w:r>
      </w:hyperlink>
    </w:p>
    <w:p w14:paraId="5C0F0EC2" w14:textId="7B18ACDF" w:rsidR="006B5618" w:rsidRDefault="00576E76">
      <w:pPr>
        <w:pStyle w:val="TDC3"/>
        <w:rPr>
          <w:rFonts w:asciiTheme="minorHAnsi" w:eastAsiaTheme="minorEastAsia" w:hAnsiTheme="minorHAnsi" w:cstheme="minorBidi"/>
          <w:noProof/>
          <w:sz w:val="22"/>
          <w:szCs w:val="22"/>
          <w:lang w:val="es-ES" w:eastAsia="es-ES"/>
        </w:rPr>
      </w:pPr>
      <w:hyperlink w:anchor="_Toc527630354" w:history="1">
        <w:r w:rsidR="006B5618" w:rsidRPr="00793922">
          <w:rPr>
            <w:rStyle w:val="Hipervnculo"/>
            <w:noProof/>
          </w:rPr>
          <w:t>4.6.1. Marco conceptual y diagnóstico</w:t>
        </w:r>
        <w:r w:rsidR="006B5618">
          <w:rPr>
            <w:noProof/>
            <w:webHidden/>
          </w:rPr>
          <w:tab/>
        </w:r>
        <w:r w:rsidR="006B5618">
          <w:rPr>
            <w:noProof/>
            <w:webHidden/>
          </w:rPr>
          <w:fldChar w:fldCharType="begin"/>
        </w:r>
        <w:r w:rsidR="006B5618">
          <w:rPr>
            <w:noProof/>
            <w:webHidden/>
          </w:rPr>
          <w:instrText xml:space="preserve"> PAGEREF _Toc527630354 \h </w:instrText>
        </w:r>
        <w:r w:rsidR="006B5618">
          <w:rPr>
            <w:noProof/>
            <w:webHidden/>
          </w:rPr>
        </w:r>
        <w:r w:rsidR="006B5618">
          <w:rPr>
            <w:noProof/>
            <w:webHidden/>
          </w:rPr>
          <w:fldChar w:fldCharType="separate"/>
        </w:r>
        <w:r w:rsidR="006B5618">
          <w:rPr>
            <w:noProof/>
            <w:webHidden/>
          </w:rPr>
          <w:t>63</w:t>
        </w:r>
        <w:r w:rsidR="006B5618">
          <w:rPr>
            <w:noProof/>
            <w:webHidden/>
          </w:rPr>
          <w:fldChar w:fldCharType="end"/>
        </w:r>
      </w:hyperlink>
    </w:p>
    <w:p w14:paraId="48B5FF78" w14:textId="28496FD0" w:rsidR="006B5618" w:rsidRDefault="00576E76">
      <w:pPr>
        <w:pStyle w:val="TDC3"/>
        <w:rPr>
          <w:rFonts w:asciiTheme="minorHAnsi" w:eastAsiaTheme="minorEastAsia" w:hAnsiTheme="minorHAnsi" w:cstheme="minorBidi"/>
          <w:noProof/>
          <w:sz w:val="22"/>
          <w:szCs w:val="22"/>
          <w:lang w:val="es-ES" w:eastAsia="es-ES"/>
        </w:rPr>
      </w:pPr>
      <w:hyperlink w:anchor="_Toc527630355" w:history="1">
        <w:r w:rsidR="006B5618" w:rsidRPr="00793922">
          <w:rPr>
            <w:rStyle w:val="Hipervnculo"/>
            <w:noProof/>
          </w:rPr>
          <w:t>4.6.2. Líneas de actuación</w:t>
        </w:r>
        <w:r w:rsidR="006B5618">
          <w:rPr>
            <w:noProof/>
            <w:webHidden/>
          </w:rPr>
          <w:tab/>
        </w:r>
        <w:r w:rsidR="006B5618">
          <w:rPr>
            <w:noProof/>
            <w:webHidden/>
          </w:rPr>
          <w:fldChar w:fldCharType="begin"/>
        </w:r>
        <w:r w:rsidR="006B5618">
          <w:rPr>
            <w:noProof/>
            <w:webHidden/>
          </w:rPr>
          <w:instrText xml:space="preserve"> PAGEREF _Toc527630355 \h </w:instrText>
        </w:r>
        <w:r w:rsidR="006B5618">
          <w:rPr>
            <w:noProof/>
            <w:webHidden/>
          </w:rPr>
        </w:r>
        <w:r w:rsidR="006B5618">
          <w:rPr>
            <w:noProof/>
            <w:webHidden/>
          </w:rPr>
          <w:fldChar w:fldCharType="separate"/>
        </w:r>
        <w:r w:rsidR="006B5618">
          <w:rPr>
            <w:noProof/>
            <w:webHidden/>
          </w:rPr>
          <w:t>67</w:t>
        </w:r>
        <w:r w:rsidR="006B5618">
          <w:rPr>
            <w:noProof/>
            <w:webHidden/>
          </w:rPr>
          <w:fldChar w:fldCharType="end"/>
        </w:r>
      </w:hyperlink>
    </w:p>
    <w:p w14:paraId="09167404" w14:textId="47C107B6" w:rsidR="006B5618" w:rsidRDefault="00576E76">
      <w:pPr>
        <w:pStyle w:val="TDC2"/>
        <w:rPr>
          <w:rFonts w:asciiTheme="minorHAnsi" w:eastAsiaTheme="minorEastAsia" w:hAnsiTheme="minorHAnsi" w:cstheme="minorBidi"/>
          <w:noProof/>
          <w:sz w:val="22"/>
          <w:szCs w:val="22"/>
          <w:lang w:val="es-ES" w:eastAsia="es-ES"/>
        </w:rPr>
      </w:pPr>
      <w:hyperlink w:anchor="_Toc527630356" w:history="1">
        <w:r w:rsidR="006B5618" w:rsidRPr="00793922">
          <w:rPr>
            <w:rStyle w:val="Hipervnculo"/>
            <w:rFonts w:cs="Arial"/>
            <w:noProof/>
            <w:lang w:val="es-ES"/>
          </w:rPr>
          <w:t>4.7. Internacionalización</w:t>
        </w:r>
        <w:r w:rsidR="006B5618">
          <w:rPr>
            <w:noProof/>
            <w:webHidden/>
          </w:rPr>
          <w:tab/>
        </w:r>
        <w:r w:rsidR="006B5618">
          <w:rPr>
            <w:noProof/>
            <w:webHidden/>
          </w:rPr>
          <w:fldChar w:fldCharType="begin"/>
        </w:r>
        <w:r w:rsidR="006B5618">
          <w:rPr>
            <w:noProof/>
            <w:webHidden/>
          </w:rPr>
          <w:instrText xml:space="preserve"> PAGEREF _Toc527630356 \h </w:instrText>
        </w:r>
        <w:r w:rsidR="006B5618">
          <w:rPr>
            <w:noProof/>
            <w:webHidden/>
          </w:rPr>
        </w:r>
        <w:r w:rsidR="006B5618">
          <w:rPr>
            <w:noProof/>
            <w:webHidden/>
          </w:rPr>
          <w:fldChar w:fldCharType="separate"/>
        </w:r>
        <w:r w:rsidR="006B5618">
          <w:rPr>
            <w:noProof/>
            <w:webHidden/>
          </w:rPr>
          <w:t>69</w:t>
        </w:r>
        <w:r w:rsidR="006B5618">
          <w:rPr>
            <w:noProof/>
            <w:webHidden/>
          </w:rPr>
          <w:fldChar w:fldCharType="end"/>
        </w:r>
      </w:hyperlink>
    </w:p>
    <w:p w14:paraId="3D6D73A0" w14:textId="4ECC4B9C" w:rsidR="006B5618" w:rsidRDefault="00576E76">
      <w:pPr>
        <w:pStyle w:val="TDC3"/>
        <w:rPr>
          <w:rFonts w:asciiTheme="minorHAnsi" w:eastAsiaTheme="minorEastAsia" w:hAnsiTheme="minorHAnsi" w:cstheme="minorBidi"/>
          <w:noProof/>
          <w:sz w:val="22"/>
          <w:szCs w:val="22"/>
          <w:lang w:val="es-ES" w:eastAsia="es-ES"/>
        </w:rPr>
      </w:pPr>
      <w:hyperlink w:anchor="_Toc527630357" w:history="1">
        <w:r w:rsidR="006B5618" w:rsidRPr="00793922">
          <w:rPr>
            <w:rStyle w:val="Hipervnculo"/>
            <w:noProof/>
          </w:rPr>
          <w:t>4.7.1. Marco conceptual y diagnóstico</w:t>
        </w:r>
        <w:r w:rsidR="006B5618">
          <w:rPr>
            <w:noProof/>
            <w:webHidden/>
          </w:rPr>
          <w:tab/>
        </w:r>
        <w:r w:rsidR="006B5618">
          <w:rPr>
            <w:noProof/>
            <w:webHidden/>
          </w:rPr>
          <w:fldChar w:fldCharType="begin"/>
        </w:r>
        <w:r w:rsidR="006B5618">
          <w:rPr>
            <w:noProof/>
            <w:webHidden/>
          </w:rPr>
          <w:instrText xml:space="preserve"> PAGEREF _Toc527630357 \h </w:instrText>
        </w:r>
        <w:r w:rsidR="006B5618">
          <w:rPr>
            <w:noProof/>
            <w:webHidden/>
          </w:rPr>
        </w:r>
        <w:r w:rsidR="006B5618">
          <w:rPr>
            <w:noProof/>
            <w:webHidden/>
          </w:rPr>
          <w:fldChar w:fldCharType="separate"/>
        </w:r>
        <w:r w:rsidR="006B5618">
          <w:rPr>
            <w:noProof/>
            <w:webHidden/>
          </w:rPr>
          <w:t>69</w:t>
        </w:r>
        <w:r w:rsidR="006B5618">
          <w:rPr>
            <w:noProof/>
            <w:webHidden/>
          </w:rPr>
          <w:fldChar w:fldCharType="end"/>
        </w:r>
      </w:hyperlink>
    </w:p>
    <w:p w14:paraId="2AF9A77B" w14:textId="457F4065" w:rsidR="006B5618" w:rsidRDefault="00576E76">
      <w:pPr>
        <w:pStyle w:val="TDC3"/>
        <w:rPr>
          <w:rFonts w:asciiTheme="minorHAnsi" w:eastAsiaTheme="minorEastAsia" w:hAnsiTheme="minorHAnsi" w:cstheme="minorBidi"/>
          <w:noProof/>
          <w:sz w:val="22"/>
          <w:szCs w:val="22"/>
          <w:lang w:val="es-ES" w:eastAsia="es-ES"/>
        </w:rPr>
      </w:pPr>
      <w:hyperlink w:anchor="_Toc527630358" w:history="1">
        <w:r w:rsidR="006B5618" w:rsidRPr="00793922">
          <w:rPr>
            <w:rStyle w:val="Hipervnculo"/>
            <w:noProof/>
          </w:rPr>
          <w:t>4.7.2. Líneas de actuación</w:t>
        </w:r>
        <w:r w:rsidR="006B5618">
          <w:rPr>
            <w:noProof/>
            <w:webHidden/>
          </w:rPr>
          <w:tab/>
        </w:r>
        <w:r w:rsidR="006B5618">
          <w:rPr>
            <w:noProof/>
            <w:webHidden/>
          </w:rPr>
          <w:fldChar w:fldCharType="begin"/>
        </w:r>
        <w:r w:rsidR="006B5618">
          <w:rPr>
            <w:noProof/>
            <w:webHidden/>
          </w:rPr>
          <w:instrText xml:space="preserve"> PAGEREF _Toc527630358 \h </w:instrText>
        </w:r>
        <w:r w:rsidR="006B5618">
          <w:rPr>
            <w:noProof/>
            <w:webHidden/>
          </w:rPr>
        </w:r>
        <w:r w:rsidR="006B5618">
          <w:rPr>
            <w:noProof/>
            <w:webHidden/>
          </w:rPr>
          <w:fldChar w:fldCharType="separate"/>
        </w:r>
        <w:r w:rsidR="006B5618">
          <w:rPr>
            <w:noProof/>
            <w:webHidden/>
          </w:rPr>
          <w:t>74</w:t>
        </w:r>
        <w:r w:rsidR="006B5618">
          <w:rPr>
            <w:noProof/>
            <w:webHidden/>
          </w:rPr>
          <w:fldChar w:fldCharType="end"/>
        </w:r>
      </w:hyperlink>
    </w:p>
    <w:p w14:paraId="469AD1CE" w14:textId="71B9B745" w:rsidR="006B5618" w:rsidRDefault="00576E76">
      <w:pPr>
        <w:pStyle w:val="TDC1"/>
        <w:rPr>
          <w:rFonts w:asciiTheme="minorHAnsi" w:eastAsiaTheme="minorEastAsia" w:hAnsiTheme="minorHAnsi" w:cstheme="minorBidi"/>
          <w:caps w:val="0"/>
          <w:noProof/>
          <w:sz w:val="22"/>
          <w:szCs w:val="22"/>
          <w:lang w:val="es-ES" w:eastAsia="es-ES"/>
        </w:rPr>
      </w:pPr>
      <w:hyperlink w:anchor="_Toc527630359" w:history="1">
        <w:r w:rsidR="006B5618" w:rsidRPr="00793922">
          <w:rPr>
            <w:rStyle w:val="Hipervnculo"/>
            <w:rFonts w:cs="Arial"/>
            <w:noProof/>
            <w:lang w:val="es-ES"/>
          </w:rPr>
          <w:t>5. Sistema de gobernanza</w:t>
        </w:r>
        <w:r w:rsidR="006B5618">
          <w:rPr>
            <w:noProof/>
            <w:webHidden/>
          </w:rPr>
          <w:tab/>
        </w:r>
        <w:r w:rsidR="006B5618">
          <w:rPr>
            <w:noProof/>
            <w:webHidden/>
          </w:rPr>
          <w:fldChar w:fldCharType="begin"/>
        </w:r>
        <w:r w:rsidR="006B5618">
          <w:rPr>
            <w:noProof/>
            <w:webHidden/>
          </w:rPr>
          <w:instrText xml:space="preserve"> PAGEREF _Toc527630359 \h </w:instrText>
        </w:r>
        <w:r w:rsidR="006B5618">
          <w:rPr>
            <w:noProof/>
            <w:webHidden/>
          </w:rPr>
        </w:r>
        <w:r w:rsidR="006B5618">
          <w:rPr>
            <w:noProof/>
            <w:webHidden/>
          </w:rPr>
          <w:fldChar w:fldCharType="separate"/>
        </w:r>
        <w:r w:rsidR="006B5618">
          <w:rPr>
            <w:noProof/>
            <w:webHidden/>
          </w:rPr>
          <w:t>77</w:t>
        </w:r>
        <w:r w:rsidR="006B5618">
          <w:rPr>
            <w:noProof/>
            <w:webHidden/>
          </w:rPr>
          <w:fldChar w:fldCharType="end"/>
        </w:r>
      </w:hyperlink>
    </w:p>
    <w:p w14:paraId="7497A2F8" w14:textId="35ED67B3" w:rsidR="00846ADB" w:rsidRPr="00504BF8" w:rsidRDefault="003911FA" w:rsidP="00D16B42">
      <w:pPr>
        <w:tabs>
          <w:tab w:val="right" w:leader="dot" w:pos="9072"/>
        </w:tabs>
        <w:ind w:right="-1"/>
        <w:rPr>
          <w:rFonts w:ascii="Arial" w:hAnsi="Arial" w:cs="Arial"/>
          <w:caps/>
          <w:sz w:val="22"/>
          <w:szCs w:val="22"/>
          <w:lang w:val="es-ES"/>
        </w:rPr>
      </w:pPr>
      <w:r>
        <w:rPr>
          <w:rFonts w:ascii="Arial" w:hAnsi="Arial" w:cs="Arial"/>
          <w:b/>
          <w:sz w:val="22"/>
          <w:szCs w:val="22"/>
          <w:lang w:val="es-ES"/>
        </w:rPr>
        <w:fldChar w:fldCharType="end"/>
      </w:r>
    </w:p>
    <w:p w14:paraId="471F3862" w14:textId="4DB326A8" w:rsidR="00E87CE8" w:rsidRPr="003911FA" w:rsidRDefault="00E87CE8" w:rsidP="007325E7">
      <w:pPr>
        <w:pStyle w:val="Tabladeilustraciones"/>
        <w:tabs>
          <w:tab w:val="right" w:leader="dot" w:pos="8495"/>
        </w:tabs>
        <w:rPr>
          <w:rFonts w:cs="Arial"/>
          <w:color w:val="003399"/>
          <w:lang w:val="es-ES"/>
        </w:rPr>
      </w:pPr>
      <w:r w:rsidRPr="007325E7">
        <w:rPr>
          <w:rFonts w:eastAsiaTheme="majorEastAsia" w:cs="Arial"/>
          <w:b/>
          <w:bCs/>
          <w:color w:val="003399"/>
          <w:sz w:val="28"/>
          <w:szCs w:val="28"/>
          <w:lang w:val="es-ES"/>
        </w:rPr>
        <w:t>Índice de tablas</w:t>
      </w:r>
    </w:p>
    <w:p w14:paraId="13C2F4C6" w14:textId="77777777" w:rsidR="00E87CE8" w:rsidRDefault="00E87CE8">
      <w:pPr>
        <w:pStyle w:val="Tabladeilustraciones"/>
        <w:tabs>
          <w:tab w:val="right" w:leader="dot" w:pos="8495"/>
        </w:tabs>
        <w:rPr>
          <w:rFonts w:ascii="Arial" w:hAnsi="Arial" w:cs="Arial"/>
          <w:sz w:val="22"/>
          <w:szCs w:val="22"/>
          <w:lang w:val="es-ES"/>
        </w:rPr>
      </w:pPr>
    </w:p>
    <w:p w14:paraId="035F91F9" w14:textId="4E6BAA45" w:rsidR="00D16B42" w:rsidRDefault="00C67258">
      <w:pPr>
        <w:pStyle w:val="Tabladeilustraciones"/>
        <w:tabs>
          <w:tab w:val="right" w:leader="dot" w:pos="9061"/>
        </w:tabs>
        <w:rPr>
          <w:rFonts w:asciiTheme="minorHAnsi" w:eastAsiaTheme="minorEastAsia" w:hAnsiTheme="minorHAnsi" w:cstheme="minorBidi"/>
          <w:noProof/>
          <w:sz w:val="22"/>
          <w:szCs w:val="22"/>
          <w:lang w:val="es-ES" w:eastAsia="es-ES"/>
        </w:rPr>
      </w:pPr>
      <w:r>
        <w:rPr>
          <w:rFonts w:ascii="Arial" w:hAnsi="Arial" w:cs="Arial"/>
          <w:sz w:val="22"/>
          <w:szCs w:val="22"/>
          <w:lang w:val="es-ES"/>
        </w:rPr>
        <w:fldChar w:fldCharType="begin"/>
      </w:r>
      <w:r>
        <w:rPr>
          <w:rFonts w:ascii="Arial" w:hAnsi="Arial" w:cs="Arial"/>
          <w:sz w:val="22"/>
          <w:szCs w:val="22"/>
          <w:lang w:val="es-ES"/>
        </w:rPr>
        <w:instrText xml:space="preserve"> TOC \h \z \c "Tabla" </w:instrText>
      </w:r>
      <w:r>
        <w:rPr>
          <w:rFonts w:ascii="Arial" w:hAnsi="Arial" w:cs="Arial"/>
          <w:sz w:val="22"/>
          <w:szCs w:val="22"/>
          <w:lang w:val="es-ES"/>
        </w:rPr>
        <w:fldChar w:fldCharType="separate"/>
      </w:r>
      <w:hyperlink w:anchor="_Toc526515591" w:history="1">
        <w:r w:rsidR="00D16B42" w:rsidRPr="00E1476C">
          <w:rPr>
            <w:rStyle w:val="Hipervnculo"/>
            <w:rFonts w:cs="Arial"/>
            <w:noProof/>
          </w:rPr>
          <w:t>Tabla 1. Distribución de empresas por número de trabajadores</w:t>
        </w:r>
        <w:r w:rsidR="00D16B42">
          <w:rPr>
            <w:noProof/>
            <w:webHidden/>
          </w:rPr>
          <w:tab/>
        </w:r>
        <w:r w:rsidR="00D16B42">
          <w:rPr>
            <w:noProof/>
            <w:webHidden/>
          </w:rPr>
          <w:fldChar w:fldCharType="begin"/>
        </w:r>
        <w:r w:rsidR="00D16B42">
          <w:rPr>
            <w:noProof/>
            <w:webHidden/>
          </w:rPr>
          <w:instrText xml:space="preserve"> PAGEREF _Toc526515591 \h </w:instrText>
        </w:r>
        <w:r w:rsidR="00D16B42">
          <w:rPr>
            <w:noProof/>
            <w:webHidden/>
          </w:rPr>
        </w:r>
        <w:r w:rsidR="00D16B42">
          <w:rPr>
            <w:noProof/>
            <w:webHidden/>
          </w:rPr>
          <w:fldChar w:fldCharType="separate"/>
        </w:r>
        <w:r w:rsidR="006B5618">
          <w:rPr>
            <w:noProof/>
            <w:webHidden/>
          </w:rPr>
          <w:t>7</w:t>
        </w:r>
        <w:r w:rsidR="00D16B42">
          <w:rPr>
            <w:noProof/>
            <w:webHidden/>
          </w:rPr>
          <w:fldChar w:fldCharType="end"/>
        </w:r>
      </w:hyperlink>
    </w:p>
    <w:p w14:paraId="046FB2BC" w14:textId="49C93450"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2" w:history="1">
        <w:r w:rsidR="00D16B42" w:rsidRPr="00E1476C">
          <w:rPr>
            <w:rStyle w:val="Hipervnculo"/>
            <w:noProof/>
          </w:rPr>
          <w:t>Tabla 2. Distribución del total de PYME por tamaño y número de trabajadores</w:t>
        </w:r>
        <w:r w:rsidR="00D16B42">
          <w:rPr>
            <w:noProof/>
            <w:webHidden/>
          </w:rPr>
          <w:tab/>
        </w:r>
        <w:r w:rsidR="00D16B42">
          <w:rPr>
            <w:noProof/>
            <w:webHidden/>
          </w:rPr>
          <w:fldChar w:fldCharType="begin"/>
        </w:r>
        <w:r w:rsidR="00D16B42">
          <w:rPr>
            <w:noProof/>
            <w:webHidden/>
          </w:rPr>
          <w:instrText xml:space="preserve"> PAGEREF _Toc526515592 \h </w:instrText>
        </w:r>
        <w:r w:rsidR="00D16B42">
          <w:rPr>
            <w:noProof/>
            <w:webHidden/>
          </w:rPr>
        </w:r>
        <w:r w:rsidR="00D16B42">
          <w:rPr>
            <w:noProof/>
            <w:webHidden/>
          </w:rPr>
          <w:fldChar w:fldCharType="separate"/>
        </w:r>
        <w:r w:rsidR="006B5618">
          <w:rPr>
            <w:noProof/>
            <w:webHidden/>
          </w:rPr>
          <w:t>9</w:t>
        </w:r>
        <w:r w:rsidR="00D16B42">
          <w:rPr>
            <w:noProof/>
            <w:webHidden/>
          </w:rPr>
          <w:fldChar w:fldCharType="end"/>
        </w:r>
      </w:hyperlink>
    </w:p>
    <w:p w14:paraId="4C288F64" w14:textId="6B2E6C61"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3" w:history="1">
        <w:r w:rsidR="00D16B42" w:rsidRPr="00E1476C">
          <w:rPr>
            <w:rStyle w:val="Hipervnculo"/>
            <w:noProof/>
          </w:rPr>
          <w:t>Tabla 3. Volumen de ingresos (mill. €) por tamaño de empresa, 2016</w:t>
        </w:r>
        <w:r w:rsidR="00D16B42">
          <w:rPr>
            <w:noProof/>
            <w:webHidden/>
          </w:rPr>
          <w:tab/>
        </w:r>
        <w:r w:rsidR="00D16B42">
          <w:rPr>
            <w:noProof/>
            <w:webHidden/>
          </w:rPr>
          <w:fldChar w:fldCharType="begin"/>
        </w:r>
        <w:r w:rsidR="00D16B42">
          <w:rPr>
            <w:noProof/>
            <w:webHidden/>
          </w:rPr>
          <w:instrText xml:space="preserve"> PAGEREF _Toc526515593 \h </w:instrText>
        </w:r>
        <w:r w:rsidR="00D16B42">
          <w:rPr>
            <w:noProof/>
            <w:webHidden/>
          </w:rPr>
        </w:r>
        <w:r w:rsidR="00D16B42">
          <w:rPr>
            <w:noProof/>
            <w:webHidden/>
          </w:rPr>
          <w:fldChar w:fldCharType="separate"/>
        </w:r>
        <w:r w:rsidR="006B5618">
          <w:rPr>
            <w:noProof/>
            <w:webHidden/>
          </w:rPr>
          <w:t>10</w:t>
        </w:r>
        <w:r w:rsidR="00D16B42">
          <w:rPr>
            <w:noProof/>
            <w:webHidden/>
          </w:rPr>
          <w:fldChar w:fldCharType="end"/>
        </w:r>
      </w:hyperlink>
    </w:p>
    <w:p w14:paraId="4B11D8E7" w14:textId="0805BB72"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4" w:history="1">
        <w:r w:rsidR="00D16B42" w:rsidRPr="00E1476C">
          <w:rPr>
            <w:rStyle w:val="Hipervnculo"/>
            <w:noProof/>
          </w:rPr>
          <w:t>Tabla 4. Distribución de la aportación al VAB por tamaño de empresa, en España y en la UE28.</w:t>
        </w:r>
        <w:r w:rsidR="00D16B42">
          <w:rPr>
            <w:noProof/>
            <w:webHidden/>
          </w:rPr>
          <w:tab/>
        </w:r>
        <w:r w:rsidR="00D16B42">
          <w:rPr>
            <w:noProof/>
            <w:webHidden/>
          </w:rPr>
          <w:fldChar w:fldCharType="begin"/>
        </w:r>
        <w:r w:rsidR="00D16B42">
          <w:rPr>
            <w:noProof/>
            <w:webHidden/>
          </w:rPr>
          <w:instrText xml:space="preserve"> PAGEREF _Toc526515594 \h </w:instrText>
        </w:r>
        <w:r w:rsidR="00D16B42">
          <w:rPr>
            <w:noProof/>
            <w:webHidden/>
          </w:rPr>
        </w:r>
        <w:r w:rsidR="00D16B42">
          <w:rPr>
            <w:noProof/>
            <w:webHidden/>
          </w:rPr>
          <w:fldChar w:fldCharType="separate"/>
        </w:r>
        <w:r w:rsidR="006B5618">
          <w:rPr>
            <w:noProof/>
            <w:webHidden/>
          </w:rPr>
          <w:t>10</w:t>
        </w:r>
        <w:r w:rsidR="00D16B42">
          <w:rPr>
            <w:noProof/>
            <w:webHidden/>
          </w:rPr>
          <w:fldChar w:fldCharType="end"/>
        </w:r>
      </w:hyperlink>
    </w:p>
    <w:p w14:paraId="06BAED23" w14:textId="6BE0C746"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5" w:history="1">
        <w:r w:rsidR="00D16B42" w:rsidRPr="00E1476C">
          <w:rPr>
            <w:rStyle w:val="Hipervnculo"/>
            <w:noProof/>
            <w:highlight w:val="yellow"/>
          </w:rPr>
          <w:t>Tabla 5. Distribución de PYME en función del sector en el que operan</w:t>
        </w:r>
        <w:r w:rsidR="00D16B42">
          <w:rPr>
            <w:noProof/>
            <w:webHidden/>
          </w:rPr>
          <w:tab/>
        </w:r>
        <w:r w:rsidR="00D16B42">
          <w:rPr>
            <w:noProof/>
            <w:webHidden/>
          </w:rPr>
          <w:fldChar w:fldCharType="begin"/>
        </w:r>
        <w:r w:rsidR="00D16B42">
          <w:rPr>
            <w:noProof/>
            <w:webHidden/>
          </w:rPr>
          <w:instrText xml:space="preserve"> PAGEREF _Toc526515595 \h </w:instrText>
        </w:r>
        <w:r w:rsidR="00D16B42">
          <w:rPr>
            <w:noProof/>
            <w:webHidden/>
          </w:rPr>
        </w:r>
        <w:r w:rsidR="00D16B42">
          <w:rPr>
            <w:noProof/>
            <w:webHidden/>
          </w:rPr>
          <w:fldChar w:fldCharType="separate"/>
        </w:r>
        <w:r w:rsidR="006B5618">
          <w:rPr>
            <w:noProof/>
            <w:webHidden/>
          </w:rPr>
          <w:t>11</w:t>
        </w:r>
        <w:r w:rsidR="00D16B42">
          <w:rPr>
            <w:noProof/>
            <w:webHidden/>
          </w:rPr>
          <w:fldChar w:fldCharType="end"/>
        </w:r>
      </w:hyperlink>
    </w:p>
    <w:p w14:paraId="4C281BAD" w14:textId="0F2CBA65"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6" w:history="1">
        <w:r w:rsidR="00D16B42" w:rsidRPr="00E1476C">
          <w:rPr>
            <w:rStyle w:val="Hipervnculo"/>
            <w:noProof/>
            <w:lang w:val="es-ES" w:eastAsia="es-ES"/>
          </w:rPr>
          <w:t>Tabla 6. PYME y grandes empresas: número de empresas, empleo y valor añadido en 2016 en UE28 en sectores no financieros.</w:t>
        </w:r>
        <w:r w:rsidR="00D16B42">
          <w:rPr>
            <w:noProof/>
            <w:webHidden/>
          </w:rPr>
          <w:tab/>
        </w:r>
        <w:r w:rsidR="00D16B42">
          <w:rPr>
            <w:noProof/>
            <w:webHidden/>
          </w:rPr>
          <w:fldChar w:fldCharType="begin"/>
        </w:r>
        <w:r w:rsidR="00D16B42">
          <w:rPr>
            <w:noProof/>
            <w:webHidden/>
          </w:rPr>
          <w:instrText xml:space="preserve"> PAGEREF _Toc526515596 \h </w:instrText>
        </w:r>
        <w:r w:rsidR="00D16B42">
          <w:rPr>
            <w:noProof/>
            <w:webHidden/>
          </w:rPr>
        </w:r>
        <w:r w:rsidR="00D16B42">
          <w:rPr>
            <w:noProof/>
            <w:webHidden/>
          </w:rPr>
          <w:fldChar w:fldCharType="separate"/>
        </w:r>
        <w:r w:rsidR="006B5618">
          <w:rPr>
            <w:noProof/>
            <w:webHidden/>
          </w:rPr>
          <w:t>12</w:t>
        </w:r>
        <w:r w:rsidR="00D16B42">
          <w:rPr>
            <w:noProof/>
            <w:webHidden/>
          </w:rPr>
          <w:fldChar w:fldCharType="end"/>
        </w:r>
      </w:hyperlink>
    </w:p>
    <w:p w14:paraId="39BA8C06" w14:textId="4B782A63"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7" w:history="1">
        <w:r w:rsidR="00D16B42" w:rsidRPr="00E1476C">
          <w:rPr>
            <w:rStyle w:val="Hipervnculo"/>
            <w:noProof/>
            <w:lang w:val="es-ES" w:eastAsia="es-ES"/>
          </w:rPr>
          <w:t>Tabla 7. Resumen de los 10 principios de la Small Business Act</w:t>
        </w:r>
        <w:r w:rsidR="00D16B42">
          <w:rPr>
            <w:noProof/>
            <w:webHidden/>
          </w:rPr>
          <w:tab/>
        </w:r>
        <w:r w:rsidR="00D16B42">
          <w:rPr>
            <w:noProof/>
            <w:webHidden/>
          </w:rPr>
          <w:fldChar w:fldCharType="begin"/>
        </w:r>
        <w:r w:rsidR="00D16B42">
          <w:rPr>
            <w:noProof/>
            <w:webHidden/>
          </w:rPr>
          <w:instrText xml:space="preserve"> PAGEREF _Toc526515597 \h </w:instrText>
        </w:r>
        <w:r w:rsidR="00D16B42">
          <w:rPr>
            <w:noProof/>
            <w:webHidden/>
          </w:rPr>
        </w:r>
        <w:r w:rsidR="00D16B42">
          <w:rPr>
            <w:noProof/>
            <w:webHidden/>
          </w:rPr>
          <w:fldChar w:fldCharType="separate"/>
        </w:r>
        <w:r w:rsidR="006B5618">
          <w:rPr>
            <w:noProof/>
            <w:webHidden/>
          </w:rPr>
          <w:t>17</w:t>
        </w:r>
        <w:r w:rsidR="00D16B42">
          <w:rPr>
            <w:noProof/>
            <w:webHidden/>
          </w:rPr>
          <w:fldChar w:fldCharType="end"/>
        </w:r>
      </w:hyperlink>
    </w:p>
    <w:p w14:paraId="449A834B" w14:textId="5FEB0DDC"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8" w:history="1">
        <w:r w:rsidR="00D16B42" w:rsidRPr="00E1476C">
          <w:rPr>
            <w:rStyle w:val="Hipervnculo"/>
            <w:noProof/>
          </w:rPr>
          <w:t>Tabla 8. Indicadores de emprendimiento</w:t>
        </w:r>
        <w:r w:rsidR="00D16B42">
          <w:rPr>
            <w:noProof/>
            <w:webHidden/>
          </w:rPr>
          <w:tab/>
        </w:r>
        <w:r w:rsidR="00D16B42">
          <w:rPr>
            <w:noProof/>
            <w:webHidden/>
          </w:rPr>
          <w:fldChar w:fldCharType="begin"/>
        </w:r>
        <w:r w:rsidR="00D16B42">
          <w:rPr>
            <w:noProof/>
            <w:webHidden/>
          </w:rPr>
          <w:instrText xml:space="preserve"> PAGEREF _Toc526515598 \h </w:instrText>
        </w:r>
        <w:r w:rsidR="00D16B42">
          <w:rPr>
            <w:noProof/>
            <w:webHidden/>
          </w:rPr>
        </w:r>
        <w:r w:rsidR="00D16B42">
          <w:rPr>
            <w:noProof/>
            <w:webHidden/>
          </w:rPr>
          <w:fldChar w:fldCharType="separate"/>
        </w:r>
        <w:r w:rsidR="006B5618">
          <w:rPr>
            <w:noProof/>
            <w:webHidden/>
          </w:rPr>
          <w:t>20</w:t>
        </w:r>
        <w:r w:rsidR="00D16B42">
          <w:rPr>
            <w:noProof/>
            <w:webHidden/>
          </w:rPr>
          <w:fldChar w:fldCharType="end"/>
        </w:r>
      </w:hyperlink>
    </w:p>
    <w:p w14:paraId="76ABA82A" w14:textId="52ECCD28"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599" w:history="1">
        <w:r w:rsidR="00D16B42" w:rsidRPr="00E1476C">
          <w:rPr>
            <w:rStyle w:val="Hipervnculo"/>
            <w:noProof/>
          </w:rPr>
          <w:t>Tabla 9. Indicadores DESI de Digitalización de las empresas españolas</w:t>
        </w:r>
        <w:r w:rsidR="00D16B42">
          <w:rPr>
            <w:noProof/>
            <w:webHidden/>
          </w:rPr>
          <w:tab/>
        </w:r>
        <w:r w:rsidR="00D16B42">
          <w:rPr>
            <w:noProof/>
            <w:webHidden/>
          </w:rPr>
          <w:fldChar w:fldCharType="begin"/>
        </w:r>
        <w:r w:rsidR="00D16B42">
          <w:rPr>
            <w:noProof/>
            <w:webHidden/>
          </w:rPr>
          <w:instrText xml:space="preserve"> PAGEREF _Toc526515599 \h </w:instrText>
        </w:r>
        <w:r w:rsidR="00D16B42">
          <w:rPr>
            <w:noProof/>
            <w:webHidden/>
          </w:rPr>
        </w:r>
        <w:r w:rsidR="00D16B42">
          <w:rPr>
            <w:noProof/>
            <w:webHidden/>
          </w:rPr>
          <w:fldChar w:fldCharType="separate"/>
        </w:r>
        <w:r w:rsidR="006B5618">
          <w:rPr>
            <w:noProof/>
            <w:webHidden/>
          </w:rPr>
          <w:t>57</w:t>
        </w:r>
        <w:r w:rsidR="00D16B42">
          <w:rPr>
            <w:noProof/>
            <w:webHidden/>
          </w:rPr>
          <w:fldChar w:fldCharType="end"/>
        </w:r>
      </w:hyperlink>
    </w:p>
    <w:p w14:paraId="325F3DE2" w14:textId="224EB866"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600" w:history="1">
        <w:r w:rsidR="00D16B42" w:rsidRPr="00E1476C">
          <w:rPr>
            <w:rStyle w:val="Hipervnculo"/>
            <w:noProof/>
          </w:rPr>
          <w:t>Tabla 10. Actividades de economía circular emprendidas por las empresas españolas y de la UE.</w:t>
        </w:r>
        <w:r w:rsidR="00D16B42">
          <w:rPr>
            <w:noProof/>
            <w:webHidden/>
          </w:rPr>
          <w:tab/>
        </w:r>
        <w:r w:rsidR="00D16B42">
          <w:rPr>
            <w:noProof/>
            <w:webHidden/>
          </w:rPr>
          <w:fldChar w:fldCharType="begin"/>
        </w:r>
        <w:r w:rsidR="00D16B42">
          <w:rPr>
            <w:noProof/>
            <w:webHidden/>
          </w:rPr>
          <w:instrText xml:space="preserve"> PAGEREF _Toc526515600 \h </w:instrText>
        </w:r>
        <w:r w:rsidR="00D16B42">
          <w:rPr>
            <w:noProof/>
            <w:webHidden/>
          </w:rPr>
        </w:r>
        <w:r w:rsidR="00D16B42">
          <w:rPr>
            <w:noProof/>
            <w:webHidden/>
          </w:rPr>
          <w:fldChar w:fldCharType="separate"/>
        </w:r>
        <w:r w:rsidR="006B5618">
          <w:rPr>
            <w:noProof/>
            <w:webHidden/>
          </w:rPr>
          <w:t>64</w:t>
        </w:r>
        <w:r w:rsidR="00D16B42">
          <w:rPr>
            <w:noProof/>
            <w:webHidden/>
          </w:rPr>
          <w:fldChar w:fldCharType="end"/>
        </w:r>
      </w:hyperlink>
    </w:p>
    <w:p w14:paraId="0AD5CCDD" w14:textId="71E150FF" w:rsidR="00D16B42"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515601" w:history="1">
        <w:r w:rsidR="00D16B42" w:rsidRPr="00E1476C">
          <w:rPr>
            <w:rStyle w:val="Hipervnculo"/>
            <w:noProof/>
          </w:rPr>
          <w:t>Tabla 11. Dificultades para emprender actividades de economía circular.</w:t>
        </w:r>
        <w:r w:rsidR="00D16B42">
          <w:rPr>
            <w:noProof/>
            <w:webHidden/>
          </w:rPr>
          <w:tab/>
        </w:r>
        <w:r w:rsidR="00D16B42">
          <w:rPr>
            <w:noProof/>
            <w:webHidden/>
          </w:rPr>
          <w:fldChar w:fldCharType="begin"/>
        </w:r>
        <w:r w:rsidR="00D16B42">
          <w:rPr>
            <w:noProof/>
            <w:webHidden/>
          </w:rPr>
          <w:instrText xml:space="preserve"> PAGEREF _Toc526515601 \h </w:instrText>
        </w:r>
        <w:r w:rsidR="00D16B42">
          <w:rPr>
            <w:noProof/>
            <w:webHidden/>
          </w:rPr>
        </w:r>
        <w:r w:rsidR="00D16B42">
          <w:rPr>
            <w:noProof/>
            <w:webHidden/>
          </w:rPr>
          <w:fldChar w:fldCharType="separate"/>
        </w:r>
        <w:r w:rsidR="006B5618">
          <w:rPr>
            <w:noProof/>
            <w:webHidden/>
          </w:rPr>
          <w:t>66</w:t>
        </w:r>
        <w:r w:rsidR="00D16B42">
          <w:rPr>
            <w:noProof/>
            <w:webHidden/>
          </w:rPr>
          <w:fldChar w:fldCharType="end"/>
        </w:r>
      </w:hyperlink>
    </w:p>
    <w:p w14:paraId="13066704" w14:textId="0CE9E0BE" w:rsidR="00720301" w:rsidRDefault="00C67258" w:rsidP="00700043">
      <w:pPr>
        <w:tabs>
          <w:tab w:val="right" w:leader="dot" w:pos="9072"/>
        </w:tabs>
        <w:ind w:right="-1"/>
        <w:rPr>
          <w:rFonts w:ascii="Arial" w:hAnsi="Arial" w:cs="Arial"/>
          <w:sz w:val="22"/>
          <w:szCs w:val="22"/>
          <w:lang w:val="es-ES"/>
        </w:rPr>
      </w:pPr>
      <w:r>
        <w:rPr>
          <w:rFonts w:ascii="Arial" w:hAnsi="Arial" w:cs="Arial"/>
          <w:sz w:val="22"/>
          <w:szCs w:val="22"/>
          <w:lang w:val="es-ES"/>
        </w:rPr>
        <w:fldChar w:fldCharType="end"/>
      </w:r>
    </w:p>
    <w:p w14:paraId="2D61E246" w14:textId="77777777" w:rsidR="004A4FBD" w:rsidRPr="00700043" w:rsidRDefault="004A4FBD" w:rsidP="00700043">
      <w:pPr>
        <w:pStyle w:val="Tabladeilustraciones"/>
        <w:tabs>
          <w:tab w:val="right" w:leader="dot" w:pos="8495"/>
        </w:tabs>
        <w:rPr>
          <w:rFonts w:eastAsiaTheme="majorEastAsia" w:cs="Arial"/>
          <w:b/>
          <w:bCs/>
          <w:color w:val="003399"/>
          <w:sz w:val="28"/>
          <w:szCs w:val="28"/>
          <w:lang w:val="es-ES"/>
        </w:rPr>
      </w:pPr>
      <w:r w:rsidRPr="00700043">
        <w:rPr>
          <w:rFonts w:eastAsiaTheme="majorEastAsia" w:cs="Arial"/>
          <w:b/>
          <w:bCs/>
          <w:color w:val="003399"/>
          <w:sz w:val="28"/>
          <w:szCs w:val="28"/>
          <w:lang w:val="es-ES"/>
        </w:rPr>
        <w:t>Índice de gráficos</w:t>
      </w:r>
    </w:p>
    <w:p w14:paraId="1F32607D" w14:textId="77777777" w:rsidR="004A4FBD" w:rsidRDefault="004A4FBD">
      <w:pPr>
        <w:spacing w:after="0"/>
        <w:jc w:val="left"/>
        <w:rPr>
          <w:rFonts w:ascii="Arial" w:hAnsi="Arial" w:cs="Arial"/>
          <w:sz w:val="22"/>
          <w:szCs w:val="22"/>
          <w:lang w:val="es-ES"/>
        </w:rPr>
      </w:pPr>
    </w:p>
    <w:p w14:paraId="75F745E2" w14:textId="5E41DFF3" w:rsidR="00433DEB" w:rsidRDefault="00C67258">
      <w:pPr>
        <w:pStyle w:val="Tabladeilustraciones"/>
        <w:tabs>
          <w:tab w:val="right" w:leader="dot" w:pos="9061"/>
        </w:tabs>
        <w:rPr>
          <w:rFonts w:asciiTheme="minorHAnsi" w:eastAsiaTheme="minorEastAsia" w:hAnsiTheme="minorHAnsi" w:cstheme="minorBidi"/>
          <w:noProof/>
          <w:sz w:val="22"/>
          <w:szCs w:val="22"/>
          <w:lang w:val="es-ES" w:eastAsia="es-ES"/>
        </w:rPr>
      </w:pPr>
      <w:r>
        <w:rPr>
          <w:rFonts w:ascii="Arial" w:eastAsiaTheme="majorEastAsia" w:hAnsi="Arial" w:cs="Arial"/>
          <w:b/>
          <w:bCs/>
          <w:sz w:val="22"/>
          <w:szCs w:val="22"/>
          <w:lang w:val="es-ES"/>
        </w:rPr>
        <w:fldChar w:fldCharType="begin"/>
      </w:r>
      <w:r>
        <w:rPr>
          <w:rFonts w:ascii="Arial" w:eastAsiaTheme="majorEastAsia" w:hAnsi="Arial" w:cs="Arial"/>
          <w:b/>
          <w:bCs/>
          <w:sz w:val="22"/>
          <w:szCs w:val="22"/>
          <w:lang w:val="es-ES"/>
        </w:rPr>
        <w:instrText xml:space="preserve"> TOC \h \z \c "Gráfico" </w:instrText>
      </w:r>
      <w:r>
        <w:rPr>
          <w:rFonts w:ascii="Arial" w:eastAsiaTheme="majorEastAsia" w:hAnsi="Arial" w:cs="Arial"/>
          <w:b/>
          <w:bCs/>
          <w:sz w:val="22"/>
          <w:szCs w:val="22"/>
          <w:lang w:val="es-ES"/>
        </w:rPr>
        <w:fldChar w:fldCharType="separate"/>
      </w:r>
      <w:hyperlink w:anchor="_Toc526942109" w:history="1">
        <w:r w:rsidR="00433DEB" w:rsidRPr="00295023">
          <w:rPr>
            <w:rStyle w:val="Hipervnculo"/>
            <w:noProof/>
          </w:rPr>
          <w:t>Gráfico 1. Evolución de las PYME con asalariados, grandes empresas y autónomos</w:t>
        </w:r>
        <w:r w:rsidR="00433DEB">
          <w:rPr>
            <w:noProof/>
            <w:webHidden/>
          </w:rPr>
          <w:tab/>
        </w:r>
        <w:r w:rsidR="00433DEB">
          <w:rPr>
            <w:noProof/>
            <w:webHidden/>
          </w:rPr>
          <w:fldChar w:fldCharType="begin"/>
        </w:r>
        <w:r w:rsidR="00433DEB">
          <w:rPr>
            <w:noProof/>
            <w:webHidden/>
          </w:rPr>
          <w:instrText xml:space="preserve"> PAGEREF _Toc526942109 \h </w:instrText>
        </w:r>
        <w:r w:rsidR="00433DEB">
          <w:rPr>
            <w:noProof/>
            <w:webHidden/>
          </w:rPr>
        </w:r>
        <w:r w:rsidR="00433DEB">
          <w:rPr>
            <w:noProof/>
            <w:webHidden/>
          </w:rPr>
          <w:fldChar w:fldCharType="separate"/>
        </w:r>
        <w:r w:rsidR="006B5618">
          <w:rPr>
            <w:noProof/>
            <w:webHidden/>
          </w:rPr>
          <w:t>8</w:t>
        </w:r>
        <w:r w:rsidR="00433DEB">
          <w:rPr>
            <w:noProof/>
            <w:webHidden/>
          </w:rPr>
          <w:fldChar w:fldCharType="end"/>
        </w:r>
      </w:hyperlink>
    </w:p>
    <w:p w14:paraId="2A40EFE8" w14:textId="54D6A89D"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0" w:history="1">
        <w:r w:rsidR="00433DEB" w:rsidRPr="00295023">
          <w:rPr>
            <w:rStyle w:val="Hipervnculo"/>
            <w:noProof/>
          </w:rPr>
          <w:t>Gráfico 2. Número medio de trabajadores por empresa</w:t>
        </w:r>
        <w:r w:rsidR="00433DEB">
          <w:rPr>
            <w:noProof/>
            <w:webHidden/>
          </w:rPr>
          <w:tab/>
        </w:r>
        <w:r w:rsidR="00433DEB">
          <w:rPr>
            <w:noProof/>
            <w:webHidden/>
          </w:rPr>
          <w:fldChar w:fldCharType="begin"/>
        </w:r>
        <w:r w:rsidR="00433DEB">
          <w:rPr>
            <w:noProof/>
            <w:webHidden/>
          </w:rPr>
          <w:instrText xml:space="preserve"> PAGEREF _Toc526942110 \h </w:instrText>
        </w:r>
        <w:r w:rsidR="00433DEB">
          <w:rPr>
            <w:noProof/>
            <w:webHidden/>
          </w:rPr>
        </w:r>
        <w:r w:rsidR="00433DEB">
          <w:rPr>
            <w:noProof/>
            <w:webHidden/>
          </w:rPr>
          <w:fldChar w:fldCharType="separate"/>
        </w:r>
        <w:r w:rsidR="006B5618">
          <w:rPr>
            <w:noProof/>
            <w:webHidden/>
          </w:rPr>
          <w:t>8</w:t>
        </w:r>
        <w:r w:rsidR="00433DEB">
          <w:rPr>
            <w:noProof/>
            <w:webHidden/>
          </w:rPr>
          <w:fldChar w:fldCharType="end"/>
        </w:r>
      </w:hyperlink>
    </w:p>
    <w:p w14:paraId="1840540D" w14:textId="50087F13"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1" w:history="1">
        <w:r w:rsidR="00433DEB" w:rsidRPr="00295023">
          <w:rPr>
            <w:rStyle w:val="Hipervnculo"/>
            <w:noProof/>
          </w:rPr>
          <w:t xml:space="preserve">Gráfico 3. </w:t>
        </w:r>
        <w:r w:rsidR="00433DEB" w:rsidRPr="00295023">
          <w:rPr>
            <w:rStyle w:val="Hipervnculo"/>
            <w:rFonts w:cstheme="majorBidi"/>
            <w:noProof/>
          </w:rPr>
          <w:t>Evolución del nº medio de empleados por empresa</w:t>
        </w:r>
        <w:r w:rsidR="00433DEB">
          <w:rPr>
            <w:noProof/>
            <w:webHidden/>
          </w:rPr>
          <w:tab/>
        </w:r>
        <w:r w:rsidR="00433DEB">
          <w:rPr>
            <w:noProof/>
            <w:webHidden/>
          </w:rPr>
          <w:fldChar w:fldCharType="begin"/>
        </w:r>
        <w:r w:rsidR="00433DEB">
          <w:rPr>
            <w:noProof/>
            <w:webHidden/>
          </w:rPr>
          <w:instrText xml:space="preserve"> PAGEREF _Toc526942111 \h </w:instrText>
        </w:r>
        <w:r w:rsidR="00433DEB">
          <w:rPr>
            <w:noProof/>
            <w:webHidden/>
          </w:rPr>
        </w:r>
        <w:r w:rsidR="00433DEB">
          <w:rPr>
            <w:noProof/>
            <w:webHidden/>
          </w:rPr>
          <w:fldChar w:fldCharType="separate"/>
        </w:r>
        <w:r w:rsidR="006B5618">
          <w:rPr>
            <w:noProof/>
            <w:webHidden/>
          </w:rPr>
          <w:t>9</w:t>
        </w:r>
        <w:r w:rsidR="00433DEB">
          <w:rPr>
            <w:noProof/>
            <w:webHidden/>
          </w:rPr>
          <w:fldChar w:fldCharType="end"/>
        </w:r>
      </w:hyperlink>
    </w:p>
    <w:p w14:paraId="76E5361C" w14:textId="2463CCEB"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2" w:history="1">
        <w:r w:rsidR="00433DEB" w:rsidRPr="00295023">
          <w:rPr>
            <w:rStyle w:val="Hipervnculo"/>
            <w:noProof/>
          </w:rPr>
          <w:t>Gráfico 4. Distribución territorial de los autónomos y las PYME en España</w:t>
        </w:r>
        <w:r w:rsidR="00433DEB">
          <w:rPr>
            <w:noProof/>
            <w:webHidden/>
          </w:rPr>
          <w:tab/>
        </w:r>
        <w:r w:rsidR="00433DEB">
          <w:rPr>
            <w:noProof/>
            <w:webHidden/>
          </w:rPr>
          <w:fldChar w:fldCharType="begin"/>
        </w:r>
        <w:r w:rsidR="00433DEB">
          <w:rPr>
            <w:noProof/>
            <w:webHidden/>
          </w:rPr>
          <w:instrText xml:space="preserve"> PAGEREF _Toc526942112 \h </w:instrText>
        </w:r>
        <w:r w:rsidR="00433DEB">
          <w:rPr>
            <w:noProof/>
            <w:webHidden/>
          </w:rPr>
        </w:r>
        <w:r w:rsidR="00433DEB">
          <w:rPr>
            <w:noProof/>
            <w:webHidden/>
          </w:rPr>
          <w:fldChar w:fldCharType="separate"/>
        </w:r>
        <w:r w:rsidR="006B5618">
          <w:rPr>
            <w:noProof/>
            <w:webHidden/>
          </w:rPr>
          <w:t>11</w:t>
        </w:r>
        <w:r w:rsidR="00433DEB">
          <w:rPr>
            <w:noProof/>
            <w:webHidden/>
          </w:rPr>
          <w:fldChar w:fldCharType="end"/>
        </w:r>
      </w:hyperlink>
    </w:p>
    <w:p w14:paraId="5259C3A3" w14:textId="0EB56893"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3" w:history="1">
        <w:r w:rsidR="00433DEB" w:rsidRPr="00295023">
          <w:rPr>
            <w:rStyle w:val="Hipervnculo"/>
            <w:noProof/>
          </w:rPr>
          <w:t>Gráfico 5. Número de empresas del sector empresarial no financiero. Distribución por países, 2016</w:t>
        </w:r>
        <w:r w:rsidR="00433DEB">
          <w:rPr>
            <w:noProof/>
            <w:webHidden/>
          </w:rPr>
          <w:tab/>
        </w:r>
        <w:r w:rsidR="00433DEB">
          <w:rPr>
            <w:noProof/>
            <w:webHidden/>
          </w:rPr>
          <w:fldChar w:fldCharType="begin"/>
        </w:r>
        <w:r w:rsidR="00433DEB">
          <w:rPr>
            <w:noProof/>
            <w:webHidden/>
          </w:rPr>
          <w:instrText xml:space="preserve"> PAGEREF _Toc526942113 \h </w:instrText>
        </w:r>
        <w:r w:rsidR="00433DEB">
          <w:rPr>
            <w:noProof/>
            <w:webHidden/>
          </w:rPr>
        </w:r>
        <w:r w:rsidR="00433DEB">
          <w:rPr>
            <w:noProof/>
            <w:webHidden/>
          </w:rPr>
          <w:fldChar w:fldCharType="separate"/>
        </w:r>
        <w:r w:rsidR="006B5618">
          <w:rPr>
            <w:noProof/>
            <w:webHidden/>
          </w:rPr>
          <w:t>13</w:t>
        </w:r>
        <w:r w:rsidR="00433DEB">
          <w:rPr>
            <w:noProof/>
            <w:webHidden/>
          </w:rPr>
          <w:fldChar w:fldCharType="end"/>
        </w:r>
      </w:hyperlink>
    </w:p>
    <w:p w14:paraId="58B31A9B" w14:textId="2F6291A3"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4" w:history="1">
        <w:r w:rsidR="00433DEB" w:rsidRPr="00295023">
          <w:rPr>
            <w:rStyle w:val="Hipervnculo"/>
            <w:noProof/>
          </w:rPr>
          <w:t>Gráfico 6. Ficha de España en la Small Business Act 2017</w:t>
        </w:r>
        <w:r w:rsidR="00433DEB">
          <w:rPr>
            <w:noProof/>
            <w:webHidden/>
          </w:rPr>
          <w:tab/>
        </w:r>
        <w:r w:rsidR="00433DEB">
          <w:rPr>
            <w:noProof/>
            <w:webHidden/>
          </w:rPr>
          <w:fldChar w:fldCharType="begin"/>
        </w:r>
        <w:r w:rsidR="00433DEB">
          <w:rPr>
            <w:noProof/>
            <w:webHidden/>
          </w:rPr>
          <w:instrText xml:space="preserve"> PAGEREF _Toc526942114 \h </w:instrText>
        </w:r>
        <w:r w:rsidR="00433DEB">
          <w:rPr>
            <w:noProof/>
            <w:webHidden/>
          </w:rPr>
        </w:r>
        <w:r w:rsidR="00433DEB">
          <w:rPr>
            <w:noProof/>
            <w:webHidden/>
          </w:rPr>
          <w:fldChar w:fldCharType="separate"/>
        </w:r>
        <w:r w:rsidR="006B5618">
          <w:rPr>
            <w:noProof/>
            <w:webHidden/>
          </w:rPr>
          <w:t>18</w:t>
        </w:r>
        <w:r w:rsidR="00433DEB">
          <w:rPr>
            <w:noProof/>
            <w:webHidden/>
          </w:rPr>
          <w:fldChar w:fldCharType="end"/>
        </w:r>
      </w:hyperlink>
    </w:p>
    <w:p w14:paraId="6A1096B4" w14:textId="27751BB1"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5" w:history="1">
        <w:r w:rsidR="00433DEB" w:rsidRPr="00295023">
          <w:rPr>
            <w:rStyle w:val="Hipervnculo"/>
            <w:noProof/>
            <w:lang w:val="es-ES"/>
          </w:rPr>
          <w:t>Gráfico 7. Tasa de supervivencia empresarial, 2014</w:t>
        </w:r>
        <w:r w:rsidR="00433DEB">
          <w:rPr>
            <w:noProof/>
            <w:webHidden/>
          </w:rPr>
          <w:tab/>
        </w:r>
        <w:r w:rsidR="00433DEB">
          <w:rPr>
            <w:noProof/>
            <w:webHidden/>
          </w:rPr>
          <w:fldChar w:fldCharType="begin"/>
        </w:r>
        <w:r w:rsidR="00433DEB">
          <w:rPr>
            <w:noProof/>
            <w:webHidden/>
          </w:rPr>
          <w:instrText xml:space="preserve"> PAGEREF _Toc526942115 \h </w:instrText>
        </w:r>
        <w:r w:rsidR="00433DEB">
          <w:rPr>
            <w:noProof/>
            <w:webHidden/>
          </w:rPr>
        </w:r>
        <w:r w:rsidR="00433DEB">
          <w:rPr>
            <w:noProof/>
            <w:webHidden/>
          </w:rPr>
          <w:fldChar w:fldCharType="separate"/>
        </w:r>
        <w:r w:rsidR="006B5618">
          <w:rPr>
            <w:noProof/>
            <w:webHidden/>
          </w:rPr>
          <w:t>26</w:t>
        </w:r>
        <w:r w:rsidR="00433DEB">
          <w:rPr>
            <w:noProof/>
            <w:webHidden/>
          </w:rPr>
          <w:fldChar w:fldCharType="end"/>
        </w:r>
      </w:hyperlink>
    </w:p>
    <w:p w14:paraId="197274E6" w14:textId="63FA5B56"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6" w:history="1">
        <w:r w:rsidR="00433DEB" w:rsidRPr="00295023">
          <w:rPr>
            <w:rStyle w:val="Hipervnculo"/>
            <w:noProof/>
          </w:rPr>
          <w:t>Gráfico 8. Crecimiento de la productividad y productividad laboral por tamaño de empresa.</w:t>
        </w:r>
        <w:r w:rsidR="00433DEB">
          <w:rPr>
            <w:noProof/>
            <w:webHidden/>
          </w:rPr>
          <w:tab/>
        </w:r>
        <w:r w:rsidR="00433DEB">
          <w:rPr>
            <w:noProof/>
            <w:webHidden/>
          </w:rPr>
          <w:fldChar w:fldCharType="begin"/>
        </w:r>
        <w:r w:rsidR="00433DEB">
          <w:rPr>
            <w:noProof/>
            <w:webHidden/>
          </w:rPr>
          <w:instrText xml:space="preserve"> PAGEREF _Toc526942116 \h </w:instrText>
        </w:r>
        <w:r w:rsidR="00433DEB">
          <w:rPr>
            <w:noProof/>
            <w:webHidden/>
          </w:rPr>
        </w:r>
        <w:r w:rsidR="00433DEB">
          <w:rPr>
            <w:noProof/>
            <w:webHidden/>
          </w:rPr>
          <w:fldChar w:fldCharType="separate"/>
        </w:r>
        <w:r w:rsidR="006B5618">
          <w:rPr>
            <w:noProof/>
            <w:webHidden/>
          </w:rPr>
          <w:t>30</w:t>
        </w:r>
        <w:r w:rsidR="00433DEB">
          <w:rPr>
            <w:noProof/>
            <w:webHidden/>
          </w:rPr>
          <w:fldChar w:fldCharType="end"/>
        </w:r>
      </w:hyperlink>
    </w:p>
    <w:p w14:paraId="56FB588C" w14:textId="02A7ABBB"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7" w:history="1">
        <w:r w:rsidR="00433DEB" w:rsidRPr="00295023">
          <w:rPr>
            <w:rStyle w:val="Hipervnculo"/>
            <w:noProof/>
          </w:rPr>
          <w:t>Gráfico 9. Productividad de la mano de obra por tamaño de la empresa, 2012 (Grandes empresas = 100)</w:t>
        </w:r>
        <w:r w:rsidR="00433DEB">
          <w:rPr>
            <w:noProof/>
            <w:webHidden/>
          </w:rPr>
          <w:tab/>
        </w:r>
        <w:r w:rsidR="00433DEB">
          <w:rPr>
            <w:noProof/>
            <w:webHidden/>
          </w:rPr>
          <w:fldChar w:fldCharType="begin"/>
        </w:r>
        <w:r w:rsidR="00433DEB">
          <w:rPr>
            <w:noProof/>
            <w:webHidden/>
          </w:rPr>
          <w:instrText xml:space="preserve"> PAGEREF _Toc526942117 \h </w:instrText>
        </w:r>
        <w:r w:rsidR="00433DEB">
          <w:rPr>
            <w:noProof/>
            <w:webHidden/>
          </w:rPr>
        </w:r>
        <w:r w:rsidR="00433DEB">
          <w:rPr>
            <w:noProof/>
            <w:webHidden/>
          </w:rPr>
          <w:fldChar w:fldCharType="separate"/>
        </w:r>
        <w:r w:rsidR="006B5618">
          <w:rPr>
            <w:noProof/>
            <w:webHidden/>
          </w:rPr>
          <w:t>31</w:t>
        </w:r>
        <w:r w:rsidR="00433DEB">
          <w:rPr>
            <w:noProof/>
            <w:webHidden/>
          </w:rPr>
          <w:fldChar w:fldCharType="end"/>
        </w:r>
      </w:hyperlink>
    </w:p>
    <w:p w14:paraId="0380C728" w14:textId="78EE7E0E"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8" w:history="1">
        <w:r w:rsidR="00433DEB" w:rsidRPr="00295023">
          <w:rPr>
            <w:rStyle w:val="Hipervnculo"/>
            <w:noProof/>
          </w:rPr>
          <w:t>Gráfico 10. Factores más importantes al elegir una empresa para trabajar</w:t>
        </w:r>
        <w:r w:rsidR="00433DEB">
          <w:rPr>
            <w:noProof/>
            <w:webHidden/>
          </w:rPr>
          <w:tab/>
        </w:r>
        <w:r w:rsidR="00433DEB">
          <w:rPr>
            <w:noProof/>
            <w:webHidden/>
          </w:rPr>
          <w:fldChar w:fldCharType="begin"/>
        </w:r>
        <w:r w:rsidR="00433DEB">
          <w:rPr>
            <w:noProof/>
            <w:webHidden/>
          </w:rPr>
          <w:instrText xml:space="preserve"> PAGEREF _Toc526942118 \h </w:instrText>
        </w:r>
        <w:r w:rsidR="00433DEB">
          <w:rPr>
            <w:noProof/>
            <w:webHidden/>
          </w:rPr>
        </w:r>
        <w:r w:rsidR="00433DEB">
          <w:rPr>
            <w:noProof/>
            <w:webHidden/>
          </w:rPr>
          <w:fldChar w:fldCharType="separate"/>
        </w:r>
        <w:r w:rsidR="006B5618">
          <w:rPr>
            <w:noProof/>
            <w:webHidden/>
          </w:rPr>
          <w:t>32</w:t>
        </w:r>
        <w:r w:rsidR="00433DEB">
          <w:rPr>
            <w:noProof/>
            <w:webHidden/>
          </w:rPr>
          <w:fldChar w:fldCharType="end"/>
        </w:r>
      </w:hyperlink>
    </w:p>
    <w:p w14:paraId="7E650A44" w14:textId="3665A20F"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19" w:history="1">
        <w:r w:rsidR="00433DEB" w:rsidRPr="00295023">
          <w:rPr>
            <w:rStyle w:val="Hipervnculo"/>
            <w:noProof/>
          </w:rPr>
          <w:t>Gráfico 11. Porcentaje de empresas, según porcentaje de trabajadores con contrato temporal, 2015</w:t>
        </w:r>
        <w:r w:rsidR="00433DEB">
          <w:rPr>
            <w:noProof/>
            <w:webHidden/>
          </w:rPr>
          <w:tab/>
        </w:r>
        <w:r w:rsidR="00433DEB">
          <w:rPr>
            <w:noProof/>
            <w:webHidden/>
          </w:rPr>
          <w:fldChar w:fldCharType="begin"/>
        </w:r>
        <w:r w:rsidR="00433DEB">
          <w:rPr>
            <w:noProof/>
            <w:webHidden/>
          </w:rPr>
          <w:instrText xml:space="preserve"> PAGEREF _Toc526942119 \h </w:instrText>
        </w:r>
        <w:r w:rsidR="00433DEB">
          <w:rPr>
            <w:noProof/>
            <w:webHidden/>
          </w:rPr>
        </w:r>
        <w:r w:rsidR="00433DEB">
          <w:rPr>
            <w:noProof/>
            <w:webHidden/>
          </w:rPr>
          <w:fldChar w:fldCharType="separate"/>
        </w:r>
        <w:r w:rsidR="006B5618">
          <w:rPr>
            <w:noProof/>
            <w:webHidden/>
          </w:rPr>
          <w:t>34</w:t>
        </w:r>
        <w:r w:rsidR="00433DEB">
          <w:rPr>
            <w:noProof/>
            <w:webHidden/>
          </w:rPr>
          <w:fldChar w:fldCharType="end"/>
        </w:r>
      </w:hyperlink>
    </w:p>
    <w:p w14:paraId="0547D083" w14:textId="4AF7E0D0"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0" w:history="1">
        <w:r w:rsidR="00433DEB" w:rsidRPr="00295023">
          <w:rPr>
            <w:rStyle w:val="Hipervnculo"/>
            <w:noProof/>
          </w:rPr>
          <w:t>Gráfico 12. Distribución de empresas por tamaño</w:t>
        </w:r>
        <w:r w:rsidR="00433DEB">
          <w:rPr>
            <w:noProof/>
            <w:webHidden/>
          </w:rPr>
          <w:tab/>
        </w:r>
        <w:r w:rsidR="00433DEB">
          <w:rPr>
            <w:noProof/>
            <w:webHidden/>
          </w:rPr>
          <w:fldChar w:fldCharType="begin"/>
        </w:r>
        <w:r w:rsidR="00433DEB">
          <w:rPr>
            <w:noProof/>
            <w:webHidden/>
          </w:rPr>
          <w:instrText xml:space="preserve"> PAGEREF _Toc526942120 \h </w:instrText>
        </w:r>
        <w:r w:rsidR="00433DEB">
          <w:rPr>
            <w:noProof/>
            <w:webHidden/>
          </w:rPr>
        </w:r>
        <w:r w:rsidR="00433DEB">
          <w:rPr>
            <w:noProof/>
            <w:webHidden/>
          </w:rPr>
          <w:fldChar w:fldCharType="separate"/>
        </w:r>
        <w:r w:rsidR="006B5618">
          <w:rPr>
            <w:noProof/>
            <w:webHidden/>
          </w:rPr>
          <w:t>37</w:t>
        </w:r>
        <w:r w:rsidR="00433DEB">
          <w:rPr>
            <w:noProof/>
            <w:webHidden/>
          </w:rPr>
          <w:fldChar w:fldCharType="end"/>
        </w:r>
      </w:hyperlink>
    </w:p>
    <w:p w14:paraId="2F16E42B" w14:textId="7E5B8328"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1" w:history="1">
        <w:r w:rsidR="00433DEB" w:rsidRPr="00295023">
          <w:rPr>
            <w:rStyle w:val="Hipervnculo"/>
            <w:noProof/>
          </w:rPr>
          <w:t>Gráfico 13. Comparativa del tejido empresarial en España y en la UE28. Estimaciones para 2016.</w:t>
        </w:r>
        <w:r w:rsidR="00433DEB">
          <w:rPr>
            <w:noProof/>
            <w:webHidden/>
          </w:rPr>
          <w:tab/>
        </w:r>
        <w:r w:rsidR="00433DEB">
          <w:rPr>
            <w:noProof/>
            <w:webHidden/>
          </w:rPr>
          <w:fldChar w:fldCharType="begin"/>
        </w:r>
        <w:r w:rsidR="00433DEB">
          <w:rPr>
            <w:noProof/>
            <w:webHidden/>
          </w:rPr>
          <w:instrText xml:space="preserve"> PAGEREF _Toc526942121 \h </w:instrText>
        </w:r>
        <w:r w:rsidR="00433DEB">
          <w:rPr>
            <w:noProof/>
            <w:webHidden/>
          </w:rPr>
        </w:r>
        <w:r w:rsidR="00433DEB">
          <w:rPr>
            <w:noProof/>
            <w:webHidden/>
          </w:rPr>
          <w:fldChar w:fldCharType="separate"/>
        </w:r>
        <w:r w:rsidR="006B5618">
          <w:rPr>
            <w:noProof/>
            <w:webHidden/>
          </w:rPr>
          <w:t>38</w:t>
        </w:r>
        <w:r w:rsidR="00433DEB">
          <w:rPr>
            <w:noProof/>
            <w:webHidden/>
          </w:rPr>
          <w:fldChar w:fldCharType="end"/>
        </w:r>
      </w:hyperlink>
    </w:p>
    <w:p w14:paraId="1C3C1067" w14:textId="464B53EC"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2" w:history="1">
        <w:r w:rsidR="00433DEB" w:rsidRPr="00295023">
          <w:rPr>
            <w:rStyle w:val="Hipervnculo"/>
            <w:noProof/>
          </w:rPr>
          <w:t>Gráfico 14. Variación porcentual del número de empresas con más de un trabajador en función del número de empleados; tasa de crecimiento anual media en el periodo 2006-2013</w:t>
        </w:r>
        <w:r w:rsidR="00433DEB">
          <w:rPr>
            <w:noProof/>
            <w:webHidden/>
          </w:rPr>
          <w:tab/>
        </w:r>
        <w:r w:rsidR="00433DEB">
          <w:rPr>
            <w:noProof/>
            <w:webHidden/>
          </w:rPr>
          <w:fldChar w:fldCharType="begin"/>
        </w:r>
        <w:r w:rsidR="00433DEB">
          <w:rPr>
            <w:noProof/>
            <w:webHidden/>
          </w:rPr>
          <w:instrText xml:space="preserve"> PAGEREF _Toc526942122 \h </w:instrText>
        </w:r>
        <w:r w:rsidR="00433DEB">
          <w:rPr>
            <w:noProof/>
            <w:webHidden/>
          </w:rPr>
        </w:r>
        <w:r w:rsidR="00433DEB">
          <w:rPr>
            <w:noProof/>
            <w:webHidden/>
          </w:rPr>
          <w:fldChar w:fldCharType="separate"/>
        </w:r>
        <w:r w:rsidR="006B5618">
          <w:rPr>
            <w:noProof/>
            <w:webHidden/>
          </w:rPr>
          <w:t>38</w:t>
        </w:r>
        <w:r w:rsidR="00433DEB">
          <w:rPr>
            <w:noProof/>
            <w:webHidden/>
          </w:rPr>
          <w:fldChar w:fldCharType="end"/>
        </w:r>
      </w:hyperlink>
    </w:p>
    <w:p w14:paraId="474DFD89" w14:textId="5DD76399"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3" w:history="1">
        <w:r w:rsidR="00433DEB" w:rsidRPr="00295023">
          <w:rPr>
            <w:rStyle w:val="Hipervnculo"/>
            <w:noProof/>
          </w:rPr>
          <w:t>Gráfico 15. Evolución de las ventas y los beneficios</w:t>
        </w:r>
        <w:r w:rsidR="00433DEB">
          <w:rPr>
            <w:noProof/>
            <w:webHidden/>
          </w:rPr>
          <w:tab/>
        </w:r>
        <w:r w:rsidR="00433DEB">
          <w:rPr>
            <w:noProof/>
            <w:webHidden/>
          </w:rPr>
          <w:fldChar w:fldCharType="begin"/>
        </w:r>
        <w:r w:rsidR="00433DEB">
          <w:rPr>
            <w:noProof/>
            <w:webHidden/>
          </w:rPr>
          <w:instrText xml:space="preserve"> PAGEREF _Toc526942123 \h </w:instrText>
        </w:r>
        <w:r w:rsidR="00433DEB">
          <w:rPr>
            <w:noProof/>
            <w:webHidden/>
          </w:rPr>
        </w:r>
        <w:r w:rsidR="00433DEB">
          <w:rPr>
            <w:noProof/>
            <w:webHidden/>
          </w:rPr>
          <w:fldChar w:fldCharType="separate"/>
        </w:r>
        <w:r w:rsidR="006B5618">
          <w:rPr>
            <w:noProof/>
            <w:webHidden/>
          </w:rPr>
          <w:t>45</w:t>
        </w:r>
        <w:r w:rsidR="00433DEB">
          <w:rPr>
            <w:noProof/>
            <w:webHidden/>
          </w:rPr>
          <w:fldChar w:fldCharType="end"/>
        </w:r>
      </w:hyperlink>
    </w:p>
    <w:p w14:paraId="16043A80" w14:textId="5A26F560"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4" w:history="1">
        <w:r w:rsidR="00433DEB" w:rsidRPr="00295023">
          <w:rPr>
            <w:rStyle w:val="Hipervnculo"/>
            <w:noProof/>
          </w:rPr>
          <w:t>Gráfico 16. Principales problemas que afectan a la actividad</w:t>
        </w:r>
        <w:r w:rsidR="00433DEB">
          <w:rPr>
            <w:noProof/>
            <w:webHidden/>
          </w:rPr>
          <w:tab/>
        </w:r>
        <w:r w:rsidR="00433DEB">
          <w:rPr>
            <w:noProof/>
            <w:webHidden/>
          </w:rPr>
          <w:fldChar w:fldCharType="begin"/>
        </w:r>
        <w:r w:rsidR="00433DEB">
          <w:rPr>
            <w:noProof/>
            <w:webHidden/>
          </w:rPr>
          <w:instrText xml:space="preserve"> PAGEREF _Toc526942124 \h </w:instrText>
        </w:r>
        <w:r w:rsidR="00433DEB">
          <w:rPr>
            <w:noProof/>
            <w:webHidden/>
          </w:rPr>
        </w:r>
        <w:r w:rsidR="00433DEB">
          <w:rPr>
            <w:noProof/>
            <w:webHidden/>
          </w:rPr>
          <w:fldChar w:fldCharType="separate"/>
        </w:r>
        <w:r w:rsidR="006B5618">
          <w:rPr>
            <w:noProof/>
            <w:webHidden/>
          </w:rPr>
          <w:t>45</w:t>
        </w:r>
        <w:r w:rsidR="00433DEB">
          <w:rPr>
            <w:noProof/>
            <w:webHidden/>
          </w:rPr>
          <w:fldChar w:fldCharType="end"/>
        </w:r>
      </w:hyperlink>
    </w:p>
    <w:p w14:paraId="3B451026" w14:textId="5489515E"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5" w:history="1">
        <w:r w:rsidR="00433DEB" w:rsidRPr="00295023">
          <w:rPr>
            <w:rStyle w:val="Hipervnculo"/>
            <w:noProof/>
          </w:rPr>
          <w:t>Gráfico 17. Nivel de utilización de distintos instrumentos financieros en los últimos 6 meses, Marzo 2017</w:t>
        </w:r>
        <w:r w:rsidR="00433DEB">
          <w:rPr>
            <w:noProof/>
            <w:webHidden/>
          </w:rPr>
          <w:tab/>
        </w:r>
        <w:r w:rsidR="00433DEB">
          <w:rPr>
            <w:noProof/>
            <w:webHidden/>
          </w:rPr>
          <w:fldChar w:fldCharType="begin"/>
        </w:r>
        <w:r w:rsidR="00433DEB">
          <w:rPr>
            <w:noProof/>
            <w:webHidden/>
          </w:rPr>
          <w:instrText xml:space="preserve"> PAGEREF _Toc526942125 \h </w:instrText>
        </w:r>
        <w:r w:rsidR="00433DEB">
          <w:rPr>
            <w:noProof/>
            <w:webHidden/>
          </w:rPr>
        </w:r>
        <w:r w:rsidR="00433DEB">
          <w:rPr>
            <w:noProof/>
            <w:webHidden/>
          </w:rPr>
          <w:fldChar w:fldCharType="separate"/>
        </w:r>
        <w:r w:rsidR="006B5618">
          <w:rPr>
            <w:noProof/>
            <w:webHidden/>
          </w:rPr>
          <w:t>47</w:t>
        </w:r>
        <w:r w:rsidR="00433DEB">
          <w:rPr>
            <w:noProof/>
            <w:webHidden/>
          </w:rPr>
          <w:fldChar w:fldCharType="end"/>
        </w:r>
      </w:hyperlink>
    </w:p>
    <w:p w14:paraId="63895EDD" w14:textId="25CDA828"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6" w:history="1">
        <w:r w:rsidR="00433DEB" w:rsidRPr="00295023">
          <w:rPr>
            <w:rStyle w:val="Hipervnculo"/>
            <w:noProof/>
          </w:rPr>
          <w:t>Gráfico 18. Evolución del Periodo Medio de Pago del sector público.</w:t>
        </w:r>
        <w:r w:rsidR="00433DEB">
          <w:rPr>
            <w:noProof/>
            <w:webHidden/>
          </w:rPr>
          <w:tab/>
        </w:r>
        <w:r w:rsidR="00433DEB">
          <w:rPr>
            <w:noProof/>
            <w:webHidden/>
          </w:rPr>
          <w:fldChar w:fldCharType="begin"/>
        </w:r>
        <w:r w:rsidR="00433DEB">
          <w:rPr>
            <w:noProof/>
            <w:webHidden/>
          </w:rPr>
          <w:instrText xml:space="preserve"> PAGEREF _Toc526942126 \h </w:instrText>
        </w:r>
        <w:r w:rsidR="00433DEB">
          <w:rPr>
            <w:noProof/>
            <w:webHidden/>
          </w:rPr>
        </w:r>
        <w:r w:rsidR="00433DEB">
          <w:rPr>
            <w:noProof/>
            <w:webHidden/>
          </w:rPr>
          <w:fldChar w:fldCharType="separate"/>
        </w:r>
        <w:r w:rsidR="006B5618">
          <w:rPr>
            <w:noProof/>
            <w:webHidden/>
          </w:rPr>
          <w:t>50</w:t>
        </w:r>
        <w:r w:rsidR="00433DEB">
          <w:rPr>
            <w:noProof/>
            <w:webHidden/>
          </w:rPr>
          <w:fldChar w:fldCharType="end"/>
        </w:r>
      </w:hyperlink>
    </w:p>
    <w:p w14:paraId="2809350E" w14:textId="17DAD5D1"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7" w:history="1">
        <w:r w:rsidR="00433DEB" w:rsidRPr="00295023">
          <w:rPr>
            <w:rStyle w:val="Hipervnculo"/>
            <w:noProof/>
          </w:rPr>
          <w:t>Gráfico 19. Evolución del Periodo Medio de Pago.</w:t>
        </w:r>
        <w:r w:rsidR="00433DEB">
          <w:rPr>
            <w:noProof/>
            <w:webHidden/>
          </w:rPr>
          <w:tab/>
        </w:r>
        <w:r w:rsidR="00433DEB">
          <w:rPr>
            <w:noProof/>
            <w:webHidden/>
          </w:rPr>
          <w:fldChar w:fldCharType="begin"/>
        </w:r>
        <w:r w:rsidR="00433DEB">
          <w:rPr>
            <w:noProof/>
            <w:webHidden/>
          </w:rPr>
          <w:instrText xml:space="preserve"> PAGEREF _Toc526942127 \h </w:instrText>
        </w:r>
        <w:r w:rsidR="00433DEB">
          <w:rPr>
            <w:noProof/>
            <w:webHidden/>
          </w:rPr>
        </w:r>
        <w:r w:rsidR="00433DEB">
          <w:rPr>
            <w:noProof/>
            <w:webHidden/>
          </w:rPr>
          <w:fldChar w:fldCharType="separate"/>
        </w:r>
        <w:r w:rsidR="006B5618">
          <w:rPr>
            <w:noProof/>
            <w:webHidden/>
          </w:rPr>
          <w:t>50</w:t>
        </w:r>
        <w:r w:rsidR="00433DEB">
          <w:rPr>
            <w:noProof/>
            <w:webHidden/>
          </w:rPr>
          <w:fldChar w:fldCharType="end"/>
        </w:r>
      </w:hyperlink>
    </w:p>
    <w:p w14:paraId="04451BBA" w14:textId="39CA597E"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8" w:history="1">
        <w:r w:rsidR="00433DEB" w:rsidRPr="00295023">
          <w:rPr>
            <w:rStyle w:val="Hipervnculo"/>
            <w:noProof/>
          </w:rPr>
          <w:t>Gráfico 20. Coeficiente de inversión en intangibles vs. tangibles</w:t>
        </w:r>
        <w:r w:rsidR="00433DEB">
          <w:rPr>
            <w:noProof/>
            <w:webHidden/>
          </w:rPr>
          <w:tab/>
        </w:r>
        <w:r w:rsidR="00433DEB">
          <w:rPr>
            <w:noProof/>
            <w:webHidden/>
          </w:rPr>
          <w:fldChar w:fldCharType="begin"/>
        </w:r>
        <w:r w:rsidR="00433DEB">
          <w:rPr>
            <w:noProof/>
            <w:webHidden/>
          </w:rPr>
          <w:instrText xml:space="preserve"> PAGEREF _Toc526942128 \h </w:instrText>
        </w:r>
        <w:r w:rsidR="00433DEB">
          <w:rPr>
            <w:noProof/>
            <w:webHidden/>
          </w:rPr>
        </w:r>
        <w:r w:rsidR="00433DEB">
          <w:rPr>
            <w:noProof/>
            <w:webHidden/>
          </w:rPr>
          <w:fldChar w:fldCharType="separate"/>
        </w:r>
        <w:r w:rsidR="006B5618">
          <w:rPr>
            <w:noProof/>
            <w:webHidden/>
          </w:rPr>
          <w:t>53</w:t>
        </w:r>
        <w:r w:rsidR="00433DEB">
          <w:rPr>
            <w:noProof/>
            <w:webHidden/>
          </w:rPr>
          <w:fldChar w:fldCharType="end"/>
        </w:r>
      </w:hyperlink>
    </w:p>
    <w:p w14:paraId="6A45668A" w14:textId="564A0579"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29" w:history="1">
        <w:r w:rsidR="00433DEB" w:rsidRPr="00295023">
          <w:rPr>
            <w:rStyle w:val="Hipervnculo"/>
            <w:noProof/>
          </w:rPr>
          <w:t>Gráfico 21. Gasto en I+D ejecutado por el sector empresarial como porcentaje sobre el PIB</w:t>
        </w:r>
        <w:r w:rsidR="00433DEB">
          <w:rPr>
            <w:noProof/>
            <w:webHidden/>
          </w:rPr>
          <w:tab/>
        </w:r>
        <w:r w:rsidR="00433DEB">
          <w:rPr>
            <w:noProof/>
            <w:webHidden/>
          </w:rPr>
          <w:fldChar w:fldCharType="begin"/>
        </w:r>
        <w:r w:rsidR="00433DEB">
          <w:rPr>
            <w:noProof/>
            <w:webHidden/>
          </w:rPr>
          <w:instrText xml:space="preserve"> PAGEREF _Toc526942129 \h </w:instrText>
        </w:r>
        <w:r w:rsidR="00433DEB">
          <w:rPr>
            <w:noProof/>
            <w:webHidden/>
          </w:rPr>
        </w:r>
        <w:r w:rsidR="00433DEB">
          <w:rPr>
            <w:noProof/>
            <w:webHidden/>
          </w:rPr>
          <w:fldChar w:fldCharType="separate"/>
        </w:r>
        <w:r w:rsidR="006B5618">
          <w:rPr>
            <w:noProof/>
            <w:webHidden/>
          </w:rPr>
          <w:t>54</w:t>
        </w:r>
        <w:r w:rsidR="00433DEB">
          <w:rPr>
            <w:noProof/>
            <w:webHidden/>
          </w:rPr>
          <w:fldChar w:fldCharType="end"/>
        </w:r>
      </w:hyperlink>
    </w:p>
    <w:p w14:paraId="037BB047" w14:textId="313B0BBD"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30" w:history="1">
        <w:r w:rsidR="00433DEB" w:rsidRPr="00295023">
          <w:rPr>
            <w:rStyle w:val="Hipervnculo"/>
            <w:noProof/>
          </w:rPr>
          <w:t>Gráfico 22. Porcentaje del gasto empresarial en I+D ejecutado por PYME y grandes empresas</w:t>
        </w:r>
        <w:r w:rsidR="00433DEB">
          <w:rPr>
            <w:noProof/>
            <w:webHidden/>
          </w:rPr>
          <w:tab/>
        </w:r>
        <w:r w:rsidR="00433DEB">
          <w:rPr>
            <w:noProof/>
            <w:webHidden/>
          </w:rPr>
          <w:fldChar w:fldCharType="begin"/>
        </w:r>
        <w:r w:rsidR="00433DEB">
          <w:rPr>
            <w:noProof/>
            <w:webHidden/>
          </w:rPr>
          <w:instrText xml:space="preserve"> PAGEREF _Toc526942130 \h </w:instrText>
        </w:r>
        <w:r w:rsidR="00433DEB">
          <w:rPr>
            <w:noProof/>
            <w:webHidden/>
          </w:rPr>
        </w:r>
        <w:r w:rsidR="00433DEB">
          <w:rPr>
            <w:noProof/>
            <w:webHidden/>
          </w:rPr>
          <w:fldChar w:fldCharType="separate"/>
        </w:r>
        <w:r w:rsidR="006B5618">
          <w:rPr>
            <w:noProof/>
            <w:webHidden/>
          </w:rPr>
          <w:t>54</w:t>
        </w:r>
        <w:r w:rsidR="00433DEB">
          <w:rPr>
            <w:noProof/>
            <w:webHidden/>
          </w:rPr>
          <w:fldChar w:fldCharType="end"/>
        </w:r>
      </w:hyperlink>
    </w:p>
    <w:p w14:paraId="3B2635BC" w14:textId="054C0AE3"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31" w:history="1">
        <w:r w:rsidR="00433DEB" w:rsidRPr="00295023">
          <w:rPr>
            <w:rStyle w:val="Hipervnculo"/>
            <w:noProof/>
          </w:rPr>
          <w:t>Gráfico 23.</w:t>
        </w:r>
        <w:r w:rsidR="00433DEB" w:rsidRPr="00295023">
          <w:rPr>
            <w:rStyle w:val="Hipervnculo"/>
            <w:b/>
            <w:noProof/>
          </w:rPr>
          <w:t xml:space="preserve"> </w:t>
        </w:r>
        <w:r w:rsidR="00433DEB" w:rsidRPr="00295023">
          <w:rPr>
            <w:rStyle w:val="Hipervnculo"/>
            <w:noProof/>
          </w:rPr>
          <w:t>Comisión Europea, 2017 Regional Innovation Scoreboard</w:t>
        </w:r>
        <w:r w:rsidR="00433DEB">
          <w:rPr>
            <w:noProof/>
            <w:webHidden/>
          </w:rPr>
          <w:tab/>
        </w:r>
        <w:r w:rsidR="00433DEB">
          <w:rPr>
            <w:noProof/>
            <w:webHidden/>
          </w:rPr>
          <w:fldChar w:fldCharType="begin"/>
        </w:r>
        <w:r w:rsidR="00433DEB">
          <w:rPr>
            <w:noProof/>
            <w:webHidden/>
          </w:rPr>
          <w:instrText xml:space="preserve"> PAGEREF _Toc526942131 \h </w:instrText>
        </w:r>
        <w:r w:rsidR="00433DEB">
          <w:rPr>
            <w:noProof/>
            <w:webHidden/>
          </w:rPr>
        </w:r>
        <w:r w:rsidR="00433DEB">
          <w:rPr>
            <w:noProof/>
            <w:webHidden/>
          </w:rPr>
          <w:fldChar w:fldCharType="separate"/>
        </w:r>
        <w:r w:rsidR="006B5618">
          <w:rPr>
            <w:noProof/>
            <w:webHidden/>
          </w:rPr>
          <w:t>55</w:t>
        </w:r>
        <w:r w:rsidR="00433DEB">
          <w:rPr>
            <w:noProof/>
            <w:webHidden/>
          </w:rPr>
          <w:fldChar w:fldCharType="end"/>
        </w:r>
      </w:hyperlink>
    </w:p>
    <w:p w14:paraId="43E85200" w14:textId="2E1E3091"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32" w:history="1">
        <w:r w:rsidR="00433DEB" w:rsidRPr="00295023">
          <w:rPr>
            <w:rStyle w:val="Hipervnculo"/>
            <w:noProof/>
          </w:rPr>
          <w:t>Gráfico 24. DESI 2017</w:t>
        </w:r>
        <w:r w:rsidR="00433DEB">
          <w:rPr>
            <w:noProof/>
            <w:webHidden/>
          </w:rPr>
          <w:tab/>
        </w:r>
        <w:r w:rsidR="00433DEB">
          <w:rPr>
            <w:noProof/>
            <w:webHidden/>
          </w:rPr>
          <w:fldChar w:fldCharType="begin"/>
        </w:r>
        <w:r w:rsidR="00433DEB">
          <w:rPr>
            <w:noProof/>
            <w:webHidden/>
          </w:rPr>
          <w:instrText xml:space="preserve"> PAGEREF _Toc526942132 \h </w:instrText>
        </w:r>
        <w:r w:rsidR="00433DEB">
          <w:rPr>
            <w:noProof/>
            <w:webHidden/>
          </w:rPr>
        </w:r>
        <w:r w:rsidR="00433DEB">
          <w:rPr>
            <w:noProof/>
            <w:webHidden/>
          </w:rPr>
          <w:fldChar w:fldCharType="separate"/>
        </w:r>
        <w:r w:rsidR="006B5618">
          <w:rPr>
            <w:noProof/>
            <w:webHidden/>
          </w:rPr>
          <w:t>56</w:t>
        </w:r>
        <w:r w:rsidR="00433DEB">
          <w:rPr>
            <w:noProof/>
            <w:webHidden/>
          </w:rPr>
          <w:fldChar w:fldCharType="end"/>
        </w:r>
      </w:hyperlink>
    </w:p>
    <w:p w14:paraId="429EA8A2" w14:textId="65D7E420" w:rsidR="00433DEB" w:rsidRDefault="00576E76">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942133" w:history="1">
        <w:r w:rsidR="00433DEB" w:rsidRPr="00295023">
          <w:rPr>
            <w:rStyle w:val="Hipervnculo"/>
            <w:rFonts w:cs="Arial"/>
            <w:noProof/>
            <w:lang w:val="nl-BE"/>
          </w:rPr>
          <w:t>Gráfico 25. Valor de las exportaciones respecto al volumen de negocio por tamaño de empresa</w:t>
        </w:r>
        <w:r w:rsidR="00433DEB">
          <w:rPr>
            <w:noProof/>
            <w:webHidden/>
          </w:rPr>
          <w:tab/>
        </w:r>
        <w:r w:rsidR="00433DEB">
          <w:rPr>
            <w:noProof/>
            <w:webHidden/>
          </w:rPr>
          <w:fldChar w:fldCharType="begin"/>
        </w:r>
        <w:r w:rsidR="00433DEB">
          <w:rPr>
            <w:noProof/>
            <w:webHidden/>
          </w:rPr>
          <w:instrText xml:space="preserve"> PAGEREF _Toc526942133 \h </w:instrText>
        </w:r>
        <w:r w:rsidR="00433DEB">
          <w:rPr>
            <w:noProof/>
            <w:webHidden/>
          </w:rPr>
        </w:r>
        <w:r w:rsidR="00433DEB">
          <w:rPr>
            <w:noProof/>
            <w:webHidden/>
          </w:rPr>
          <w:fldChar w:fldCharType="separate"/>
        </w:r>
        <w:r w:rsidR="006B5618">
          <w:rPr>
            <w:noProof/>
            <w:webHidden/>
          </w:rPr>
          <w:t>71</w:t>
        </w:r>
        <w:r w:rsidR="00433DEB">
          <w:rPr>
            <w:noProof/>
            <w:webHidden/>
          </w:rPr>
          <w:fldChar w:fldCharType="end"/>
        </w:r>
      </w:hyperlink>
    </w:p>
    <w:p w14:paraId="3E7FCFF8" w14:textId="7FE1012E" w:rsidR="00C67258" w:rsidRPr="0095784D" w:rsidRDefault="00C67258">
      <w:pPr>
        <w:spacing w:after="0"/>
        <w:jc w:val="left"/>
        <w:rPr>
          <w:rFonts w:ascii="Arial" w:eastAsiaTheme="majorEastAsia" w:hAnsi="Arial" w:cs="Arial"/>
          <w:b/>
          <w:bCs/>
          <w:sz w:val="22"/>
          <w:szCs w:val="22"/>
          <w:lang w:val="es-ES"/>
        </w:rPr>
      </w:pPr>
      <w:r>
        <w:rPr>
          <w:rFonts w:ascii="Arial" w:eastAsiaTheme="majorEastAsia" w:hAnsi="Arial" w:cs="Arial"/>
          <w:b/>
          <w:bCs/>
          <w:sz w:val="22"/>
          <w:szCs w:val="22"/>
          <w:lang w:val="es-ES"/>
        </w:rPr>
        <w:fldChar w:fldCharType="end"/>
      </w:r>
    </w:p>
    <w:p w14:paraId="3F5BF2BD" w14:textId="77777777" w:rsidR="005C1487" w:rsidRPr="005C1487" w:rsidRDefault="005C1487" w:rsidP="005C1487">
      <w:pPr>
        <w:pStyle w:val="Body"/>
      </w:pPr>
    </w:p>
    <w:p w14:paraId="457C0378" w14:textId="77777777" w:rsidR="00393426" w:rsidRPr="0095784D" w:rsidRDefault="00393426" w:rsidP="00393426">
      <w:pPr>
        <w:pStyle w:val="Ttulo1"/>
        <w:pageBreakBefore/>
        <w:numPr>
          <w:ilvl w:val="0"/>
          <w:numId w:val="28"/>
        </w:numPr>
        <w:tabs>
          <w:tab w:val="num" w:pos="432"/>
        </w:tabs>
        <w:ind w:left="431" w:hanging="431"/>
        <w:jc w:val="left"/>
        <w:rPr>
          <w:rFonts w:cs="Arial"/>
          <w:color w:val="003399"/>
          <w:sz w:val="28"/>
          <w:szCs w:val="22"/>
          <w:lang w:val="es-ES"/>
        </w:rPr>
      </w:pPr>
      <w:bookmarkStart w:id="1" w:name="_Toc463019618"/>
      <w:bookmarkStart w:id="2" w:name="_Toc527630330"/>
      <w:r w:rsidRPr="0095784D">
        <w:rPr>
          <w:rFonts w:cs="Arial"/>
          <w:color w:val="003399"/>
          <w:sz w:val="28"/>
          <w:szCs w:val="22"/>
          <w:lang w:val="es-ES"/>
        </w:rPr>
        <w:lastRenderedPageBreak/>
        <w:t>Introduc</w:t>
      </w:r>
      <w:r w:rsidR="005846FD" w:rsidRPr="0095784D">
        <w:rPr>
          <w:rFonts w:cs="Arial"/>
          <w:color w:val="003399"/>
          <w:sz w:val="28"/>
          <w:szCs w:val="22"/>
          <w:lang w:val="es-ES"/>
        </w:rPr>
        <w:t>ción</w:t>
      </w:r>
      <w:bookmarkEnd w:id="1"/>
      <w:bookmarkEnd w:id="2"/>
    </w:p>
    <w:p w14:paraId="419DDF05" w14:textId="083ED8F9" w:rsidR="008F5F6C" w:rsidRDefault="008F5F6C" w:rsidP="008F5F6C">
      <w:pPr>
        <w:pStyle w:val="Body"/>
      </w:pPr>
      <w:r>
        <w:t>La Pequeña y Mediana Empresa (PYME</w:t>
      </w:r>
      <w:r w:rsidR="00DF01EB">
        <w:rPr>
          <w:rStyle w:val="Refdenotaalpie"/>
        </w:rPr>
        <w:footnoteReference w:id="1"/>
      </w:r>
      <w:r>
        <w:t xml:space="preserve">) desempeña un papel </w:t>
      </w:r>
      <w:r w:rsidR="00122163">
        <w:t>fundamental</w:t>
      </w:r>
      <w:r>
        <w:t xml:space="preserve"> en las políticas económicas y de fomento de la competitividad en el ámbito europeo. No en vano, </w:t>
      </w:r>
      <w:r w:rsidR="006B2766">
        <w:t>más d</w:t>
      </w:r>
      <w:r>
        <w:t>el 99% de l</w:t>
      </w:r>
      <w:r w:rsidR="00873582">
        <w:t>a</w:t>
      </w:r>
      <w:r>
        <w:t>s</w:t>
      </w:r>
      <w:r w:rsidR="00873582">
        <w:t xml:space="preserve"> </w:t>
      </w:r>
      <w:r>
        <w:t xml:space="preserve">empresas que existen en la Unión Europea son PYME que dan empleo a </w:t>
      </w:r>
      <w:r w:rsidR="00873582">
        <w:t>93 millones de personas</w:t>
      </w:r>
      <w:r>
        <w:t xml:space="preserve"> y generan más de la </w:t>
      </w:r>
      <w:r w:rsidR="00873582">
        <w:t xml:space="preserve">mitad del valor añadido </w:t>
      </w:r>
      <w:r>
        <w:t>del conjunto del tejido empresarial.</w:t>
      </w:r>
    </w:p>
    <w:p w14:paraId="68F61898" w14:textId="4437C825" w:rsidR="008F5F6C" w:rsidRDefault="008F5F6C" w:rsidP="008F5F6C">
      <w:pPr>
        <w:pStyle w:val="Body"/>
      </w:pPr>
      <w:r>
        <w:t>En España, las PYME suponen el 99,</w:t>
      </w:r>
      <w:r w:rsidR="00B54DB4">
        <w:t>8</w:t>
      </w:r>
      <w:r>
        <w:t xml:space="preserve">% de las empresas, representan </w:t>
      </w:r>
      <w:r w:rsidR="006B2766">
        <w:t xml:space="preserve">casi </w:t>
      </w:r>
      <w:r>
        <w:t>el 6</w:t>
      </w:r>
      <w:r w:rsidR="006B2766">
        <w:t>2</w:t>
      </w:r>
      <w:r>
        <w:t xml:space="preserve">% del Valor Añadido Bruto (VAB) y el </w:t>
      </w:r>
      <w:r w:rsidR="00B54DB4">
        <w:t>66,5</w:t>
      </w:r>
      <w:r>
        <w:t xml:space="preserve">% del empleo </w:t>
      </w:r>
      <w:r w:rsidR="00611EC1">
        <w:t xml:space="preserve">empresarial </w:t>
      </w:r>
      <w:r>
        <w:t xml:space="preserve">total. </w:t>
      </w:r>
      <w:r w:rsidR="00611EC1">
        <w:t xml:space="preserve">Concretamente, </w:t>
      </w:r>
      <w:r w:rsidR="006548F4">
        <w:t>las PYME</w:t>
      </w:r>
      <w:r w:rsidR="00611EC1">
        <w:t xml:space="preserve"> con asalariados</w:t>
      </w:r>
      <w:r w:rsidR="006548F4">
        <w:t xml:space="preserve"> suponen el 46% de las empresas, </w:t>
      </w:r>
      <w:r w:rsidR="00122163">
        <w:t>y</w:t>
      </w:r>
      <w:r w:rsidR="006548F4">
        <w:t xml:space="preserve"> emplean a más de ocho millones de trabajadores</w:t>
      </w:r>
      <w:r w:rsidR="00EE3CC4">
        <w:t xml:space="preserve">, lo que </w:t>
      </w:r>
      <w:r w:rsidR="00122163">
        <w:t>representa</w:t>
      </w:r>
      <w:r w:rsidR="00EE3CC4">
        <w:t xml:space="preserve"> el 53,64% del empleo empresarial total</w:t>
      </w:r>
      <w:r w:rsidR="006548F4">
        <w:t>.</w:t>
      </w:r>
      <w:r w:rsidR="00D8664B">
        <w:t xml:space="preserve"> S</w:t>
      </w:r>
      <w:r>
        <w:t>u relevancia implica que cualquier política orientada a la mejora del posicionamiento de nuestro país en el entorno económico global, tome en consideración de forma prioritaria a las PYME.</w:t>
      </w:r>
    </w:p>
    <w:p w14:paraId="441A7D79" w14:textId="77777777" w:rsidR="008F5F6C" w:rsidRDefault="008F5F6C" w:rsidP="008F5F6C">
      <w:pPr>
        <w:pStyle w:val="Body"/>
      </w:pPr>
      <w:r w:rsidRPr="005C1487">
        <w:t xml:space="preserve">En este contexto, entender la evolución económica de España de los últimos años y sus retos, es comprender los desafíos a los que se enfrenta la PYME. La crisis económica y financiera global que afectó a nuestro país con especial virulencia, se reflejó de manera patente en las PYME españolas, fruto de una serie de debilidades estructurales de gran calado (baja productividad, limitada capacidad exportadora, </w:t>
      </w:r>
      <w:r>
        <w:t>poca inversión</w:t>
      </w:r>
      <w:r w:rsidRPr="005C1487">
        <w:t xml:space="preserve"> en innovación, reducida capacidad para generar empleo estable, entre otras). </w:t>
      </w:r>
    </w:p>
    <w:p w14:paraId="474C6745" w14:textId="403B9AEA" w:rsidR="00332E19" w:rsidRDefault="00332E19" w:rsidP="008F5F6C">
      <w:pPr>
        <w:pStyle w:val="Body"/>
      </w:pPr>
      <w:r>
        <w:t xml:space="preserve">Los efectos de la adversa situación y la restricción del crédito hicieron más urgente, si cabe, reorientar el modelo de competitividad y crecimiento. En </w:t>
      </w:r>
      <w:r w:rsidR="001C59A3">
        <w:t>los últimos años</w:t>
      </w:r>
      <w:r>
        <w:t xml:space="preserve">, el Gobierno </w:t>
      </w:r>
      <w:r w:rsidR="001C59A3">
        <w:t>ha llevado a cabo distintas actuaciones con el</w:t>
      </w:r>
      <w:r>
        <w:t xml:space="preserve"> objetivo </w:t>
      </w:r>
      <w:r w:rsidR="001C59A3">
        <w:t xml:space="preserve">de </w:t>
      </w:r>
      <w:r w:rsidR="00122163">
        <w:t>impulsar</w:t>
      </w:r>
      <w:r w:rsidR="001C59A3">
        <w:t xml:space="preserve"> la</w:t>
      </w:r>
      <w:r>
        <w:t xml:space="preserve"> recuperación económica y la creación de empleo. En el ámbito de la PYME estas reformas profundizaron y aceleraron el cumplimiento de la Small Business Act (SBA)</w:t>
      </w:r>
      <w:r w:rsidR="00B35806">
        <w:t>, Recomendación</w:t>
      </w:r>
      <w:r>
        <w:t xml:space="preserve"> que reúne los principios estratégicos y las líneas políticas de actuación para potenciar la creación, el desarrollo y el crecimiento de</w:t>
      </w:r>
      <w:r w:rsidR="00B35806">
        <w:t xml:space="preserve"> </w:t>
      </w:r>
      <w:r>
        <w:t xml:space="preserve">la </w:t>
      </w:r>
      <w:r w:rsidR="00D8664B">
        <w:t>P</w:t>
      </w:r>
      <w:r>
        <w:t>YME en la Unión Europea.</w:t>
      </w:r>
    </w:p>
    <w:p w14:paraId="1E81F371" w14:textId="09FEFC92" w:rsidR="008F5F6C" w:rsidRPr="005C1487" w:rsidRDefault="001C59A3" w:rsidP="008F5F6C">
      <w:pPr>
        <w:pStyle w:val="Body"/>
      </w:pPr>
      <w:r>
        <w:t>I</w:t>
      </w:r>
      <w:r w:rsidR="008F5F6C" w:rsidRPr="005C1487">
        <w:t>nmersos en un proceso de globalización y digitalización sin precedentes, las PYME no se pueden quedar atrás</w:t>
      </w:r>
      <w:r w:rsidR="00D8664B">
        <w:t>;</w:t>
      </w:r>
      <w:r w:rsidR="00332E19">
        <w:t xml:space="preserve"> </w:t>
      </w:r>
      <w:r w:rsidR="00332E19" w:rsidRPr="00332E19">
        <w:t>pueden y deben jugar un papel protagonista en la generación de innovación</w:t>
      </w:r>
      <w:r w:rsidR="00D8664B">
        <w:t xml:space="preserve"> y</w:t>
      </w:r>
      <w:r w:rsidR="00332E19">
        <w:t xml:space="preserve"> en la transformación digital</w:t>
      </w:r>
      <w:r w:rsidR="00332E19" w:rsidRPr="00332E19">
        <w:t xml:space="preserve"> con lo que ello supone de mejora de la productividad y de capacidad para desarrollar productos nuevos y diferenciado</w:t>
      </w:r>
      <w:r w:rsidR="00332E19">
        <w:t>s. Un protagonismo que les permita</w:t>
      </w:r>
      <w:r w:rsidR="00332E19" w:rsidRPr="00332E19">
        <w:t xml:space="preserve"> </w:t>
      </w:r>
      <w:r w:rsidR="008F5F6C" w:rsidRPr="005C1487">
        <w:t xml:space="preserve">ser parte activa en el proceso de fortalecimiento del dinamismo de la economía española. </w:t>
      </w:r>
    </w:p>
    <w:p w14:paraId="0C7C706D" w14:textId="722B5DB4" w:rsidR="008F5F6C" w:rsidRPr="00A0568D" w:rsidRDefault="00A0568D" w:rsidP="007F38D2">
      <w:pPr>
        <w:pStyle w:val="Body"/>
      </w:pPr>
      <w:r>
        <w:t>Los nuevos retos hacen necesario dar un paso más a la hora de definir una política específica centrada en la PYME que evite la dispersión que existe actualmente y que, siguiendo las directrices de la Unión Europea, principalmente, y otros organismos internacionales</w:t>
      </w:r>
      <w:r w:rsidR="00122163">
        <w:t>,</w:t>
      </w:r>
      <w:r>
        <w:t xml:space="preserve"> marque el camino del crecimiento y la competitividad de la PYME española. Un </w:t>
      </w:r>
      <w:r>
        <w:rPr>
          <w:b/>
          <w:smallCaps/>
        </w:rPr>
        <w:t xml:space="preserve">Marco Estratégico de la PYME </w:t>
      </w:r>
      <w:r>
        <w:t xml:space="preserve">que </w:t>
      </w:r>
      <w:r w:rsidR="00D8664B">
        <w:t xml:space="preserve">afiance </w:t>
      </w:r>
      <w:r>
        <w:t xml:space="preserve">lo </w:t>
      </w:r>
      <w:r w:rsidR="00D8664B">
        <w:t xml:space="preserve">que se ha </w:t>
      </w:r>
      <w:r>
        <w:t>avanzado hasta ahora y abra paso a nuevas propuestas que consoliden la posición de nuestra PYME en un entorno cambiante, global, digitalizado</w:t>
      </w:r>
      <w:r w:rsidR="005438A4">
        <w:t>, innovador</w:t>
      </w:r>
      <w:r>
        <w:t xml:space="preserve"> y sostenible </w:t>
      </w:r>
      <w:r w:rsidR="00B029E4">
        <w:t xml:space="preserve">de manera </w:t>
      </w:r>
      <w:r w:rsidR="005438A4">
        <w:t>que sepan estar atentas a la realidad de los mercados y adaptarse a los nuevos desafíos.</w:t>
      </w:r>
    </w:p>
    <w:p w14:paraId="1CF1B5C7" w14:textId="77777777" w:rsidR="008F5F6C" w:rsidRDefault="00A0568D" w:rsidP="007F38D2">
      <w:pPr>
        <w:pStyle w:val="Body"/>
      </w:pPr>
      <w:r w:rsidRPr="005C1487">
        <w:lastRenderedPageBreak/>
        <w:t>E</w:t>
      </w:r>
      <w:r w:rsidR="005438A4">
        <w:t>ste</w:t>
      </w:r>
      <w:r w:rsidRPr="005C1487">
        <w:t xml:space="preserve"> Marco Estratégico </w:t>
      </w:r>
      <w:r w:rsidR="005438A4">
        <w:t>nace</w:t>
      </w:r>
      <w:r w:rsidRPr="005C1487">
        <w:t xml:space="preserve"> como un ins</w:t>
      </w:r>
      <w:r w:rsidR="005438A4">
        <w:t>trumento al servicio de la PYME; es</w:t>
      </w:r>
      <w:r w:rsidRPr="005C1487">
        <w:t xml:space="preserve"> el resultado de un largo proceso de análisis y reflexión, en el que han colaborado los principales agentes económicos</w:t>
      </w:r>
      <w:r w:rsidR="005438A4">
        <w:t xml:space="preserve"> y las propias empresas. Su objetivo es</w:t>
      </w:r>
      <w:r w:rsidRPr="005C1487">
        <w:t xml:space="preserve"> identifica</w:t>
      </w:r>
      <w:r w:rsidR="005438A4">
        <w:t>r</w:t>
      </w:r>
      <w:r w:rsidRPr="005C1487">
        <w:t xml:space="preserve"> </w:t>
      </w:r>
      <w:r w:rsidR="005438A4">
        <w:t>los</w:t>
      </w:r>
      <w:r w:rsidRPr="005C1487">
        <w:t xml:space="preserve"> ámbitos de actuación o palancas</w:t>
      </w:r>
      <w:r w:rsidR="005438A4">
        <w:t xml:space="preserve"> que</w:t>
      </w:r>
      <w:r w:rsidRPr="005C1487">
        <w:t xml:space="preserve"> mejorar</w:t>
      </w:r>
      <w:r w:rsidR="005438A4">
        <w:t>án</w:t>
      </w:r>
      <w:r w:rsidRPr="005C1487">
        <w:t xml:space="preserve"> su </w:t>
      </w:r>
      <w:r>
        <w:t>competitividad y sus posibilidades de crecimiento</w:t>
      </w:r>
      <w:r w:rsidRPr="005C1487">
        <w:t>.</w:t>
      </w:r>
      <w:r w:rsidR="005438A4">
        <w:t xml:space="preserve"> </w:t>
      </w:r>
    </w:p>
    <w:p w14:paraId="7FD76543" w14:textId="162C2E01" w:rsidR="009006CC" w:rsidRPr="005C1487" w:rsidRDefault="009006CC" w:rsidP="009006CC">
      <w:pPr>
        <w:pStyle w:val="Body"/>
      </w:pPr>
      <w:r w:rsidRPr="005C1487">
        <w:t xml:space="preserve">El documento se organiza en tres partes claramente diferenciadas, que van complementadas de </w:t>
      </w:r>
      <w:r w:rsidR="00B029E4">
        <w:t xml:space="preserve">esta </w:t>
      </w:r>
      <w:r w:rsidRPr="005C1487">
        <w:t>introducción</w:t>
      </w:r>
      <w:r w:rsidR="00B029E4">
        <w:t xml:space="preserve"> </w:t>
      </w:r>
      <w:r w:rsidRPr="005C1487">
        <w:t>y unos anexos que contienen información relativa al proceso de redacción de esta iniciativa</w:t>
      </w:r>
      <w:r w:rsidR="001C59A3">
        <w:t xml:space="preserve"> (en documento aparte)</w:t>
      </w:r>
      <w:r w:rsidRPr="005C1487">
        <w:t>.</w:t>
      </w:r>
    </w:p>
    <w:p w14:paraId="0554B09B" w14:textId="43631595" w:rsidR="009006CC" w:rsidRPr="005C1487" w:rsidRDefault="009006CC" w:rsidP="009006CC">
      <w:pPr>
        <w:pStyle w:val="Body"/>
      </w:pPr>
      <w:r w:rsidRPr="005C1487">
        <w:t xml:space="preserve">En la primera de las partes, se ha elaborado una caracterización detallada de la PYME en España y en </w:t>
      </w:r>
      <w:r>
        <w:t>Europa</w:t>
      </w:r>
      <w:r w:rsidRPr="005C1487">
        <w:t xml:space="preserve">, que </w:t>
      </w:r>
      <w:r>
        <w:t xml:space="preserve">nos permite conocer la contribución de la PYME a la economía española y europea, para, a continuación, describir las políticas de España </w:t>
      </w:r>
      <w:r w:rsidR="00B35806">
        <w:t xml:space="preserve">y de la Unión Europea </w:t>
      </w:r>
      <w:r>
        <w:t xml:space="preserve">en esta materia. </w:t>
      </w:r>
    </w:p>
    <w:p w14:paraId="72C9AAF6" w14:textId="0ECE713C" w:rsidR="00B029E4" w:rsidRPr="00B029E4" w:rsidRDefault="00B029E4" w:rsidP="00B029E4">
      <w:pPr>
        <w:pStyle w:val="Body"/>
      </w:pPr>
      <w:r w:rsidRPr="00B029E4">
        <w:t xml:space="preserve">La segunda parte contiene el marco conceptual y el diagnóstico de cada una de las </w:t>
      </w:r>
      <w:r w:rsidR="006C0705">
        <w:t>p</w:t>
      </w:r>
      <w:r w:rsidRPr="00B029E4">
        <w:t xml:space="preserve">alancas identificadas, que son los siete ámbitos definidos a través de las cuales se cristalizará la nueva política en materia de PYME. Estas palancas se dividen a su vez en una serie de líneas de </w:t>
      </w:r>
      <w:r w:rsidR="00B35806">
        <w:t>actuación</w:t>
      </w:r>
      <w:r w:rsidRPr="00B029E4">
        <w:t xml:space="preserve">, </w:t>
      </w:r>
      <w:r w:rsidR="00361F07">
        <w:t xml:space="preserve">a modo de recomendaciones, </w:t>
      </w:r>
      <w:r w:rsidRPr="00B029E4">
        <w:t>cuya característica fundamental es su horizontalidad, de forma que inciden sobre el desarrollo de todas las PYME en su conjunto y no se centran en un sector específico.</w:t>
      </w:r>
    </w:p>
    <w:p w14:paraId="5360E7D8" w14:textId="77777777" w:rsidR="009006CC" w:rsidRPr="005C1487" w:rsidRDefault="009006CC" w:rsidP="009006CC">
      <w:pPr>
        <w:pStyle w:val="Body"/>
      </w:pPr>
      <w:r>
        <w:t>L</w:t>
      </w:r>
      <w:r w:rsidRPr="005C1487">
        <w:t xml:space="preserve">a descripción del modelo de Gobernanza </w:t>
      </w:r>
      <w:r>
        <w:t>es la tercera parte del documento. S</w:t>
      </w:r>
      <w:r w:rsidRPr="005C1487">
        <w:t>e pretende</w:t>
      </w:r>
      <w:r>
        <w:t xml:space="preserve"> con ello,</w:t>
      </w:r>
      <w:r w:rsidRPr="005C1487">
        <w:t xml:space="preserve"> </w:t>
      </w:r>
      <w:r>
        <w:t xml:space="preserve">definir la estructura de agentes </w:t>
      </w:r>
      <w:r w:rsidRPr="005C1487">
        <w:t xml:space="preserve">para la puesta en marcha y seguimiento de las medidas contenidas en </w:t>
      </w:r>
      <w:r>
        <w:t>el</w:t>
      </w:r>
      <w:r w:rsidRPr="005C1487">
        <w:t xml:space="preserve"> Marco Estratégico. </w:t>
      </w:r>
      <w:r>
        <w:t>Así, l</w:t>
      </w:r>
      <w:r w:rsidRPr="005C1487">
        <w:t xml:space="preserve">a Gobernanza involucra a todos los agentes relevantes que inciden </w:t>
      </w:r>
      <w:r>
        <w:t>en l</w:t>
      </w:r>
      <w:r w:rsidRPr="005C1487">
        <w:t>as PYME</w:t>
      </w:r>
      <w:r>
        <w:t>, d</w:t>
      </w:r>
      <w:r w:rsidRPr="005C1487">
        <w:t>e forma,</w:t>
      </w:r>
      <w:r>
        <w:t xml:space="preserve"> que</w:t>
      </w:r>
      <w:r w:rsidRPr="005C1487">
        <w:t xml:space="preserve"> todos pueden aportar valor para alcanzar el objetivo de aumentar de forma sostenible la </w:t>
      </w:r>
      <w:r>
        <w:t>c</w:t>
      </w:r>
      <w:r w:rsidRPr="005C1487">
        <w:t xml:space="preserve">ompetitividad de la PYME española. </w:t>
      </w:r>
    </w:p>
    <w:p w14:paraId="47AB299A" w14:textId="0610747E" w:rsidR="009006CC" w:rsidRPr="005C1487" w:rsidRDefault="009006CC" w:rsidP="009006CC">
      <w:pPr>
        <w:pStyle w:val="Body"/>
      </w:pPr>
      <w:r w:rsidRPr="005C1487">
        <w:t xml:space="preserve">En la cúspide del sistema de Gobernanza de la política Industrial </w:t>
      </w:r>
      <w:r>
        <w:t xml:space="preserve">y de PYME </w:t>
      </w:r>
      <w:r w:rsidRPr="005C1487">
        <w:t xml:space="preserve">se encuentra </w:t>
      </w:r>
      <w:r w:rsidR="001C59A3">
        <w:t>la</w:t>
      </w:r>
      <w:r w:rsidRPr="005C1487">
        <w:t xml:space="preserve"> Ministr</w:t>
      </w:r>
      <w:r w:rsidR="001C59A3">
        <w:t>a</w:t>
      </w:r>
      <w:r w:rsidRPr="005C1487">
        <w:t xml:space="preserve"> de Industria</w:t>
      </w:r>
      <w:r w:rsidR="001C59A3">
        <w:t>, Comercio y Turismo,</w:t>
      </w:r>
      <w:r w:rsidRPr="005C1487">
        <w:t xml:space="preserve"> que adoptará las medidas necesarias para asegurar la ejecución del Marco Estratégico de la PYME en el ámbito de sus competencias, y elevará a la </w:t>
      </w:r>
      <w:r w:rsidR="00B35806">
        <w:t>Comisión Delegada del Gobierno para Asuntos Económicos (</w:t>
      </w:r>
      <w:r w:rsidRPr="005C1487">
        <w:t>CDGAE</w:t>
      </w:r>
      <w:r w:rsidR="00B35806">
        <w:t>)</w:t>
      </w:r>
      <w:r w:rsidRPr="005C1487">
        <w:t xml:space="preserve"> todos los asuntos que requieran actuación de otros Ministerios.</w:t>
      </w:r>
    </w:p>
    <w:p w14:paraId="5341F52D" w14:textId="463BE7AE" w:rsidR="009006CC" w:rsidRPr="005C1487" w:rsidRDefault="009006CC" w:rsidP="00184648">
      <w:pPr>
        <w:pStyle w:val="Body"/>
      </w:pPr>
      <w:r w:rsidRPr="005C1487">
        <w:t>La arquitectura institucional descansa sobre dos estructuras de apoyo</w:t>
      </w:r>
      <w:r w:rsidR="00184648">
        <w:t xml:space="preserve">, </w:t>
      </w:r>
      <w:r w:rsidR="00184648" w:rsidRPr="00184648">
        <w:t>l</w:t>
      </w:r>
      <w:r w:rsidRPr="00184648">
        <w:t>a</w:t>
      </w:r>
      <w:r w:rsidRPr="004D0BC6">
        <w:rPr>
          <w:b/>
        </w:rPr>
        <w:t xml:space="preserve"> Conferencia Sectorial de Industria y PYME</w:t>
      </w:r>
      <w:r w:rsidR="00184648">
        <w:rPr>
          <w:b/>
        </w:rPr>
        <w:t xml:space="preserve"> </w:t>
      </w:r>
      <w:r w:rsidR="00184648" w:rsidRPr="00184648">
        <w:t>y</w:t>
      </w:r>
      <w:r w:rsidR="00184648">
        <w:t xml:space="preserve"> el </w:t>
      </w:r>
      <w:r w:rsidRPr="005C1487">
        <w:rPr>
          <w:b/>
        </w:rPr>
        <w:t>Consejo Estatal de la PYME</w:t>
      </w:r>
      <w:r w:rsidRPr="005C1487">
        <w:t>.</w:t>
      </w:r>
    </w:p>
    <w:p w14:paraId="517FD72E" w14:textId="37C3761E" w:rsidR="00B029E4" w:rsidRDefault="001C59A3" w:rsidP="009B6050">
      <w:pPr>
        <w:pStyle w:val="Body"/>
      </w:pPr>
      <w:r>
        <w:t>L</w:t>
      </w:r>
      <w:r w:rsidR="00B029E4" w:rsidRPr="00B029E4">
        <w:t xml:space="preserve">os anexos recogen las políticas de PYME de las economías europeas más desarrolladas, </w:t>
      </w:r>
      <w:r w:rsidR="00DF01EB">
        <w:t xml:space="preserve">la distribución de PYME dentro de la UE28, </w:t>
      </w:r>
      <w:r w:rsidR="00B029E4" w:rsidRPr="00B029E4">
        <w:t xml:space="preserve">la regulación en función del tamaño en la legislación española, </w:t>
      </w:r>
      <w:r w:rsidR="00DF01EB">
        <w:t xml:space="preserve">los indicadores de seguimiento de la Estrategia, </w:t>
      </w:r>
      <w:r w:rsidR="00B029E4">
        <w:t xml:space="preserve">el </w:t>
      </w:r>
      <w:r w:rsidR="00B029E4" w:rsidRPr="00B029E4">
        <w:t xml:space="preserve">índice de las referencias </w:t>
      </w:r>
      <w:r w:rsidR="00B35806">
        <w:t>y fuentes estadísticas</w:t>
      </w:r>
      <w:r w:rsidR="00B029E4" w:rsidRPr="00B029E4">
        <w:t xml:space="preserve"> </w:t>
      </w:r>
      <w:r w:rsidR="003258A8" w:rsidRPr="00B029E4">
        <w:t>utilizadas</w:t>
      </w:r>
      <w:r w:rsidR="003258A8">
        <w:t xml:space="preserve"> </w:t>
      </w:r>
      <w:r w:rsidR="00B029E4" w:rsidRPr="00B029E4">
        <w:t>para la elaboración de</w:t>
      </w:r>
      <w:r>
        <w:t xml:space="preserve"> este</w:t>
      </w:r>
      <w:r w:rsidR="00B029E4" w:rsidRPr="00B029E4">
        <w:t xml:space="preserve"> documento, </w:t>
      </w:r>
      <w:r w:rsidR="00B35806">
        <w:t xml:space="preserve">el resultado de los grupos de trabajo, </w:t>
      </w:r>
      <w:r w:rsidR="00B029E4" w:rsidRPr="00B029E4">
        <w:t>así como la definición de PYME.</w:t>
      </w:r>
    </w:p>
    <w:p w14:paraId="407E040B" w14:textId="4B7BF797" w:rsidR="00C719B5" w:rsidRDefault="00C719B5" w:rsidP="00C719B5">
      <w:pPr>
        <w:pStyle w:val="Body"/>
      </w:pPr>
      <w:r>
        <w:t xml:space="preserve">Por </w:t>
      </w:r>
      <w:r w:rsidR="00F7656E">
        <w:t>último,</w:t>
      </w:r>
      <w:r>
        <w:t xml:space="preserve"> señalar que e</w:t>
      </w:r>
      <w:r w:rsidRPr="009B6050">
        <w:t>l marco estratégico se ha elaborado de ac</w:t>
      </w:r>
      <w:r>
        <w:t>uerdo al siguiente esquema de trabajo</w:t>
      </w:r>
      <w:r w:rsidRPr="009B6050">
        <w:t>:</w:t>
      </w:r>
      <w:r>
        <w:t xml:space="preserve"> </w:t>
      </w:r>
    </w:p>
    <w:p w14:paraId="3D6DEF7D" w14:textId="5554E557" w:rsidR="00C719B5" w:rsidRPr="005273B0" w:rsidRDefault="00C719B5" w:rsidP="00757E55">
      <w:pPr>
        <w:pStyle w:val="Body"/>
        <w:numPr>
          <w:ilvl w:val="0"/>
          <w:numId w:val="45"/>
        </w:numPr>
      </w:pPr>
      <w:r w:rsidRPr="005273B0">
        <w:t xml:space="preserve">Análisis interno de </w:t>
      </w:r>
      <w:r w:rsidR="00F7656E" w:rsidRPr="005273B0">
        <w:t>datos,</w:t>
      </w:r>
      <w:r w:rsidRPr="005273B0">
        <w:t xml:space="preserve"> así como </w:t>
      </w:r>
      <w:r>
        <w:t xml:space="preserve">de </w:t>
      </w:r>
      <w:r w:rsidRPr="005273B0">
        <w:t>las políticas a nivel europeo y de la OCDE</w:t>
      </w:r>
      <w:r>
        <w:t>:</w:t>
      </w:r>
    </w:p>
    <w:p w14:paraId="3D8971EA" w14:textId="44C4453C" w:rsidR="00C719B5" w:rsidRPr="005273B0" w:rsidRDefault="00C719B5" w:rsidP="00757E55">
      <w:pPr>
        <w:pStyle w:val="Body"/>
        <w:numPr>
          <w:ilvl w:val="1"/>
          <w:numId w:val="45"/>
        </w:numPr>
      </w:pPr>
      <w:r w:rsidRPr="005273B0">
        <w:t xml:space="preserve">Contextualización de la </w:t>
      </w:r>
      <w:r w:rsidR="00F7656E" w:rsidRPr="005273B0">
        <w:t>PYME a</w:t>
      </w:r>
      <w:r w:rsidRPr="005273B0">
        <w:t xml:space="preserve"> nivel nacional y europeo</w:t>
      </w:r>
      <w:r w:rsidR="006F2BFD">
        <w:t>.</w:t>
      </w:r>
    </w:p>
    <w:p w14:paraId="5CE4003D" w14:textId="38A0DCCC" w:rsidR="00C719B5" w:rsidRPr="005273B0" w:rsidRDefault="00C719B5" w:rsidP="00757E55">
      <w:pPr>
        <w:pStyle w:val="Body"/>
        <w:numPr>
          <w:ilvl w:val="1"/>
          <w:numId w:val="45"/>
        </w:numPr>
      </w:pPr>
      <w:r w:rsidRPr="005273B0">
        <w:t>Análisis de la política española en favor de la PYME</w:t>
      </w:r>
      <w:r w:rsidR="006F2BFD">
        <w:t>.</w:t>
      </w:r>
    </w:p>
    <w:p w14:paraId="31EA0305" w14:textId="0E435B53" w:rsidR="00C719B5" w:rsidRPr="005273B0" w:rsidRDefault="00C719B5" w:rsidP="00757E55">
      <w:pPr>
        <w:pStyle w:val="Body"/>
        <w:numPr>
          <w:ilvl w:val="1"/>
          <w:numId w:val="45"/>
        </w:numPr>
      </w:pPr>
      <w:r w:rsidRPr="005273B0">
        <w:lastRenderedPageBreak/>
        <w:t>Análisis de las políticas de apoyo a la PYME en las cuatro economías más importantes de la UE: Alemania, Gran Bretaña, Francia e Italia</w:t>
      </w:r>
      <w:r w:rsidR="006F2BFD">
        <w:t>.</w:t>
      </w:r>
    </w:p>
    <w:p w14:paraId="7982AF01" w14:textId="49133121" w:rsidR="00C719B5" w:rsidRPr="005273B0" w:rsidRDefault="00C719B5" w:rsidP="00757E55">
      <w:pPr>
        <w:pStyle w:val="Body"/>
        <w:numPr>
          <w:ilvl w:val="0"/>
          <w:numId w:val="45"/>
        </w:numPr>
      </w:pPr>
      <w:r>
        <w:t xml:space="preserve">Organización </w:t>
      </w:r>
      <w:r w:rsidRPr="005273B0">
        <w:t>de grupos de trabajo para identificar problemas y posibles soluciones</w:t>
      </w:r>
      <w:r w:rsidR="006F2BFD">
        <w:t>.</w:t>
      </w:r>
    </w:p>
    <w:p w14:paraId="2580B18D" w14:textId="37325041" w:rsidR="00C719B5" w:rsidRDefault="00C719B5" w:rsidP="00757E55">
      <w:pPr>
        <w:pStyle w:val="Body"/>
        <w:numPr>
          <w:ilvl w:val="0"/>
          <w:numId w:val="45"/>
        </w:numPr>
      </w:pPr>
      <w:r w:rsidRPr="005273B0">
        <w:t>Identificación de</w:t>
      </w:r>
      <w:r>
        <w:t xml:space="preserve"> retos y </w:t>
      </w:r>
      <w:r w:rsidR="00DF01EB">
        <w:t>oportunidades,</w:t>
      </w:r>
      <w:r>
        <w:t xml:space="preserve"> así como de</w:t>
      </w:r>
      <w:r w:rsidRPr="005273B0">
        <w:t xml:space="preserve"> siete palancas estratégicas de actuación en el que se ha realizado</w:t>
      </w:r>
      <w:r w:rsidR="00DF01EB">
        <w:t>, para cada una de ellos, el</w:t>
      </w:r>
      <w:r w:rsidRPr="005273B0">
        <w:t xml:space="preserve"> marco conceptual y </w:t>
      </w:r>
      <w:r w:rsidR="00DF01EB">
        <w:t>el</w:t>
      </w:r>
      <w:r w:rsidRPr="005273B0">
        <w:t xml:space="preserve"> </w:t>
      </w:r>
      <w:r w:rsidR="005F4884" w:rsidRPr="005273B0">
        <w:t>diagnóstico,</w:t>
      </w:r>
      <w:r w:rsidRPr="005273B0">
        <w:t xml:space="preserve"> </w:t>
      </w:r>
      <w:r w:rsidR="00DF01EB">
        <w:t>así como una serie de líneas de actuación.</w:t>
      </w:r>
    </w:p>
    <w:p w14:paraId="55282F2F" w14:textId="77777777" w:rsidR="00C719B5" w:rsidRPr="005273B0" w:rsidRDefault="00C719B5" w:rsidP="00C719B5">
      <w:pPr>
        <w:pStyle w:val="Body"/>
      </w:pPr>
      <w:r>
        <w:t>El siguiente gráfico resume el esquema de trabajo:</w:t>
      </w:r>
    </w:p>
    <w:p w14:paraId="79BE269A" w14:textId="4AD6D8D4" w:rsidR="00C719B5" w:rsidRDefault="00C719B5" w:rsidP="00874CE0">
      <w:pPr>
        <w:ind w:left="-284"/>
        <w:rPr>
          <w:rFonts w:ascii="Arial" w:hAnsi="Arial" w:cs="Arial"/>
          <w:color w:val="000000" w:themeColor="text1"/>
          <w:sz w:val="22"/>
          <w:lang w:val="es-ES"/>
        </w:rPr>
      </w:pPr>
      <w:r>
        <w:rPr>
          <w:rFonts w:ascii="Arial" w:hAnsi="Arial" w:cs="Arial"/>
          <w:noProof/>
          <w:color w:val="000000" w:themeColor="text1"/>
          <w:sz w:val="22"/>
          <w:lang w:val="es-ES" w:eastAsia="es-ES"/>
        </w:rPr>
        <w:drawing>
          <wp:inline distT="0" distB="0" distL="0" distR="0" wp14:anchorId="2F490D0A" wp14:editId="54479674">
            <wp:extent cx="6073408" cy="44444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089" cy="4449298"/>
                    </a:xfrm>
                    <a:prstGeom prst="rect">
                      <a:avLst/>
                    </a:prstGeom>
                    <a:noFill/>
                  </pic:spPr>
                </pic:pic>
              </a:graphicData>
            </a:graphic>
          </wp:inline>
        </w:drawing>
      </w:r>
    </w:p>
    <w:p w14:paraId="3C690820" w14:textId="27351056" w:rsidR="00393426" w:rsidRPr="0095784D" w:rsidRDefault="005846FD" w:rsidP="00E62D7F">
      <w:pPr>
        <w:pStyle w:val="Ttulo1"/>
        <w:pageBreakBefore/>
        <w:numPr>
          <w:ilvl w:val="0"/>
          <w:numId w:val="28"/>
        </w:numPr>
        <w:tabs>
          <w:tab w:val="num" w:pos="432"/>
        </w:tabs>
        <w:spacing w:before="0" w:line="276" w:lineRule="auto"/>
        <w:ind w:left="720" w:hanging="720"/>
        <w:rPr>
          <w:rFonts w:cs="Arial"/>
          <w:color w:val="003399"/>
          <w:sz w:val="28"/>
          <w:szCs w:val="22"/>
          <w:lang w:val="es-ES"/>
        </w:rPr>
      </w:pPr>
      <w:bookmarkStart w:id="3" w:name="_Toc527630331"/>
      <w:r w:rsidRPr="0095784D">
        <w:rPr>
          <w:rFonts w:cs="Arial"/>
          <w:color w:val="003399"/>
          <w:sz w:val="28"/>
          <w:szCs w:val="22"/>
          <w:lang w:val="es-ES"/>
        </w:rPr>
        <w:lastRenderedPageBreak/>
        <w:t>El contexto de la PYME</w:t>
      </w:r>
      <w:r w:rsidR="009F4962">
        <w:rPr>
          <w:rFonts w:cs="Arial"/>
          <w:color w:val="003399"/>
          <w:sz w:val="28"/>
          <w:szCs w:val="22"/>
          <w:lang w:val="es-ES"/>
        </w:rPr>
        <w:t>: En España y Europa</w:t>
      </w:r>
      <w:bookmarkEnd w:id="3"/>
    </w:p>
    <w:p w14:paraId="24699243" w14:textId="430E5E5C" w:rsidR="005856E3" w:rsidRPr="0095784D" w:rsidRDefault="00C719B5" w:rsidP="005856E3">
      <w:pPr>
        <w:pStyle w:val="Ttulo2"/>
        <w:keepLines/>
        <w:numPr>
          <w:ilvl w:val="1"/>
          <w:numId w:val="28"/>
        </w:numPr>
        <w:spacing w:after="120" w:line="276" w:lineRule="auto"/>
        <w:rPr>
          <w:rFonts w:cs="Arial"/>
          <w:color w:val="003399"/>
          <w:sz w:val="24"/>
          <w:lang w:val="es-ES"/>
        </w:rPr>
      </w:pPr>
      <w:bookmarkStart w:id="4" w:name="_Toc527630332"/>
      <w:r>
        <w:rPr>
          <w:rFonts w:cs="Arial"/>
          <w:color w:val="003399"/>
          <w:sz w:val="24"/>
          <w:lang w:val="es-ES"/>
        </w:rPr>
        <w:t>La situación d</w:t>
      </w:r>
      <w:r w:rsidR="008734B3">
        <w:rPr>
          <w:rFonts w:cs="Arial"/>
          <w:color w:val="003399"/>
          <w:sz w:val="24"/>
          <w:lang w:val="es-ES"/>
        </w:rPr>
        <w:t>e la PYME en España</w:t>
      </w:r>
      <w:r w:rsidR="00A017E7">
        <w:rPr>
          <w:rStyle w:val="Refdenotaalpie"/>
          <w:rFonts w:cs="Arial"/>
          <w:color w:val="003399"/>
          <w:sz w:val="24"/>
          <w:lang w:val="es-ES"/>
        </w:rPr>
        <w:footnoteReference w:id="2"/>
      </w:r>
      <w:bookmarkEnd w:id="4"/>
    </w:p>
    <w:p w14:paraId="011129E3" w14:textId="63350995" w:rsidR="00611EC1" w:rsidRPr="00BF1F84" w:rsidRDefault="00611EC1" w:rsidP="00611EC1">
      <w:pPr>
        <w:pStyle w:val="Body"/>
        <w:rPr>
          <w:rFonts w:cs="Arial"/>
        </w:rPr>
      </w:pPr>
      <w:r w:rsidRPr="00BF1F84">
        <w:rPr>
          <w:rFonts w:cs="Arial"/>
        </w:rPr>
        <w:t>Según los datos a 1 de febrero de 2018 proporcionados por el Ministerio de Empleo y Seguridad Social, el total de empresas en España era de 2.847.735, de las cuales un 99,84% eran PYME. Las PYME sin asalariados suponen más de la mitad de las empresas (53,92%), pero no llegan al 13% del empleo empresarial. El número de PYME con asalariados se acerca a la mitad del total de empresas (45,92%) y generan algo más de la mitad del empleo empresarial (53,64%). Las grandes empresas suponen solo el 0,16% de las empresas, pero son responsables de un tercio del empleo empresarial (33,46%). De esta distribución cabe resaltar que España presenta un tejido empresarial muy atomizado (Véase tabla 1 para el desglose completo).</w:t>
      </w:r>
    </w:p>
    <w:p w14:paraId="0A80A64F" w14:textId="6119C15B" w:rsidR="00611EC1" w:rsidRPr="00BF1F84" w:rsidRDefault="00611EC1" w:rsidP="001D59C1">
      <w:pPr>
        <w:pStyle w:val="Body"/>
        <w:spacing w:after="120"/>
        <w:rPr>
          <w:rFonts w:cs="Arial"/>
        </w:rPr>
      </w:pPr>
      <w:bookmarkStart w:id="5" w:name="_Toc526515591"/>
      <w:r w:rsidRPr="00BF1F84">
        <w:rPr>
          <w:rFonts w:cs="Arial"/>
        </w:rPr>
        <w:t xml:space="preserve">Tabla </w:t>
      </w:r>
      <w:r w:rsidRPr="00BF1F84">
        <w:rPr>
          <w:rFonts w:cs="Arial"/>
        </w:rPr>
        <w:fldChar w:fldCharType="begin"/>
      </w:r>
      <w:r w:rsidRPr="00BF1F84">
        <w:rPr>
          <w:rFonts w:cs="Arial"/>
        </w:rPr>
        <w:instrText xml:space="preserve"> SEQ Tabla \* ARABIC </w:instrText>
      </w:r>
      <w:r w:rsidRPr="00BF1F84">
        <w:rPr>
          <w:rFonts w:cs="Arial"/>
        </w:rPr>
        <w:fldChar w:fldCharType="separate"/>
      </w:r>
      <w:r w:rsidR="00764C39">
        <w:rPr>
          <w:rFonts w:cs="Arial"/>
          <w:noProof/>
        </w:rPr>
        <w:t>1</w:t>
      </w:r>
      <w:r w:rsidRPr="00BF1F84">
        <w:rPr>
          <w:rFonts w:cs="Arial"/>
        </w:rPr>
        <w:fldChar w:fldCharType="end"/>
      </w:r>
      <w:r w:rsidRPr="00BF1F84">
        <w:rPr>
          <w:rFonts w:cs="Arial"/>
        </w:rPr>
        <w:t>. Distribución de empresas por número de trabajadores</w:t>
      </w:r>
      <w:bookmarkEnd w:id="5"/>
    </w:p>
    <w:tbl>
      <w:tblPr>
        <w:tblStyle w:val="DocumentTable1"/>
        <w:tblW w:w="9087" w:type="dxa"/>
        <w:tblLayout w:type="fixed"/>
        <w:tblLook w:val="0000" w:firstRow="0" w:lastRow="0" w:firstColumn="0" w:lastColumn="0" w:noHBand="0" w:noVBand="0"/>
      </w:tblPr>
      <w:tblGrid>
        <w:gridCol w:w="817"/>
        <w:gridCol w:w="2693"/>
        <w:gridCol w:w="1328"/>
        <w:gridCol w:w="1933"/>
        <w:gridCol w:w="2316"/>
      </w:tblGrid>
      <w:tr w:rsidR="00611EC1" w:rsidRPr="00DF01EB" w14:paraId="7AACFE95" w14:textId="77777777" w:rsidTr="00633DA2">
        <w:trPr>
          <w:trHeight w:val="533"/>
        </w:trPr>
        <w:tc>
          <w:tcPr>
            <w:tcW w:w="3510" w:type="dxa"/>
            <w:gridSpan w:val="2"/>
            <w:vAlign w:val="center"/>
          </w:tcPr>
          <w:p w14:paraId="0478EB10" w14:textId="77777777" w:rsidR="00611EC1" w:rsidRPr="00DF01EB" w:rsidRDefault="00611EC1" w:rsidP="00633DA2">
            <w:pPr>
              <w:pStyle w:val="Body"/>
              <w:jc w:val="center"/>
              <w:rPr>
                <w:rFonts w:cs="Arial"/>
                <w:sz w:val="18"/>
                <w:szCs w:val="18"/>
              </w:rPr>
            </w:pPr>
            <w:r w:rsidRPr="00DF01EB">
              <w:rPr>
                <w:rFonts w:cs="Arial"/>
                <w:b/>
                <w:bCs/>
                <w:sz w:val="18"/>
                <w:szCs w:val="18"/>
              </w:rPr>
              <w:t>Empresas por tamaño</w:t>
            </w:r>
          </w:p>
        </w:tc>
        <w:tc>
          <w:tcPr>
            <w:tcW w:w="1328" w:type="dxa"/>
            <w:noWrap/>
            <w:vAlign w:val="center"/>
          </w:tcPr>
          <w:p w14:paraId="2DDE72EF" w14:textId="77777777" w:rsidR="00611EC1" w:rsidRPr="00DF01EB" w:rsidRDefault="00611EC1" w:rsidP="00633DA2">
            <w:pPr>
              <w:pStyle w:val="Body"/>
              <w:jc w:val="center"/>
              <w:rPr>
                <w:rFonts w:cs="Arial"/>
                <w:b/>
                <w:bCs/>
                <w:sz w:val="18"/>
                <w:szCs w:val="18"/>
              </w:rPr>
            </w:pPr>
            <w:r w:rsidRPr="00DF01EB">
              <w:rPr>
                <w:rFonts w:cs="Arial"/>
                <w:b/>
                <w:bCs/>
                <w:sz w:val="18"/>
                <w:szCs w:val="18"/>
              </w:rPr>
              <w:t>Número de empresas</w:t>
            </w:r>
          </w:p>
        </w:tc>
        <w:tc>
          <w:tcPr>
            <w:tcW w:w="1933" w:type="dxa"/>
            <w:vAlign w:val="center"/>
          </w:tcPr>
          <w:p w14:paraId="49EBF9CD" w14:textId="77777777" w:rsidR="00611EC1" w:rsidRPr="00DF01EB" w:rsidRDefault="00611EC1" w:rsidP="00633DA2">
            <w:pPr>
              <w:pStyle w:val="Body"/>
              <w:jc w:val="center"/>
              <w:rPr>
                <w:rFonts w:cs="Arial"/>
                <w:b/>
                <w:bCs/>
                <w:sz w:val="18"/>
                <w:szCs w:val="18"/>
              </w:rPr>
            </w:pPr>
            <w:r w:rsidRPr="00DF01EB">
              <w:rPr>
                <w:rFonts w:cs="Arial"/>
                <w:b/>
                <w:bCs/>
                <w:sz w:val="18"/>
                <w:szCs w:val="18"/>
              </w:rPr>
              <w:t>% empresas</w:t>
            </w:r>
          </w:p>
        </w:tc>
        <w:tc>
          <w:tcPr>
            <w:tcW w:w="2316" w:type="dxa"/>
            <w:vAlign w:val="center"/>
          </w:tcPr>
          <w:p w14:paraId="7CDB0DCA" w14:textId="77777777" w:rsidR="00611EC1" w:rsidRPr="00DF01EB" w:rsidRDefault="00611EC1" w:rsidP="00633DA2">
            <w:pPr>
              <w:pStyle w:val="Body"/>
              <w:jc w:val="center"/>
              <w:rPr>
                <w:rFonts w:cs="Arial"/>
                <w:b/>
                <w:bCs/>
                <w:sz w:val="18"/>
                <w:szCs w:val="18"/>
              </w:rPr>
            </w:pPr>
            <w:r w:rsidRPr="00DF01EB">
              <w:rPr>
                <w:rFonts w:cs="Arial"/>
                <w:b/>
                <w:bCs/>
                <w:sz w:val="18"/>
                <w:szCs w:val="18"/>
              </w:rPr>
              <w:t>% empleo empresarial</w:t>
            </w:r>
          </w:p>
        </w:tc>
      </w:tr>
      <w:tr w:rsidR="00611EC1" w:rsidRPr="00DF01EB" w14:paraId="7FA91A05" w14:textId="77777777" w:rsidTr="00633DA2">
        <w:trPr>
          <w:trHeight w:val="300"/>
        </w:trPr>
        <w:tc>
          <w:tcPr>
            <w:tcW w:w="817" w:type="dxa"/>
            <w:vMerge w:val="restart"/>
            <w:vAlign w:val="center"/>
          </w:tcPr>
          <w:p w14:paraId="2E5EAE4B" w14:textId="273051A2" w:rsidR="00611EC1" w:rsidRPr="00DF01EB" w:rsidDel="005279A4" w:rsidRDefault="00633DA2" w:rsidP="00633DA2">
            <w:pPr>
              <w:pStyle w:val="Body"/>
              <w:jc w:val="center"/>
              <w:rPr>
                <w:rFonts w:cs="Arial"/>
                <w:b/>
                <w:bCs/>
                <w:sz w:val="18"/>
                <w:szCs w:val="18"/>
              </w:rPr>
            </w:pPr>
            <w:r w:rsidRPr="00DF01EB">
              <w:rPr>
                <w:rFonts w:cs="Arial"/>
                <w:b/>
                <w:bCs/>
                <w:sz w:val="18"/>
                <w:szCs w:val="18"/>
              </w:rPr>
              <w:t>PYME</w:t>
            </w:r>
          </w:p>
        </w:tc>
        <w:tc>
          <w:tcPr>
            <w:tcW w:w="2693" w:type="dxa"/>
          </w:tcPr>
          <w:p w14:paraId="01513B42" w14:textId="412C3CC5" w:rsidR="00611EC1" w:rsidRPr="00DF01EB" w:rsidRDefault="00611EC1" w:rsidP="001025F6">
            <w:pPr>
              <w:pStyle w:val="Body"/>
              <w:rPr>
                <w:rFonts w:cs="Arial"/>
                <w:b/>
                <w:bCs/>
                <w:sz w:val="18"/>
                <w:szCs w:val="18"/>
              </w:rPr>
            </w:pPr>
            <w:r w:rsidRPr="00DF01EB">
              <w:rPr>
                <w:rFonts w:cs="Arial"/>
                <w:b/>
                <w:bCs/>
                <w:sz w:val="18"/>
                <w:szCs w:val="18"/>
              </w:rPr>
              <w:t>PYME sin asalariados</w:t>
            </w:r>
            <w:r w:rsidRPr="00DF01EB">
              <w:rPr>
                <w:rFonts w:cs="Arial"/>
                <w:b/>
                <w:bCs/>
                <w:sz w:val="18"/>
                <w:szCs w:val="18"/>
                <w:vertAlign w:val="superscript"/>
              </w:rPr>
              <w:footnoteReference w:id="3"/>
            </w:r>
          </w:p>
        </w:tc>
        <w:tc>
          <w:tcPr>
            <w:tcW w:w="1328" w:type="dxa"/>
            <w:vAlign w:val="center"/>
          </w:tcPr>
          <w:p w14:paraId="245AF572" w14:textId="77777777" w:rsidR="00611EC1" w:rsidRPr="00DF01EB" w:rsidRDefault="00611EC1" w:rsidP="00633DA2">
            <w:pPr>
              <w:pStyle w:val="Body"/>
              <w:jc w:val="center"/>
              <w:rPr>
                <w:rFonts w:cs="Arial"/>
                <w:b/>
                <w:bCs/>
                <w:sz w:val="18"/>
                <w:szCs w:val="18"/>
              </w:rPr>
            </w:pPr>
            <w:r w:rsidRPr="00DF01EB">
              <w:rPr>
                <w:rFonts w:cs="Arial"/>
                <w:b/>
                <w:bCs/>
                <w:sz w:val="18"/>
                <w:szCs w:val="18"/>
              </w:rPr>
              <w:t>1.535.472</w:t>
            </w:r>
          </w:p>
        </w:tc>
        <w:tc>
          <w:tcPr>
            <w:tcW w:w="1933" w:type="dxa"/>
            <w:vAlign w:val="center"/>
          </w:tcPr>
          <w:p w14:paraId="5086DF2C" w14:textId="77777777" w:rsidR="00611EC1" w:rsidRPr="00DF01EB" w:rsidRDefault="00611EC1" w:rsidP="00633DA2">
            <w:pPr>
              <w:pStyle w:val="Body"/>
              <w:jc w:val="center"/>
              <w:rPr>
                <w:rFonts w:cs="Arial"/>
                <w:b/>
                <w:bCs/>
                <w:sz w:val="18"/>
                <w:szCs w:val="18"/>
              </w:rPr>
            </w:pPr>
            <w:r w:rsidRPr="00DF01EB">
              <w:rPr>
                <w:rFonts w:cs="Arial"/>
                <w:b/>
                <w:bCs/>
                <w:sz w:val="18"/>
                <w:szCs w:val="18"/>
              </w:rPr>
              <w:t>53,92%</w:t>
            </w:r>
          </w:p>
        </w:tc>
        <w:tc>
          <w:tcPr>
            <w:tcW w:w="2316" w:type="dxa"/>
            <w:vAlign w:val="center"/>
          </w:tcPr>
          <w:p w14:paraId="612C6845" w14:textId="77777777" w:rsidR="00611EC1" w:rsidRPr="00DF01EB" w:rsidRDefault="00611EC1" w:rsidP="00633DA2">
            <w:pPr>
              <w:pStyle w:val="Body"/>
              <w:jc w:val="center"/>
              <w:rPr>
                <w:rFonts w:cs="Arial"/>
                <w:b/>
                <w:bCs/>
                <w:sz w:val="18"/>
                <w:szCs w:val="18"/>
              </w:rPr>
            </w:pPr>
            <w:r w:rsidRPr="00DF01EB">
              <w:rPr>
                <w:rFonts w:cs="Arial"/>
                <w:b/>
                <w:bCs/>
                <w:sz w:val="18"/>
                <w:szCs w:val="18"/>
              </w:rPr>
              <w:t>12,90%</w:t>
            </w:r>
          </w:p>
        </w:tc>
      </w:tr>
      <w:tr w:rsidR="00611EC1" w:rsidRPr="00DF01EB" w14:paraId="1FEB9B2D" w14:textId="77777777" w:rsidTr="00633DA2">
        <w:trPr>
          <w:trHeight w:val="300"/>
        </w:trPr>
        <w:tc>
          <w:tcPr>
            <w:tcW w:w="817" w:type="dxa"/>
            <w:vMerge/>
          </w:tcPr>
          <w:p w14:paraId="155834CB" w14:textId="77777777" w:rsidR="00611EC1" w:rsidRPr="00DF01EB" w:rsidRDefault="00611EC1" w:rsidP="008E6A9F">
            <w:pPr>
              <w:pStyle w:val="Body"/>
              <w:rPr>
                <w:rFonts w:cs="Arial"/>
                <w:b/>
                <w:bCs/>
                <w:sz w:val="18"/>
                <w:szCs w:val="18"/>
              </w:rPr>
            </w:pPr>
          </w:p>
        </w:tc>
        <w:tc>
          <w:tcPr>
            <w:tcW w:w="2693" w:type="dxa"/>
          </w:tcPr>
          <w:p w14:paraId="73EE16B3" w14:textId="77777777" w:rsidR="00611EC1" w:rsidRPr="00DF01EB" w:rsidRDefault="00611EC1" w:rsidP="008E6A9F">
            <w:pPr>
              <w:pStyle w:val="Body"/>
              <w:rPr>
                <w:rFonts w:cs="Arial"/>
                <w:sz w:val="18"/>
                <w:szCs w:val="18"/>
              </w:rPr>
            </w:pPr>
            <w:r w:rsidRPr="00DF01EB">
              <w:rPr>
                <w:rFonts w:cs="Arial"/>
                <w:b/>
                <w:bCs/>
                <w:sz w:val="18"/>
                <w:szCs w:val="18"/>
              </w:rPr>
              <w:t>PYME con asalariados</w:t>
            </w:r>
            <w:r w:rsidRPr="00DF01EB">
              <w:rPr>
                <w:rFonts w:cs="Arial"/>
                <w:b/>
                <w:bCs/>
                <w:sz w:val="18"/>
                <w:szCs w:val="18"/>
                <w:vertAlign w:val="superscript"/>
              </w:rPr>
              <w:footnoteReference w:id="4"/>
            </w:r>
            <w:r w:rsidRPr="00DF01EB">
              <w:rPr>
                <w:rFonts w:cs="Arial"/>
                <w:b/>
                <w:bCs/>
                <w:sz w:val="18"/>
                <w:szCs w:val="18"/>
              </w:rPr>
              <w:t xml:space="preserve"> (1-249 asalariados)</w:t>
            </w:r>
          </w:p>
        </w:tc>
        <w:tc>
          <w:tcPr>
            <w:tcW w:w="1328" w:type="dxa"/>
            <w:vAlign w:val="center"/>
          </w:tcPr>
          <w:p w14:paraId="0FE9D1C2" w14:textId="77777777" w:rsidR="00611EC1" w:rsidRPr="00DF01EB" w:rsidRDefault="00611EC1" w:rsidP="00633DA2">
            <w:pPr>
              <w:pStyle w:val="Body"/>
              <w:jc w:val="center"/>
              <w:rPr>
                <w:rFonts w:cs="Arial"/>
                <w:b/>
                <w:bCs/>
                <w:sz w:val="18"/>
                <w:szCs w:val="18"/>
              </w:rPr>
            </w:pPr>
            <w:r w:rsidRPr="00DF01EB">
              <w:rPr>
                <w:rFonts w:cs="Arial"/>
                <w:b/>
                <w:bCs/>
                <w:sz w:val="18"/>
                <w:szCs w:val="18"/>
              </w:rPr>
              <w:t>1.307.776</w:t>
            </w:r>
          </w:p>
        </w:tc>
        <w:tc>
          <w:tcPr>
            <w:tcW w:w="1933" w:type="dxa"/>
            <w:vAlign w:val="center"/>
          </w:tcPr>
          <w:p w14:paraId="1820B534" w14:textId="77777777" w:rsidR="00611EC1" w:rsidRPr="00DF01EB" w:rsidRDefault="00611EC1" w:rsidP="00633DA2">
            <w:pPr>
              <w:pStyle w:val="Body"/>
              <w:jc w:val="center"/>
              <w:rPr>
                <w:rFonts w:cs="Arial"/>
                <w:b/>
                <w:bCs/>
                <w:sz w:val="18"/>
                <w:szCs w:val="18"/>
              </w:rPr>
            </w:pPr>
            <w:r w:rsidRPr="00DF01EB">
              <w:rPr>
                <w:rFonts w:cs="Arial"/>
                <w:b/>
                <w:bCs/>
                <w:sz w:val="18"/>
                <w:szCs w:val="18"/>
              </w:rPr>
              <w:t>45,92%</w:t>
            </w:r>
          </w:p>
        </w:tc>
        <w:tc>
          <w:tcPr>
            <w:tcW w:w="2316" w:type="dxa"/>
            <w:vAlign w:val="center"/>
          </w:tcPr>
          <w:p w14:paraId="39D4486F" w14:textId="77777777" w:rsidR="00611EC1" w:rsidRPr="00DF01EB" w:rsidRDefault="00611EC1" w:rsidP="00633DA2">
            <w:pPr>
              <w:pStyle w:val="Body"/>
              <w:jc w:val="center"/>
              <w:rPr>
                <w:rFonts w:cs="Arial"/>
                <w:b/>
                <w:bCs/>
                <w:sz w:val="18"/>
                <w:szCs w:val="18"/>
              </w:rPr>
            </w:pPr>
            <w:r w:rsidRPr="00DF01EB">
              <w:rPr>
                <w:rFonts w:cs="Arial"/>
                <w:b/>
                <w:bCs/>
                <w:sz w:val="18"/>
                <w:szCs w:val="18"/>
              </w:rPr>
              <w:t>53,64%</w:t>
            </w:r>
          </w:p>
        </w:tc>
      </w:tr>
      <w:tr w:rsidR="00611EC1" w:rsidRPr="00DF01EB" w14:paraId="4F501DD0" w14:textId="77777777" w:rsidTr="00633DA2">
        <w:trPr>
          <w:trHeight w:val="300"/>
        </w:trPr>
        <w:tc>
          <w:tcPr>
            <w:tcW w:w="817" w:type="dxa"/>
            <w:vMerge/>
          </w:tcPr>
          <w:p w14:paraId="2CACC073" w14:textId="77777777" w:rsidR="00611EC1" w:rsidRPr="00DF01EB" w:rsidRDefault="00611EC1" w:rsidP="008E6A9F">
            <w:pPr>
              <w:pStyle w:val="Body"/>
              <w:rPr>
                <w:rFonts w:cs="Arial"/>
                <w:sz w:val="18"/>
                <w:szCs w:val="18"/>
              </w:rPr>
            </w:pPr>
          </w:p>
        </w:tc>
        <w:tc>
          <w:tcPr>
            <w:tcW w:w="2693" w:type="dxa"/>
          </w:tcPr>
          <w:p w14:paraId="7A5FD0F8" w14:textId="77777777" w:rsidR="00611EC1" w:rsidRPr="00DF01EB" w:rsidRDefault="00611EC1" w:rsidP="008E6A9F">
            <w:pPr>
              <w:pStyle w:val="Body"/>
              <w:rPr>
                <w:rFonts w:cs="Arial"/>
                <w:sz w:val="18"/>
                <w:szCs w:val="18"/>
              </w:rPr>
            </w:pPr>
            <w:r w:rsidRPr="00DF01EB">
              <w:rPr>
                <w:rFonts w:cs="Arial"/>
                <w:sz w:val="18"/>
                <w:szCs w:val="18"/>
              </w:rPr>
              <w:t>Microempresas (1-9)</w:t>
            </w:r>
          </w:p>
        </w:tc>
        <w:tc>
          <w:tcPr>
            <w:tcW w:w="1328" w:type="dxa"/>
            <w:vAlign w:val="center"/>
          </w:tcPr>
          <w:p w14:paraId="48E0A817" w14:textId="77777777" w:rsidR="00611EC1" w:rsidRPr="00DF01EB" w:rsidRDefault="00611EC1" w:rsidP="00633DA2">
            <w:pPr>
              <w:pStyle w:val="Body"/>
              <w:jc w:val="center"/>
              <w:rPr>
                <w:rFonts w:cs="Arial"/>
                <w:sz w:val="18"/>
                <w:szCs w:val="18"/>
              </w:rPr>
            </w:pPr>
            <w:r w:rsidRPr="00DF01EB">
              <w:rPr>
                <w:rFonts w:cs="Arial"/>
                <w:sz w:val="18"/>
                <w:szCs w:val="18"/>
              </w:rPr>
              <w:t>1.135.054</w:t>
            </w:r>
          </w:p>
        </w:tc>
        <w:tc>
          <w:tcPr>
            <w:tcW w:w="1933" w:type="dxa"/>
            <w:vAlign w:val="center"/>
          </w:tcPr>
          <w:p w14:paraId="6D9D46B4" w14:textId="77777777" w:rsidR="00611EC1" w:rsidRPr="00DF01EB" w:rsidRDefault="00611EC1" w:rsidP="00633DA2">
            <w:pPr>
              <w:pStyle w:val="Body"/>
              <w:jc w:val="center"/>
              <w:rPr>
                <w:rFonts w:cs="Arial"/>
                <w:sz w:val="18"/>
                <w:szCs w:val="18"/>
              </w:rPr>
            </w:pPr>
            <w:r w:rsidRPr="00DF01EB">
              <w:rPr>
                <w:rFonts w:cs="Arial"/>
                <w:sz w:val="18"/>
                <w:szCs w:val="18"/>
              </w:rPr>
              <w:t>39,86%</w:t>
            </w:r>
          </w:p>
        </w:tc>
        <w:tc>
          <w:tcPr>
            <w:tcW w:w="2316" w:type="dxa"/>
            <w:vAlign w:val="center"/>
          </w:tcPr>
          <w:p w14:paraId="45AE6B1D" w14:textId="77777777" w:rsidR="00611EC1" w:rsidRPr="00DF01EB" w:rsidRDefault="00611EC1" w:rsidP="00633DA2">
            <w:pPr>
              <w:pStyle w:val="Body"/>
              <w:jc w:val="center"/>
              <w:rPr>
                <w:rFonts w:cs="Arial"/>
                <w:sz w:val="18"/>
                <w:szCs w:val="18"/>
              </w:rPr>
            </w:pPr>
            <w:r w:rsidRPr="00DF01EB">
              <w:rPr>
                <w:rFonts w:cs="Arial"/>
                <w:sz w:val="18"/>
                <w:szCs w:val="18"/>
              </w:rPr>
              <w:t>19,57%</w:t>
            </w:r>
          </w:p>
        </w:tc>
      </w:tr>
      <w:tr w:rsidR="00611EC1" w:rsidRPr="00DF01EB" w14:paraId="4F175443" w14:textId="77777777" w:rsidTr="00633DA2">
        <w:trPr>
          <w:trHeight w:val="300"/>
        </w:trPr>
        <w:tc>
          <w:tcPr>
            <w:tcW w:w="817" w:type="dxa"/>
            <w:vMerge/>
          </w:tcPr>
          <w:p w14:paraId="4F948C14" w14:textId="77777777" w:rsidR="00611EC1" w:rsidRPr="00DF01EB" w:rsidRDefault="00611EC1" w:rsidP="008E6A9F">
            <w:pPr>
              <w:pStyle w:val="Body"/>
              <w:rPr>
                <w:rFonts w:cs="Arial"/>
                <w:sz w:val="18"/>
                <w:szCs w:val="18"/>
              </w:rPr>
            </w:pPr>
          </w:p>
        </w:tc>
        <w:tc>
          <w:tcPr>
            <w:tcW w:w="2693" w:type="dxa"/>
          </w:tcPr>
          <w:p w14:paraId="10CEBB1A" w14:textId="77777777" w:rsidR="00611EC1" w:rsidRPr="00DF01EB" w:rsidRDefault="00611EC1" w:rsidP="008E6A9F">
            <w:pPr>
              <w:pStyle w:val="Body"/>
              <w:rPr>
                <w:rFonts w:cs="Arial"/>
                <w:sz w:val="18"/>
                <w:szCs w:val="18"/>
              </w:rPr>
            </w:pPr>
            <w:r w:rsidRPr="00DF01EB">
              <w:rPr>
                <w:rFonts w:cs="Arial"/>
                <w:sz w:val="18"/>
                <w:szCs w:val="18"/>
              </w:rPr>
              <w:t>Pequeñas (10-49)</w:t>
            </w:r>
          </w:p>
        </w:tc>
        <w:tc>
          <w:tcPr>
            <w:tcW w:w="1328" w:type="dxa"/>
            <w:vAlign w:val="center"/>
          </w:tcPr>
          <w:p w14:paraId="65EC9422" w14:textId="77777777" w:rsidR="00611EC1" w:rsidRPr="00DF01EB" w:rsidRDefault="00611EC1" w:rsidP="00633DA2">
            <w:pPr>
              <w:pStyle w:val="Body"/>
              <w:jc w:val="center"/>
              <w:rPr>
                <w:rFonts w:cs="Arial"/>
                <w:sz w:val="18"/>
                <w:szCs w:val="18"/>
              </w:rPr>
            </w:pPr>
            <w:r w:rsidRPr="00DF01EB">
              <w:rPr>
                <w:rFonts w:cs="Arial"/>
                <w:sz w:val="18"/>
                <w:szCs w:val="18"/>
              </w:rPr>
              <w:t>149.320</w:t>
            </w:r>
          </w:p>
        </w:tc>
        <w:tc>
          <w:tcPr>
            <w:tcW w:w="1933" w:type="dxa"/>
            <w:vAlign w:val="center"/>
          </w:tcPr>
          <w:p w14:paraId="3FFBC554" w14:textId="77777777" w:rsidR="00611EC1" w:rsidRPr="00DF01EB" w:rsidRDefault="00611EC1" w:rsidP="00633DA2">
            <w:pPr>
              <w:pStyle w:val="Body"/>
              <w:jc w:val="center"/>
              <w:rPr>
                <w:rFonts w:cs="Arial"/>
                <w:sz w:val="18"/>
                <w:szCs w:val="18"/>
              </w:rPr>
            </w:pPr>
            <w:r w:rsidRPr="00DF01EB">
              <w:rPr>
                <w:rFonts w:cs="Arial"/>
                <w:sz w:val="18"/>
                <w:szCs w:val="18"/>
              </w:rPr>
              <w:t>5,24%</w:t>
            </w:r>
          </w:p>
        </w:tc>
        <w:tc>
          <w:tcPr>
            <w:tcW w:w="2316" w:type="dxa"/>
            <w:vAlign w:val="center"/>
          </w:tcPr>
          <w:p w14:paraId="38CDED59" w14:textId="77777777" w:rsidR="00611EC1" w:rsidRPr="00DF01EB" w:rsidRDefault="00611EC1" w:rsidP="00633DA2">
            <w:pPr>
              <w:pStyle w:val="Body"/>
              <w:jc w:val="center"/>
              <w:rPr>
                <w:rFonts w:cs="Arial"/>
                <w:sz w:val="18"/>
                <w:szCs w:val="18"/>
              </w:rPr>
            </w:pPr>
            <w:r w:rsidRPr="00DF01EB">
              <w:rPr>
                <w:rFonts w:cs="Arial"/>
                <w:sz w:val="18"/>
                <w:szCs w:val="18"/>
              </w:rPr>
              <w:t>18,98%</w:t>
            </w:r>
          </w:p>
        </w:tc>
      </w:tr>
      <w:tr w:rsidR="00611EC1" w:rsidRPr="00DF01EB" w14:paraId="0C680468" w14:textId="77777777" w:rsidTr="00633DA2">
        <w:trPr>
          <w:trHeight w:val="300"/>
        </w:trPr>
        <w:tc>
          <w:tcPr>
            <w:tcW w:w="817" w:type="dxa"/>
            <w:vMerge/>
          </w:tcPr>
          <w:p w14:paraId="4D085B84" w14:textId="77777777" w:rsidR="00611EC1" w:rsidRPr="00DF01EB" w:rsidRDefault="00611EC1" w:rsidP="008E6A9F">
            <w:pPr>
              <w:pStyle w:val="Body"/>
              <w:rPr>
                <w:rFonts w:cs="Arial"/>
                <w:sz w:val="18"/>
                <w:szCs w:val="18"/>
              </w:rPr>
            </w:pPr>
          </w:p>
        </w:tc>
        <w:tc>
          <w:tcPr>
            <w:tcW w:w="2693" w:type="dxa"/>
          </w:tcPr>
          <w:p w14:paraId="54ABB43D" w14:textId="77777777" w:rsidR="00611EC1" w:rsidRPr="00DF01EB" w:rsidRDefault="00611EC1" w:rsidP="008E6A9F">
            <w:pPr>
              <w:pStyle w:val="Body"/>
              <w:rPr>
                <w:rFonts w:cs="Arial"/>
                <w:sz w:val="18"/>
                <w:szCs w:val="18"/>
              </w:rPr>
            </w:pPr>
            <w:r w:rsidRPr="00DF01EB">
              <w:rPr>
                <w:rFonts w:cs="Arial"/>
                <w:sz w:val="18"/>
                <w:szCs w:val="18"/>
              </w:rPr>
              <w:t>Medianas (50-249)</w:t>
            </w:r>
          </w:p>
        </w:tc>
        <w:tc>
          <w:tcPr>
            <w:tcW w:w="1328" w:type="dxa"/>
            <w:vAlign w:val="center"/>
          </w:tcPr>
          <w:p w14:paraId="5A2E6778" w14:textId="77777777" w:rsidR="00611EC1" w:rsidRPr="00DF01EB" w:rsidRDefault="00611EC1" w:rsidP="00633DA2">
            <w:pPr>
              <w:pStyle w:val="Body"/>
              <w:jc w:val="center"/>
              <w:rPr>
                <w:rFonts w:cs="Arial"/>
                <w:sz w:val="18"/>
                <w:szCs w:val="18"/>
              </w:rPr>
            </w:pPr>
            <w:r w:rsidRPr="00DF01EB">
              <w:rPr>
                <w:rFonts w:cs="Arial"/>
                <w:sz w:val="18"/>
                <w:szCs w:val="18"/>
              </w:rPr>
              <w:t>23.402</w:t>
            </w:r>
          </w:p>
        </w:tc>
        <w:tc>
          <w:tcPr>
            <w:tcW w:w="1933" w:type="dxa"/>
            <w:vAlign w:val="center"/>
          </w:tcPr>
          <w:p w14:paraId="4144423B" w14:textId="77777777" w:rsidR="00611EC1" w:rsidRPr="00DF01EB" w:rsidRDefault="00611EC1" w:rsidP="00633DA2">
            <w:pPr>
              <w:pStyle w:val="Body"/>
              <w:jc w:val="center"/>
              <w:rPr>
                <w:rFonts w:cs="Arial"/>
                <w:sz w:val="18"/>
                <w:szCs w:val="18"/>
              </w:rPr>
            </w:pPr>
            <w:r w:rsidRPr="00DF01EB">
              <w:rPr>
                <w:rFonts w:cs="Arial"/>
                <w:sz w:val="18"/>
                <w:szCs w:val="18"/>
              </w:rPr>
              <w:t>0,82%</w:t>
            </w:r>
          </w:p>
        </w:tc>
        <w:tc>
          <w:tcPr>
            <w:tcW w:w="2316" w:type="dxa"/>
            <w:vAlign w:val="center"/>
          </w:tcPr>
          <w:p w14:paraId="72ADB0E4" w14:textId="77777777" w:rsidR="00611EC1" w:rsidRPr="00DF01EB" w:rsidRDefault="00611EC1" w:rsidP="00633DA2">
            <w:pPr>
              <w:pStyle w:val="Body"/>
              <w:jc w:val="center"/>
              <w:rPr>
                <w:rFonts w:cs="Arial"/>
                <w:sz w:val="18"/>
                <w:szCs w:val="18"/>
              </w:rPr>
            </w:pPr>
            <w:r w:rsidRPr="00DF01EB">
              <w:rPr>
                <w:rFonts w:cs="Arial"/>
                <w:sz w:val="18"/>
                <w:szCs w:val="18"/>
              </w:rPr>
              <w:t>15,09%</w:t>
            </w:r>
          </w:p>
        </w:tc>
      </w:tr>
      <w:tr w:rsidR="00611EC1" w:rsidRPr="00DF01EB" w14:paraId="5304C509" w14:textId="77777777" w:rsidTr="00633DA2">
        <w:trPr>
          <w:trHeight w:val="301"/>
        </w:trPr>
        <w:tc>
          <w:tcPr>
            <w:tcW w:w="3510" w:type="dxa"/>
            <w:gridSpan w:val="2"/>
            <w:vAlign w:val="center"/>
          </w:tcPr>
          <w:p w14:paraId="0D7DBAB6" w14:textId="77777777" w:rsidR="00611EC1" w:rsidRPr="00DF01EB" w:rsidRDefault="00611EC1" w:rsidP="00633DA2">
            <w:pPr>
              <w:pStyle w:val="Body"/>
              <w:jc w:val="left"/>
              <w:rPr>
                <w:rFonts w:cs="Arial"/>
                <w:b/>
                <w:bCs/>
                <w:sz w:val="18"/>
                <w:szCs w:val="18"/>
              </w:rPr>
            </w:pPr>
            <w:r w:rsidRPr="00DF01EB">
              <w:rPr>
                <w:rFonts w:cs="Arial"/>
                <w:b/>
                <w:sz w:val="18"/>
                <w:szCs w:val="18"/>
              </w:rPr>
              <w:t>Grandes (250 o más asalariados)</w:t>
            </w:r>
          </w:p>
        </w:tc>
        <w:tc>
          <w:tcPr>
            <w:tcW w:w="1328" w:type="dxa"/>
            <w:noWrap/>
            <w:vAlign w:val="center"/>
          </w:tcPr>
          <w:p w14:paraId="2B70A30C" w14:textId="77777777" w:rsidR="00611EC1" w:rsidRPr="00DF01EB" w:rsidRDefault="00611EC1" w:rsidP="00633DA2">
            <w:pPr>
              <w:pStyle w:val="Body"/>
              <w:jc w:val="center"/>
              <w:rPr>
                <w:rFonts w:cs="Arial"/>
                <w:b/>
                <w:sz w:val="18"/>
                <w:szCs w:val="18"/>
              </w:rPr>
            </w:pPr>
            <w:r w:rsidRPr="00DF01EB">
              <w:rPr>
                <w:rFonts w:cs="Arial"/>
                <w:b/>
                <w:sz w:val="18"/>
                <w:szCs w:val="18"/>
              </w:rPr>
              <w:t>4.487</w:t>
            </w:r>
          </w:p>
        </w:tc>
        <w:tc>
          <w:tcPr>
            <w:tcW w:w="1933" w:type="dxa"/>
            <w:vAlign w:val="center"/>
          </w:tcPr>
          <w:p w14:paraId="1B2BCF6A" w14:textId="77777777" w:rsidR="00611EC1" w:rsidRPr="00DF01EB" w:rsidRDefault="00611EC1" w:rsidP="00633DA2">
            <w:pPr>
              <w:pStyle w:val="Body"/>
              <w:jc w:val="center"/>
              <w:rPr>
                <w:rFonts w:cs="Arial"/>
                <w:b/>
                <w:sz w:val="18"/>
                <w:szCs w:val="18"/>
              </w:rPr>
            </w:pPr>
            <w:r w:rsidRPr="00DF01EB">
              <w:rPr>
                <w:rFonts w:cs="Arial"/>
                <w:b/>
                <w:sz w:val="18"/>
                <w:szCs w:val="18"/>
              </w:rPr>
              <w:t>0,16%</w:t>
            </w:r>
          </w:p>
        </w:tc>
        <w:tc>
          <w:tcPr>
            <w:tcW w:w="2316" w:type="dxa"/>
            <w:vAlign w:val="center"/>
          </w:tcPr>
          <w:p w14:paraId="7AC0D6FE" w14:textId="77777777" w:rsidR="00611EC1" w:rsidRPr="00DF01EB" w:rsidRDefault="00611EC1" w:rsidP="00633DA2">
            <w:pPr>
              <w:pStyle w:val="Body"/>
              <w:jc w:val="center"/>
              <w:rPr>
                <w:rFonts w:cs="Arial"/>
                <w:b/>
                <w:sz w:val="18"/>
                <w:szCs w:val="18"/>
              </w:rPr>
            </w:pPr>
            <w:r w:rsidRPr="00DF01EB">
              <w:rPr>
                <w:rFonts w:cs="Arial"/>
                <w:b/>
                <w:sz w:val="18"/>
                <w:szCs w:val="18"/>
              </w:rPr>
              <w:t>33,46%</w:t>
            </w:r>
          </w:p>
        </w:tc>
      </w:tr>
      <w:tr w:rsidR="00611EC1" w:rsidRPr="00DF01EB" w14:paraId="75A89D1B" w14:textId="77777777" w:rsidTr="00633DA2">
        <w:trPr>
          <w:trHeight w:val="300"/>
        </w:trPr>
        <w:tc>
          <w:tcPr>
            <w:tcW w:w="3510" w:type="dxa"/>
            <w:gridSpan w:val="2"/>
          </w:tcPr>
          <w:p w14:paraId="7907C05C" w14:textId="77777777" w:rsidR="00611EC1" w:rsidRPr="00DF01EB" w:rsidRDefault="00611EC1" w:rsidP="008E6A9F">
            <w:pPr>
              <w:pStyle w:val="Body"/>
              <w:rPr>
                <w:rFonts w:cs="Arial"/>
                <w:b/>
                <w:bCs/>
                <w:sz w:val="18"/>
                <w:szCs w:val="18"/>
              </w:rPr>
            </w:pPr>
            <w:r w:rsidRPr="00DF01EB">
              <w:rPr>
                <w:rFonts w:cs="Arial"/>
                <w:b/>
                <w:bCs/>
                <w:sz w:val="18"/>
                <w:szCs w:val="18"/>
              </w:rPr>
              <w:t xml:space="preserve">Total empresas </w:t>
            </w:r>
          </w:p>
        </w:tc>
        <w:tc>
          <w:tcPr>
            <w:tcW w:w="1328" w:type="dxa"/>
            <w:vAlign w:val="center"/>
          </w:tcPr>
          <w:p w14:paraId="396B7E50" w14:textId="77777777" w:rsidR="00611EC1" w:rsidRPr="00DF01EB" w:rsidRDefault="00611EC1" w:rsidP="00633DA2">
            <w:pPr>
              <w:pStyle w:val="Body"/>
              <w:jc w:val="center"/>
              <w:rPr>
                <w:rFonts w:cs="Arial"/>
                <w:b/>
                <w:bCs/>
                <w:sz w:val="18"/>
                <w:szCs w:val="18"/>
              </w:rPr>
            </w:pPr>
            <w:r w:rsidRPr="00DF01EB">
              <w:rPr>
                <w:rFonts w:cs="Arial"/>
                <w:b/>
                <w:bCs/>
                <w:sz w:val="18"/>
                <w:szCs w:val="18"/>
              </w:rPr>
              <w:t>2.847.735</w:t>
            </w:r>
          </w:p>
        </w:tc>
        <w:tc>
          <w:tcPr>
            <w:tcW w:w="1933" w:type="dxa"/>
            <w:vAlign w:val="center"/>
          </w:tcPr>
          <w:p w14:paraId="6BD98453" w14:textId="77777777" w:rsidR="00611EC1" w:rsidRPr="00DF01EB" w:rsidRDefault="00611EC1" w:rsidP="00633DA2">
            <w:pPr>
              <w:pStyle w:val="Body"/>
              <w:jc w:val="center"/>
              <w:rPr>
                <w:rFonts w:cs="Arial"/>
                <w:b/>
                <w:bCs/>
                <w:sz w:val="18"/>
                <w:szCs w:val="18"/>
              </w:rPr>
            </w:pPr>
            <w:r w:rsidRPr="00DF01EB">
              <w:rPr>
                <w:rFonts w:cs="Arial"/>
                <w:b/>
                <w:bCs/>
                <w:sz w:val="18"/>
                <w:szCs w:val="18"/>
              </w:rPr>
              <w:t>100%</w:t>
            </w:r>
          </w:p>
        </w:tc>
        <w:tc>
          <w:tcPr>
            <w:tcW w:w="2316" w:type="dxa"/>
            <w:vAlign w:val="center"/>
          </w:tcPr>
          <w:p w14:paraId="12B64603" w14:textId="77777777" w:rsidR="00611EC1" w:rsidRPr="00DF01EB" w:rsidRDefault="00611EC1" w:rsidP="00633DA2">
            <w:pPr>
              <w:pStyle w:val="Body"/>
              <w:jc w:val="center"/>
              <w:rPr>
                <w:rFonts w:cs="Arial"/>
                <w:b/>
                <w:bCs/>
                <w:sz w:val="18"/>
                <w:szCs w:val="18"/>
              </w:rPr>
            </w:pPr>
            <w:r w:rsidRPr="00DF01EB">
              <w:rPr>
                <w:rFonts w:cs="Arial"/>
                <w:b/>
                <w:bCs/>
                <w:sz w:val="18"/>
                <w:szCs w:val="18"/>
              </w:rPr>
              <w:t>100%</w:t>
            </w:r>
          </w:p>
        </w:tc>
      </w:tr>
    </w:tbl>
    <w:p w14:paraId="5C395676" w14:textId="77777777" w:rsidR="00611EC1" w:rsidRDefault="00611EC1" w:rsidP="00DF01EB">
      <w:pPr>
        <w:pStyle w:val="Body"/>
        <w:spacing w:after="0"/>
        <w:rPr>
          <w:rFonts w:cs="Arial"/>
        </w:rPr>
      </w:pPr>
    </w:p>
    <w:p w14:paraId="392ADA13" w14:textId="4A5FA0C6" w:rsidR="008A0A80" w:rsidRPr="009570C1" w:rsidRDefault="00611EC1" w:rsidP="00DC0F1F">
      <w:pPr>
        <w:pStyle w:val="Body"/>
        <w:spacing w:after="0"/>
        <w:rPr>
          <w:rFonts w:cs="Arial"/>
          <w:strike/>
        </w:rPr>
      </w:pPr>
      <w:r>
        <w:rPr>
          <w:rFonts w:cs="Arial"/>
        </w:rPr>
        <w:t>L</w:t>
      </w:r>
      <w:r w:rsidR="009418ED" w:rsidRPr="009418ED">
        <w:rPr>
          <w:rFonts w:cs="Arial"/>
        </w:rPr>
        <w:t xml:space="preserve">a evolución del número de empresas en los últimos </w:t>
      </w:r>
      <w:r w:rsidR="0077104B">
        <w:rPr>
          <w:rFonts w:cs="Arial"/>
        </w:rPr>
        <w:t>dieciocho meses</w:t>
      </w:r>
      <w:r w:rsidR="009418ED" w:rsidRPr="009418ED">
        <w:rPr>
          <w:rFonts w:cs="Arial"/>
        </w:rPr>
        <w:t xml:space="preserve">, según su tamaño, es muy </w:t>
      </w:r>
      <w:r>
        <w:rPr>
          <w:rFonts w:cs="Arial"/>
        </w:rPr>
        <w:t>distinta</w:t>
      </w:r>
      <w:r w:rsidR="009418ED" w:rsidRPr="009418ED">
        <w:rPr>
          <w:rFonts w:cs="Arial"/>
        </w:rPr>
        <w:t xml:space="preserve">. Las grandes experimentan un mayor crecimiento porcentual, seguidas de las </w:t>
      </w:r>
      <w:r w:rsidR="009418ED" w:rsidRPr="009418ED">
        <w:rPr>
          <w:rFonts w:cs="Arial"/>
        </w:rPr>
        <w:lastRenderedPageBreak/>
        <w:t>PYME</w:t>
      </w:r>
      <w:r>
        <w:rPr>
          <w:rFonts w:cs="Arial"/>
        </w:rPr>
        <w:t xml:space="preserve"> con asalariados</w:t>
      </w:r>
      <w:r w:rsidR="009418ED" w:rsidRPr="009418ED">
        <w:rPr>
          <w:rFonts w:cs="Arial"/>
        </w:rPr>
        <w:t>, y manteniéndose prácticamente constante el número de autónomos</w:t>
      </w:r>
      <w:r>
        <w:rPr>
          <w:rStyle w:val="Refdenotaalpie"/>
          <w:rFonts w:cs="Arial"/>
        </w:rPr>
        <w:footnoteReference w:id="5"/>
      </w:r>
      <w:r w:rsidR="009418ED" w:rsidRPr="009418ED">
        <w:rPr>
          <w:rFonts w:cs="Arial"/>
        </w:rPr>
        <w:t xml:space="preserve"> (</w:t>
      </w:r>
      <w:r w:rsidR="009418ED" w:rsidRPr="009418ED">
        <w:rPr>
          <w:rFonts w:cs="Arial"/>
          <w:highlight w:val="yellow"/>
        </w:rPr>
        <w:t xml:space="preserve">gráfico </w:t>
      </w:r>
      <w:r w:rsidR="00446A3B">
        <w:rPr>
          <w:rFonts w:cs="Arial"/>
        </w:rPr>
        <w:t>1</w:t>
      </w:r>
      <w:r w:rsidR="009418ED" w:rsidRPr="009418ED">
        <w:rPr>
          <w:rFonts w:cs="Arial"/>
        </w:rPr>
        <w:t xml:space="preserve">). Cabe destacar que la evolución del número de autónomos tiende a ser de signo contrario a la de empresas con asalariados: </w:t>
      </w:r>
      <w:r w:rsidR="00987407">
        <w:rPr>
          <w:rFonts w:cs="Arial"/>
        </w:rPr>
        <w:t>éste</w:t>
      </w:r>
      <w:r w:rsidR="009418ED" w:rsidRPr="009418ED">
        <w:rPr>
          <w:rFonts w:cs="Arial"/>
        </w:rPr>
        <w:t xml:space="preserve"> tiende a crecer cuando disminuye el número de empresas con asalariados y viceversa.</w:t>
      </w:r>
    </w:p>
    <w:p w14:paraId="3BFCEC3C" w14:textId="7A5A2270" w:rsidR="00633D11" w:rsidRPr="008B6C6C" w:rsidRDefault="00633D11" w:rsidP="00633D11">
      <w:pPr>
        <w:pStyle w:val="Descripcin1"/>
        <w:jc w:val="center"/>
        <w:rPr>
          <w:b w:val="0"/>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C0F1F" w:rsidRPr="002D17B9" w14:paraId="6E25D660" w14:textId="77777777" w:rsidTr="00DC0F1F">
        <w:trPr>
          <w:trHeight w:val="393"/>
        </w:trPr>
        <w:tc>
          <w:tcPr>
            <w:tcW w:w="9287" w:type="dxa"/>
            <w:vAlign w:val="center"/>
          </w:tcPr>
          <w:p w14:paraId="51BA2B8E" w14:textId="581AB4D4" w:rsidR="00DC0F1F" w:rsidRPr="00DC0F1F" w:rsidRDefault="00DC0F1F" w:rsidP="00DC0F1F">
            <w:pPr>
              <w:pStyle w:val="Descripcin1"/>
              <w:spacing w:after="0"/>
              <w:jc w:val="center"/>
              <w:rPr>
                <w:b w:val="0"/>
                <w:szCs w:val="18"/>
              </w:rPr>
            </w:pPr>
            <w:bookmarkStart w:id="6" w:name="_Toc526942109"/>
            <w:r w:rsidRPr="00DC0F1F">
              <w:rPr>
                <w:b w:val="0"/>
                <w:szCs w:val="18"/>
              </w:rPr>
              <w:t xml:space="preserve">Gráfico </w:t>
            </w:r>
            <w:r w:rsidRPr="00DC0F1F">
              <w:rPr>
                <w:b w:val="0"/>
                <w:szCs w:val="18"/>
              </w:rPr>
              <w:fldChar w:fldCharType="begin"/>
            </w:r>
            <w:r w:rsidRPr="00DC0F1F">
              <w:rPr>
                <w:b w:val="0"/>
                <w:szCs w:val="18"/>
              </w:rPr>
              <w:instrText xml:space="preserve"> SEQ Gráfico \* ARABIC  </w:instrText>
            </w:r>
            <w:r w:rsidRPr="00DC0F1F">
              <w:rPr>
                <w:b w:val="0"/>
                <w:szCs w:val="18"/>
              </w:rPr>
              <w:fldChar w:fldCharType="separate"/>
            </w:r>
            <w:r w:rsidR="00764C39">
              <w:rPr>
                <w:b w:val="0"/>
                <w:noProof/>
                <w:szCs w:val="18"/>
              </w:rPr>
              <w:t>1</w:t>
            </w:r>
            <w:r w:rsidRPr="00DC0F1F">
              <w:rPr>
                <w:b w:val="0"/>
                <w:szCs w:val="18"/>
              </w:rPr>
              <w:fldChar w:fldCharType="end"/>
            </w:r>
            <w:r w:rsidRPr="00DC0F1F">
              <w:rPr>
                <w:b w:val="0"/>
                <w:szCs w:val="18"/>
              </w:rPr>
              <w:t>. Evolución de las PYME con asalariados, grandes empresas y autónomos</w:t>
            </w:r>
            <w:bookmarkEnd w:id="6"/>
          </w:p>
        </w:tc>
      </w:tr>
      <w:tr w:rsidR="00633D11" w:rsidRPr="00E62D7F" w14:paraId="1787C91F" w14:textId="77777777" w:rsidTr="00DC0F1F">
        <w:tc>
          <w:tcPr>
            <w:tcW w:w="9287" w:type="dxa"/>
          </w:tcPr>
          <w:p w14:paraId="70FF91C3" w14:textId="659F41EE" w:rsidR="00633D11" w:rsidRPr="00E62D7F" w:rsidRDefault="007C13A1" w:rsidP="00633D11">
            <w:pPr>
              <w:contextualSpacing/>
              <w:jc w:val="center"/>
              <w:rPr>
                <w:rFonts w:ascii="Century Gothic" w:hAnsi="Century Gothic" w:cs="Arial"/>
                <w:noProof/>
                <w:color w:val="000000"/>
                <w:sz w:val="18"/>
                <w:szCs w:val="18"/>
                <w:lang w:val="es-ES" w:eastAsia="es-ES"/>
              </w:rPr>
            </w:pPr>
            <w:r>
              <w:rPr>
                <w:rFonts w:eastAsia="Times New Roman"/>
                <w:sz w:val="20"/>
                <w:szCs w:val="20"/>
              </w:rPr>
              <w:object w:dxaOrig="10605" w:dyaOrig="5025" w14:anchorId="70D3E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09.8pt" o:ole="">
                  <v:imagedata r:id="rId20" o:title=""/>
                </v:shape>
                <o:OLEObject Type="Embed" ProgID="PBrush" ShapeID="_x0000_i1025" DrawAspect="Content" ObjectID="_1602306095" r:id="rId21"/>
              </w:object>
            </w:r>
            <w:r w:rsidR="0077104B" w:rsidDel="0077104B">
              <w:rPr>
                <w:noProof/>
                <w:lang w:val="es-ES" w:eastAsia="es-ES"/>
              </w:rPr>
              <w:t xml:space="preserve"> </w:t>
            </w:r>
          </w:p>
        </w:tc>
      </w:tr>
      <w:tr w:rsidR="00633D11" w:rsidRPr="002D17B9" w14:paraId="376A8096" w14:textId="77777777" w:rsidTr="00DC0F1F">
        <w:trPr>
          <w:trHeight w:val="380"/>
        </w:trPr>
        <w:tc>
          <w:tcPr>
            <w:tcW w:w="9287" w:type="dxa"/>
            <w:vAlign w:val="center"/>
          </w:tcPr>
          <w:p w14:paraId="4F3B77A9" w14:textId="0238B88B" w:rsidR="00633D11" w:rsidRPr="00E40DE4" w:rsidRDefault="00633D11" w:rsidP="00DC0F1F">
            <w:pPr>
              <w:spacing w:after="0"/>
              <w:jc w:val="left"/>
              <w:rPr>
                <w:rFonts w:ascii="Century Gothic" w:hAnsi="Century Gothic" w:cs="Arial"/>
                <w:i/>
                <w:noProof/>
                <w:color w:val="000000"/>
                <w:sz w:val="18"/>
                <w:szCs w:val="18"/>
                <w:lang w:val="es-ES" w:eastAsia="es-ES"/>
              </w:rPr>
            </w:pPr>
            <w:r w:rsidRPr="00E40DE4">
              <w:rPr>
                <w:rFonts w:ascii="Century Gothic" w:hAnsi="Century Gothic" w:cs="Arial"/>
                <w:i/>
                <w:sz w:val="16"/>
                <w:szCs w:val="16"/>
                <w:lang w:val="es-ES"/>
              </w:rPr>
              <w:t xml:space="preserve">Fuente: MEySS. Índice valor: </w:t>
            </w:r>
            <w:r w:rsidR="00577DC7" w:rsidRPr="00E40DE4">
              <w:rPr>
                <w:rFonts w:ascii="Century Gothic" w:hAnsi="Century Gothic" w:cs="Arial"/>
                <w:i/>
                <w:sz w:val="16"/>
                <w:szCs w:val="16"/>
                <w:lang w:val="es-ES"/>
              </w:rPr>
              <w:t xml:space="preserve">agosto </w:t>
            </w:r>
            <w:r w:rsidRPr="00E40DE4">
              <w:rPr>
                <w:rFonts w:ascii="Century Gothic" w:hAnsi="Century Gothic" w:cs="Arial"/>
                <w:i/>
                <w:sz w:val="16"/>
                <w:szCs w:val="16"/>
                <w:lang w:val="es-ES"/>
              </w:rPr>
              <w:t>2016=100</w:t>
            </w:r>
          </w:p>
        </w:tc>
      </w:tr>
    </w:tbl>
    <w:p w14:paraId="5615A5E3" w14:textId="77777777" w:rsidR="00611EC1" w:rsidRDefault="00611EC1" w:rsidP="00DC0F1F">
      <w:pPr>
        <w:pStyle w:val="Body"/>
        <w:spacing w:after="0"/>
        <w:rPr>
          <w:rFonts w:cs="Arial"/>
        </w:rPr>
      </w:pPr>
    </w:p>
    <w:p w14:paraId="577D1E73" w14:textId="1CA6AA41" w:rsidR="00EC5CC6" w:rsidRPr="00EB68C4" w:rsidRDefault="007F1EC4" w:rsidP="00633D11">
      <w:pPr>
        <w:pStyle w:val="Body"/>
      </w:pPr>
      <w:r>
        <w:rPr>
          <w:rFonts w:cs="Arial"/>
        </w:rPr>
        <w:t>La reducida dimensión de las empresas españolas</w:t>
      </w:r>
      <w:r w:rsidR="00DE6FD7">
        <w:rPr>
          <w:rFonts w:cs="Arial"/>
        </w:rPr>
        <w:t xml:space="preserve"> se observa al analizar el tamaño medio de las plantillas de trabajadores. Las empresas españolas</w:t>
      </w:r>
      <w:r w:rsidR="0094359D">
        <w:rPr>
          <w:rFonts w:cs="Arial"/>
        </w:rPr>
        <w:t>, incluyendo autónomos,</w:t>
      </w:r>
      <w:r w:rsidR="00DE6FD7">
        <w:rPr>
          <w:rFonts w:cs="Arial"/>
        </w:rPr>
        <w:t xml:space="preserve"> tienen de media una plantilla de 4,5 empleados, mientras que en la Unión Europea este valor aumenta hasta el 5,8. Y en algunos países de nuestro entorno este valor se duplica, como es el caso de Alemania donde la plantilla media se sitúa en 11</w:t>
      </w:r>
      <w:r w:rsidR="0021706F">
        <w:rPr>
          <w:rFonts w:cs="Arial"/>
        </w:rPr>
        <w:t>,7</w:t>
      </w:r>
      <w:r w:rsidR="00DE6FD7">
        <w:rPr>
          <w:rFonts w:cs="Arial"/>
        </w:rPr>
        <w:t xml:space="preserve"> trabajadores</w:t>
      </w:r>
      <w:r w:rsidR="00412D72">
        <w:rPr>
          <w:rFonts w:cs="Arial"/>
        </w:rPr>
        <w:t xml:space="preserve"> o el Reino Unido que ronda </w:t>
      </w:r>
      <w:r w:rsidR="00185E28">
        <w:rPr>
          <w:rFonts w:cs="Arial"/>
        </w:rPr>
        <w:t>algo más de</w:t>
      </w:r>
      <w:r w:rsidR="00412D72">
        <w:rPr>
          <w:rFonts w:cs="Arial"/>
        </w:rPr>
        <w:t xml:space="preserve"> 10</w:t>
      </w:r>
      <w:r w:rsidR="00185E28">
        <w:rPr>
          <w:rFonts w:cs="Arial"/>
        </w:rPr>
        <w:t>. En cambio, otros países de nuestro entorno, como Portugal e Italia tienen un menor número medio de empleados por empresa</w:t>
      </w:r>
      <w:r w:rsidR="00EF0278">
        <w:rPr>
          <w:rFonts w:cs="Arial"/>
        </w:rPr>
        <w:t xml:space="preserve"> (</w:t>
      </w:r>
      <w:r w:rsidR="00C66145">
        <w:rPr>
          <w:rFonts w:cs="Arial"/>
        </w:rPr>
        <w:t xml:space="preserve">véase </w:t>
      </w:r>
      <w:r w:rsidR="00EF0278" w:rsidRPr="00F7012A">
        <w:rPr>
          <w:rFonts w:cs="Arial"/>
          <w:highlight w:val="yellow"/>
        </w:rPr>
        <w:t>gráfico</w:t>
      </w:r>
      <w:r w:rsidR="00C66145">
        <w:rPr>
          <w:rFonts w:cs="Arial"/>
          <w:highlight w:val="yellow"/>
        </w:rPr>
        <w:t>s</w:t>
      </w:r>
      <w:r w:rsidR="00EF0278" w:rsidRPr="00F7012A">
        <w:rPr>
          <w:rFonts w:cs="Arial"/>
          <w:highlight w:val="yellow"/>
        </w:rPr>
        <w:t xml:space="preserve"> </w:t>
      </w:r>
      <w:r w:rsidR="00446A3B">
        <w:rPr>
          <w:rFonts w:cs="Arial"/>
        </w:rPr>
        <w:t>2</w:t>
      </w:r>
      <w:r w:rsidR="00C66145">
        <w:rPr>
          <w:rFonts w:cs="Arial"/>
        </w:rPr>
        <w:t xml:space="preserve"> y </w:t>
      </w:r>
      <w:r w:rsidR="00446A3B">
        <w:rPr>
          <w:rFonts w:cs="Arial"/>
        </w:rPr>
        <w:t>3</w:t>
      </w:r>
      <w:r w:rsidR="00EF0278">
        <w:rPr>
          <w:rFonts w:cs="Arial"/>
        </w:rPr>
        <w:t>)</w:t>
      </w:r>
      <w:r w:rsidR="00DE6FD7">
        <w:rPr>
          <w:rFonts w:cs="Arial"/>
        </w:rPr>
        <w:t xml:space="preserve">. </w:t>
      </w:r>
    </w:p>
    <w:tbl>
      <w:tblPr>
        <w:tblStyle w:val="Listamedia2"/>
        <w:tblW w:w="5000" w:type="pct"/>
        <w:tblBorders>
          <w:top w:val="none" w:sz="0" w:space="0" w:color="auto"/>
          <w:left w:val="none" w:sz="0" w:space="0" w:color="auto"/>
          <w:bottom w:val="none" w:sz="0" w:space="0" w:color="auto"/>
          <w:right w:val="none" w:sz="0" w:space="0" w:color="auto"/>
        </w:tblBorders>
        <w:tblCellMar>
          <w:top w:w="108" w:type="dxa"/>
          <w:bottom w:w="108" w:type="dxa"/>
        </w:tblCellMar>
        <w:tblLook w:val="04A0" w:firstRow="1" w:lastRow="0" w:firstColumn="1" w:lastColumn="0" w:noHBand="0" w:noVBand="1"/>
      </w:tblPr>
      <w:tblGrid>
        <w:gridCol w:w="9071"/>
      </w:tblGrid>
      <w:tr w:rsidR="00790231" w:rsidRPr="002D17B9" w14:paraId="4E057525" w14:textId="77777777" w:rsidTr="00DC0F1F">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5DD4F69B" w14:textId="3F04EF11" w:rsidR="00790231" w:rsidRPr="00C66145" w:rsidRDefault="00790231" w:rsidP="00DC0F1F">
            <w:pPr>
              <w:pStyle w:val="Descripcin1"/>
              <w:spacing w:after="0"/>
              <w:jc w:val="center"/>
              <w:rPr>
                <w:rFonts w:cs="Arial"/>
                <w:b w:val="0"/>
                <w:bCs/>
                <w:szCs w:val="18"/>
                <w:lang w:eastAsia="en-GB"/>
              </w:rPr>
            </w:pPr>
            <w:bookmarkStart w:id="7" w:name="_Toc526942110"/>
            <w:r w:rsidRPr="00C66145">
              <w:rPr>
                <w:b w:val="0"/>
                <w:szCs w:val="18"/>
              </w:rPr>
              <w:t xml:space="preserve">Gráfico </w:t>
            </w:r>
            <w:r w:rsidRPr="00C66145">
              <w:rPr>
                <w:b w:val="0"/>
                <w:szCs w:val="18"/>
              </w:rPr>
              <w:fldChar w:fldCharType="begin"/>
            </w:r>
            <w:r w:rsidRPr="00C66145">
              <w:rPr>
                <w:b w:val="0"/>
                <w:szCs w:val="18"/>
              </w:rPr>
              <w:instrText xml:space="preserve"> SEQ Gráfico \* ARABIC  </w:instrText>
            </w:r>
            <w:r w:rsidRPr="00C66145">
              <w:rPr>
                <w:b w:val="0"/>
                <w:szCs w:val="18"/>
              </w:rPr>
              <w:fldChar w:fldCharType="separate"/>
            </w:r>
            <w:r w:rsidR="00764C39">
              <w:rPr>
                <w:b w:val="0"/>
                <w:noProof/>
                <w:szCs w:val="18"/>
              </w:rPr>
              <w:t>2</w:t>
            </w:r>
            <w:r w:rsidRPr="00C66145">
              <w:rPr>
                <w:b w:val="0"/>
                <w:szCs w:val="18"/>
              </w:rPr>
              <w:fldChar w:fldCharType="end"/>
            </w:r>
            <w:r w:rsidRPr="00C66145">
              <w:rPr>
                <w:b w:val="0"/>
                <w:szCs w:val="18"/>
              </w:rPr>
              <w:t>. Número medio de trabajadores por empresa</w:t>
            </w:r>
            <w:bookmarkEnd w:id="7"/>
          </w:p>
        </w:tc>
      </w:tr>
      <w:tr w:rsidR="00790231" w:rsidRPr="006E344A" w14:paraId="7EB4AE73" w14:textId="77777777" w:rsidTr="00DC0F1F">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40BBC656" w14:textId="4EA5B83A" w:rsidR="00790231" w:rsidRPr="00424FAE" w:rsidRDefault="00790231" w:rsidP="00A60059">
            <w:pPr>
              <w:contextualSpacing/>
              <w:jc w:val="center"/>
              <w:rPr>
                <w:rFonts w:ascii="Century Gothic" w:hAnsi="Century Gothic" w:cs="Arial"/>
                <w:color w:val="000000"/>
                <w:sz w:val="18"/>
                <w:szCs w:val="18"/>
                <w:lang w:val="es-ES"/>
              </w:rPr>
            </w:pPr>
            <w:r>
              <w:rPr>
                <w:rFonts w:ascii="Century Gothic" w:hAnsi="Century Gothic" w:cs="Arial"/>
                <w:noProof/>
                <w:color w:val="000000"/>
                <w:sz w:val="18"/>
                <w:szCs w:val="18"/>
                <w:lang w:val="es-ES" w:eastAsia="es-ES"/>
              </w:rPr>
              <w:drawing>
                <wp:inline distT="0" distB="0" distL="0" distR="0" wp14:anchorId="6F157DB6" wp14:editId="1860A4FA">
                  <wp:extent cx="1945005" cy="15970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5005" cy="1597025"/>
                          </a:xfrm>
                          <a:prstGeom prst="rect">
                            <a:avLst/>
                          </a:prstGeom>
                          <a:noFill/>
                        </pic:spPr>
                      </pic:pic>
                    </a:graphicData>
                  </a:graphic>
                </wp:inline>
              </w:drawing>
            </w:r>
          </w:p>
        </w:tc>
      </w:tr>
      <w:tr w:rsidR="00790231" w:rsidRPr="004D31C1" w14:paraId="0818F416" w14:textId="77777777" w:rsidTr="00DC0F1F">
        <w:trPr>
          <w:trHeight w:val="250"/>
        </w:trPr>
        <w:tc>
          <w:tcPr>
            <w:cnfStyle w:val="001000000000" w:firstRow="0" w:lastRow="0" w:firstColumn="1" w:lastColumn="0" w:oddVBand="0" w:evenVBand="0" w:oddHBand="0" w:evenHBand="0" w:firstRowFirstColumn="0" w:firstRowLastColumn="0" w:lastRowFirstColumn="0" w:lastRowLastColumn="0"/>
            <w:tcW w:w="5000" w:type="pct"/>
            <w:tcBorders>
              <w:left w:val="none" w:sz="0" w:space="0" w:color="auto"/>
              <w:bottom w:val="none" w:sz="0" w:space="0" w:color="auto"/>
              <w:right w:val="none" w:sz="0" w:space="0" w:color="auto"/>
            </w:tcBorders>
            <w:shd w:val="clear" w:color="auto" w:fill="auto"/>
            <w:vAlign w:val="center"/>
          </w:tcPr>
          <w:p w14:paraId="2408FE85" w14:textId="482BD934" w:rsidR="00790231" w:rsidRPr="004D31C1" w:rsidRDefault="00790231" w:rsidP="002E37B6">
            <w:pPr>
              <w:contextualSpacing/>
              <w:jc w:val="left"/>
              <w:rPr>
                <w:rFonts w:ascii="Century Gothic" w:hAnsi="Century Gothic" w:cs="Arial"/>
                <w:color w:val="000000"/>
                <w:sz w:val="18"/>
                <w:szCs w:val="18"/>
                <w:lang w:val="en-US"/>
              </w:rPr>
            </w:pPr>
            <w:r w:rsidRPr="004D31C1">
              <w:rPr>
                <w:rFonts w:ascii="Century Gothic" w:hAnsi="Century Gothic" w:cs="Arial"/>
                <w:i/>
                <w:color w:val="000000"/>
                <w:sz w:val="16"/>
                <w:szCs w:val="16"/>
                <w:lang w:val="en-US"/>
              </w:rPr>
              <w:t>Fuente: EUROSTAT, Business demography statistics</w:t>
            </w:r>
          </w:p>
        </w:tc>
      </w:tr>
    </w:tbl>
    <w:p w14:paraId="40589335" w14:textId="77777777" w:rsidR="006E344A" w:rsidRDefault="006E344A" w:rsidP="005856E3">
      <w:pPr>
        <w:pStyle w:val="Body"/>
        <w:rPr>
          <w:rFonts w:cs="Arial"/>
          <w:lang w:val="en-US"/>
        </w:rPr>
      </w:pPr>
    </w:p>
    <w:tbl>
      <w:tblPr>
        <w:tblStyle w:val="Style1"/>
        <w:tblW w:w="0" w:type="auto"/>
        <w:tblLook w:val="04A0" w:firstRow="1" w:lastRow="0" w:firstColumn="1" w:lastColumn="0" w:noHBand="0" w:noVBand="1"/>
      </w:tblPr>
      <w:tblGrid>
        <w:gridCol w:w="9071"/>
      </w:tblGrid>
      <w:tr w:rsidR="00DC0F1F" w:rsidRPr="002D17B9" w14:paraId="096320AE" w14:textId="77777777" w:rsidTr="00DC0F1F">
        <w:trPr>
          <w:trHeight w:val="475"/>
        </w:trPr>
        <w:tc>
          <w:tcPr>
            <w:tcW w:w="9211" w:type="dxa"/>
            <w:vAlign w:val="center"/>
          </w:tcPr>
          <w:p w14:paraId="6331D271" w14:textId="5F6D8051" w:rsidR="00DC0F1F" w:rsidRPr="00DC0F1F" w:rsidRDefault="00DC0F1F" w:rsidP="00DC0F1F">
            <w:pPr>
              <w:pStyle w:val="Descripcin1"/>
              <w:spacing w:after="0"/>
              <w:jc w:val="center"/>
              <w:rPr>
                <w:rFonts w:cstheme="majorBidi"/>
                <w:b w:val="0"/>
                <w:szCs w:val="18"/>
              </w:rPr>
            </w:pPr>
            <w:bookmarkStart w:id="8" w:name="_Toc526942111"/>
            <w:r w:rsidRPr="00DC0F1F">
              <w:rPr>
                <w:b w:val="0"/>
                <w:color w:val="000000" w:themeColor="text1"/>
                <w:szCs w:val="18"/>
              </w:rPr>
              <w:t xml:space="preserve">Gráfico </w:t>
            </w:r>
            <w:r w:rsidRPr="00DC0F1F">
              <w:rPr>
                <w:b w:val="0"/>
                <w:szCs w:val="18"/>
              </w:rPr>
              <w:fldChar w:fldCharType="begin"/>
            </w:r>
            <w:r w:rsidRPr="00DC0F1F">
              <w:rPr>
                <w:b w:val="0"/>
                <w:color w:val="000000" w:themeColor="text1"/>
                <w:szCs w:val="18"/>
              </w:rPr>
              <w:instrText xml:space="preserve"> SEQ Gráfico \* ARABIC  </w:instrText>
            </w:r>
            <w:r w:rsidRPr="00DC0F1F">
              <w:rPr>
                <w:b w:val="0"/>
                <w:szCs w:val="18"/>
              </w:rPr>
              <w:fldChar w:fldCharType="separate"/>
            </w:r>
            <w:r w:rsidR="00764C39">
              <w:rPr>
                <w:b w:val="0"/>
                <w:noProof/>
                <w:color w:val="000000" w:themeColor="text1"/>
                <w:szCs w:val="18"/>
              </w:rPr>
              <w:t>3</w:t>
            </w:r>
            <w:r w:rsidRPr="00DC0F1F">
              <w:rPr>
                <w:b w:val="0"/>
                <w:szCs w:val="18"/>
              </w:rPr>
              <w:fldChar w:fldCharType="end"/>
            </w:r>
            <w:r w:rsidRPr="00DC0F1F">
              <w:rPr>
                <w:b w:val="0"/>
                <w:color w:val="000000" w:themeColor="text1"/>
                <w:szCs w:val="18"/>
              </w:rPr>
              <w:t xml:space="preserve">. </w:t>
            </w:r>
            <w:r w:rsidRPr="00DC0F1F">
              <w:rPr>
                <w:rFonts w:cstheme="majorBidi"/>
                <w:b w:val="0"/>
                <w:color w:val="000000" w:themeColor="text1"/>
                <w:szCs w:val="18"/>
              </w:rPr>
              <w:t>Evolución del nº medio de empleados por empresa</w:t>
            </w:r>
            <w:bookmarkEnd w:id="8"/>
          </w:p>
        </w:tc>
      </w:tr>
      <w:tr w:rsidR="00DC0F1F" w14:paraId="2848D1C6" w14:textId="77777777" w:rsidTr="00DC0F1F">
        <w:tc>
          <w:tcPr>
            <w:tcW w:w="9211" w:type="dxa"/>
          </w:tcPr>
          <w:p w14:paraId="3AE96EB4" w14:textId="1018017E" w:rsidR="00DC0F1F" w:rsidRDefault="00DC0F1F" w:rsidP="005856E3">
            <w:pPr>
              <w:pStyle w:val="Body"/>
              <w:rPr>
                <w:rFonts w:cs="Arial"/>
                <w:lang w:val="en-US"/>
              </w:rPr>
            </w:pPr>
            <w:r>
              <w:object w:dxaOrig="9240" w:dyaOrig="5205" w14:anchorId="4040C6D0">
                <v:shape id="_x0000_i1026" type="#_x0000_t75" style="width:421.35pt;height:237.1pt" o:ole="">
                  <v:imagedata r:id="rId23" o:title=""/>
                </v:shape>
                <o:OLEObject Type="Embed" ProgID="PBrush" ShapeID="_x0000_i1026" DrawAspect="Content" ObjectID="_1602306096" r:id="rId24"/>
              </w:object>
            </w:r>
          </w:p>
        </w:tc>
      </w:tr>
      <w:tr w:rsidR="00DC0F1F" w:rsidRPr="002D17B9" w14:paraId="18EB42BD" w14:textId="77777777" w:rsidTr="00DC0F1F">
        <w:trPr>
          <w:trHeight w:val="426"/>
        </w:trPr>
        <w:tc>
          <w:tcPr>
            <w:tcW w:w="9211" w:type="dxa"/>
            <w:vAlign w:val="center"/>
          </w:tcPr>
          <w:p w14:paraId="0CA45F5E" w14:textId="021D9B5C" w:rsidR="00DC0F1F" w:rsidRPr="00DC0F1F" w:rsidRDefault="00DC0F1F" w:rsidP="00DC0F1F">
            <w:pPr>
              <w:contextualSpacing/>
              <w:jc w:val="left"/>
              <w:rPr>
                <w:rFonts w:ascii="Century Gothic" w:hAnsi="Century Gothic" w:cs="Arial"/>
                <w:i/>
                <w:color w:val="000000"/>
                <w:sz w:val="16"/>
                <w:szCs w:val="16"/>
                <w:lang w:val="es-ES"/>
              </w:rPr>
            </w:pPr>
            <w:r w:rsidRPr="00DC0F1F">
              <w:rPr>
                <w:rFonts w:ascii="Century Gothic" w:hAnsi="Century Gothic" w:cs="Arial"/>
                <w:i/>
                <w:color w:val="000000"/>
                <w:sz w:val="16"/>
                <w:szCs w:val="16"/>
                <w:lang w:val="es-ES"/>
              </w:rPr>
              <w:t>Fuente: Círculo de Empresarios según datos Eurostat. La empresa mediana española, informe anual 2017.</w:t>
            </w:r>
          </w:p>
        </w:tc>
      </w:tr>
    </w:tbl>
    <w:p w14:paraId="54F409FD" w14:textId="77777777" w:rsidR="00DC0F1F" w:rsidRDefault="00DC0F1F" w:rsidP="009418ED">
      <w:pPr>
        <w:pStyle w:val="Descripcin1"/>
        <w:rPr>
          <w:rFonts w:cs="Arial"/>
          <w:b w:val="0"/>
          <w:sz w:val="20"/>
        </w:rPr>
      </w:pPr>
    </w:p>
    <w:p w14:paraId="6CFADBAC" w14:textId="17D1C892" w:rsidR="009418ED" w:rsidRDefault="00611EC1" w:rsidP="009418ED">
      <w:pPr>
        <w:pStyle w:val="Descripcin1"/>
        <w:rPr>
          <w:rFonts w:cs="Arial"/>
          <w:b w:val="0"/>
          <w:sz w:val="20"/>
        </w:rPr>
      </w:pPr>
      <w:r>
        <w:rPr>
          <w:rFonts w:cs="Arial"/>
          <w:b w:val="0"/>
          <w:sz w:val="20"/>
        </w:rPr>
        <w:t>Centrándonos en las PYME con asalariados</w:t>
      </w:r>
      <w:r w:rsidR="009418ED" w:rsidRPr="00E7125B">
        <w:rPr>
          <w:rFonts w:cs="Arial"/>
          <w:b w:val="0"/>
          <w:sz w:val="20"/>
          <w:highlight w:val="yellow"/>
        </w:rPr>
        <w:t>, se observa el gran volumen de microempresas, que lleg</w:t>
      </w:r>
      <w:r>
        <w:rPr>
          <w:rFonts w:cs="Arial"/>
          <w:b w:val="0"/>
          <w:sz w:val="20"/>
          <w:highlight w:val="yellow"/>
        </w:rPr>
        <w:t>a hasta el 87% del total</w:t>
      </w:r>
      <w:r w:rsidR="009418ED" w:rsidRPr="00E7125B">
        <w:rPr>
          <w:rFonts w:cs="Arial"/>
          <w:b w:val="0"/>
          <w:sz w:val="20"/>
          <w:highlight w:val="yellow"/>
        </w:rPr>
        <w:t xml:space="preserve">, generando el 36% del empleo de </w:t>
      </w:r>
      <w:r>
        <w:rPr>
          <w:rFonts w:cs="Arial"/>
          <w:b w:val="0"/>
          <w:sz w:val="20"/>
          <w:highlight w:val="yellow"/>
        </w:rPr>
        <w:t>estas</w:t>
      </w:r>
      <w:r w:rsidR="009418ED" w:rsidRPr="00E7125B">
        <w:rPr>
          <w:rFonts w:cs="Arial"/>
          <w:b w:val="0"/>
          <w:sz w:val="20"/>
          <w:highlight w:val="yellow"/>
        </w:rPr>
        <w:t xml:space="preserve"> PYME</w:t>
      </w:r>
      <w:r w:rsidR="009418ED" w:rsidRPr="00B53FAF">
        <w:rPr>
          <w:rFonts w:cs="Arial"/>
          <w:b w:val="0"/>
          <w:sz w:val="20"/>
        </w:rPr>
        <w:t xml:space="preserve"> (</w:t>
      </w:r>
      <w:r w:rsidR="009418ED" w:rsidRPr="009418ED">
        <w:rPr>
          <w:rFonts w:cs="Arial"/>
          <w:b w:val="0"/>
          <w:sz w:val="20"/>
          <w:highlight w:val="yellow"/>
        </w:rPr>
        <w:t xml:space="preserve">tabla </w:t>
      </w:r>
      <w:r w:rsidR="00E40DE4">
        <w:rPr>
          <w:rFonts w:cs="Arial"/>
          <w:b w:val="0"/>
          <w:sz w:val="20"/>
        </w:rPr>
        <w:t>2</w:t>
      </w:r>
      <w:r w:rsidR="009418ED" w:rsidRPr="00B53FAF">
        <w:rPr>
          <w:rFonts w:cs="Arial"/>
          <w:b w:val="0"/>
          <w:sz w:val="20"/>
        </w:rPr>
        <w:t xml:space="preserve">). </w:t>
      </w:r>
    </w:p>
    <w:p w14:paraId="6ECA38E9" w14:textId="77777777" w:rsidR="009418ED" w:rsidRDefault="009418ED" w:rsidP="00EB68C4">
      <w:pPr>
        <w:pStyle w:val="Descripcin1"/>
        <w:rPr>
          <w:b w:val="0"/>
        </w:rPr>
      </w:pPr>
    </w:p>
    <w:p w14:paraId="20F4BBD2" w14:textId="5FDB0CE9" w:rsidR="00EB68C4" w:rsidRPr="008B6C6C" w:rsidRDefault="00EB68C4" w:rsidP="00EB68C4">
      <w:pPr>
        <w:pStyle w:val="Descripcin1"/>
        <w:rPr>
          <w:b w:val="0"/>
        </w:rPr>
      </w:pPr>
      <w:bookmarkStart w:id="9" w:name="_Toc526515592"/>
      <w:r w:rsidRPr="008B6C6C">
        <w:rPr>
          <w:b w:val="0"/>
        </w:rPr>
        <w:t xml:space="preserve">Tabla </w:t>
      </w:r>
      <w:r w:rsidRPr="008B6C6C">
        <w:rPr>
          <w:b w:val="0"/>
        </w:rPr>
        <w:fldChar w:fldCharType="begin"/>
      </w:r>
      <w:r w:rsidRPr="008B6C6C">
        <w:rPr>
          <w:b w:val="0"/>
        </w:rPr>
        <w:instrText xml:space="preserve"> SEQ Tabla \* ARABIC </w:instrText>
      </w:r>
      <w:r w:rsidRPr="008B6C6C">
        <w:rPr>
          <w:b w:val="0"/>
        </w:rPr>
        <w:fldChar w:fldCharType="separate"/>
      </w:r>
      <w:r w:rsidR="00764C39">
        <w:rPr>
          <w:b w:val="0"/>
          <w:noProof/>
        </w:rPr>
        <w:t>2</w:t>
      </w:r>
      <w:r w:rsidRPr="008B6C6C">
        <w:rPr>
          <w:b w:val="0"/>
        </w:rPr>
        <w:fldChar w:fldCharType="end"/>
      </w:r>
      <w:r w:rsidRPr="008B6C6C">
        <w:rPr>
          <w:b w:val="0"/>
        </w:rPr>
        <w:t>. Distribución del total de</w:t>
      </w:r>
      <w:r w:rsidR="00727EBE" w:rsidRPr="008B6C6C">
        <w:rPr>
          <w:b w:val="0"/>
        </w:rPr>
        <w:t xml:space="preserve"> PYME </w:t>
      </w:r>
      <w:r w:rsidRPr="008B6C6C">
        <w:rPr>
          <w:b w:val="0"/>
        </w:rPr>
        <w:t>por tamaño y número de trabajadores</w:t>
      </w:r>
      <w:bookmarkEnd w:id="9"/>
    </w:p>
    <w:tbl>
      <w:tblPr>
        <w:tblStyle w:val="Listamedia2"/>
        <w:tblW w:w="5000" w:type="pct"/>
        <w:tblCellMar>
          <w:top w:w="108" w:type="dxa"/>
          <w:bottom w:w="108" w:type="dxa"/>
        </w:tblCellMar>
        <w:tblLook w:val="04A0" w:firstRow="1" w:lastRow="0" w:firstColumn="1" w:lastColumn="0" w:noHBand="0" w:noVBand="1"/>
      </w:tblPr>
      <w:tblGrid>
        <w:gridCol w:w="2594"/>
        <w:gridCol w:w="1381"/>
        <w:gridCol w:w="1798"/>
        <w:gridCol w:w="1517"/>
        <w:gridCol w:w="1761"/>
      </w:tblGrid>
      <w:tr w:rsidR="001A00F2" w:rsidRPr="002D17B9" w14:paraId="26350B82" w14:textId="77777777" w:rsidTr="006F2BFD">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1433" w:type="pct"/>
            <w:tcBorders>
              <w:top w:val="single" w:sz="12" w:space="0" w:color="FFCC00"/>
              <w:left w:val="none" w:sz="0" w:space="0" w:color="auto"/>
              <w:bottom w:val="single" w:sz="6" w:space="0" w:color="000000" w:themeColor="text1"/>
              <w:right w:val="none" w:sz="0" w:space="0" w:color="auto"/>
            </w:tcBorders>
            <w:shd w:val="clear" w:color="auto" w:fill="auto"/>
            <w:hideMark/>
          </w:tcPr>
          <w:p w14:paraId="6A9C2C0C" w14:textId="77777777" w:rsidR="001A00F2" w:rsidRPr="006B7119" w:rsidRDefault="001A00F2" w:rsidP="001A00F2">
            <w:pPr>
              <w:spacing w:afterLines="240" w:after="576"/>
              <w:contextualSpacing/>
              <w:jc w:val="center"/>
              <w:rPr>
                <w:rFonts w:ascii="Century Gothic" w:hAnsi="Century Gothic" w:cs="Arial"/>
                <w:b/>
                <w:bCs/>
                <w:color w:val="333333"/>
                <w:sz w:val="18"/>
                <w:szCs w:val="18"/>
                <w:lang w:val="es-ES_tradnl" w:eastAsia="en-GB"/>
              </w:rPr>
            </w:pPr>
          </w:p>
        </w:tc>
        <w:tc>
          <w:tcPr>
            <w:tcW w:w="763"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0452AE0B" w14:textId="7791F904" w:rsidR="001A00F2" w:rsidRPr="006B7119" w:rsidRDefault="001A00F2" w:rsidP="006F2BF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Número de empresas</w:t>
            </w:r>
          </w:p>
        </w:tc>
        <w:tc>
          <w:tcPr>
            <w:tcW w:w="993"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72EB7BC3" w14:textId="67A72D15" w:rsidR="001A00F2" w:rsidRPr="006B7119" w:rsidRDefault="001A00F2" w:rsidP="006F2BF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Distribución del total de PYME por tamaño</w:t>
            </w:r>
          </w:p>
        </w:tc>
        <w:tc>
          <w:tcPr>
            <w:tcW w:w="838"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4EF7E8A4" w14:textId="1139B1BA" w:rsidR="001A00F2" w:rsidRPr="006B7119" w:rsidRDefault="001A00F2" w:rsidP="006F2BF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Número de trabajadores</w:t>
            </w:r>
          </w:p>
        </w:tc>
        <w:tc>
          <w:tcPr>
            <w:tcW w:w="973"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17A4BEB6" w14:textId="028017F1" w:rsidR="001A00F2" w:rsidRPr="006B7119" w:rsidRDefault="001A00F2" w:rsidP="006F2BF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Distribución del total trabajadores en PYME por tamaño</w:t>
            </w:r>
          </w:p>
        </w:tc>
      </w:tr>
      <w:tr w:rsidR="001A00F2" w:rsidRPr="006B7119" w14:paraId="5286D6A6" w14:textId="77777777" w:rsidTr="00C7619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33" w:type="pct"/>
            <w:tcBorders>
              <w:top w:val="single" w:sz="6" w:space="0" w:color="000000" w:themeColor="text1"/>
              <w:left w:val="none" w:sz="0" w:space="0" w:color="auto"/>
              <w:bottom w:val="none" w:sz="0" w:space="0" w:color="auto"/>
              <w:right w:val="nil"/>
            </w:tcBorders>
            <w:shd w:val="clear" w:color="auto" w:fill="auto"/>
            <w:hideMark/>
          </w:tcPr>
          <w:p w14:paraId="5C074754" w14:textId="4CB2AD43" w:rsidR="001A00F2" w:rsidRPr="006B7119" w:rsidRDefault="001A00F2" w:rsidP="00B31B9E">
            <w:pPr>
              <w:contextualSpacing/>
              <w:jc w:val="right"/>
              <w:rPr>
                <w:rFonts w:ascii="Century Gothic" w:hAnsi="Century Gothic" w:cs="Arial"/>
                <w:b/>
                <w:color w:val="000000"/>
                <w:sz w:val="18"/>
                <w:szCs w:val="18"/>
                <w:lang w:val="es-ES_tradnl"/>
              </w:rPr>
            </w:pPr>
            <w:r w:rsidRPr="006B7119">
              <w:rPr>
                <w:rFonts w:ascii="Century Gothic" w:hAnsi="Century Gothic"/>
                <w:b/>
                <w:sz w:val="18"/>
                <w:szCs w:val="18"/>
                <w:lang w:val="es-ES_tradnl"/>
              </w:rPr>
              <w:t>PYME (1-249 asalariados)</w:t>
            </w:r>
          </w:p>
        </w:tc>
        <w:tc>
          <w:tcPr>
            <w:tcW w:w="763" w:type="pct"/>
            <w:tcBorders>
              <w:top w:val="single" w:sz="6" w:space="0" w:color="000000" w:themeColor="text1"/>
              <w:left w:val="none" w:sz="0" w:space="0" w:color="auto"/>
              <w:bottom w:val="none" w:sz="0" w:space="0" w:color="auto"/>
              <w:right w:val="none" w:sz="0" w:space="0" w:color="auto"/>
            </w:tcBorders>
            <w:shd w:val="clear" w:color="auto" w:fill="auto"/>
            <w:noWrap/>
          </w:tcPr>
          <w:p w14:paraId="1E4837D6" w14:textId="7DADD082"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1.307.776</w:t>
            </w:r>
          </w:p>
        </w:tc>
        <w:tc>
          <w:tcPr>
            <w:tcW w:w="993" w:type="pct"/>
            <w:tcBorders>
              <w:top w:val="single" w:sz="6" w:space="0" w:color="000000" w:themeColor="text1"/>
              <w:left w:val="none" w:sz="0" w:space="0" w:color="auto"/>
              <w:bottom w:val="none" w:sz="0" w:space="0" w:color="auto"/>
              <w:right w:val="none" w:sz="0" w:space="0" w:color="auto"/>
            </w:tcBorders>
            <w:shd w:val="clear" w:color="auto" w:fill="auto"/>
            <w:noWrap/>
          </w:tcPr>
          <w:p w14:paraId="5392C9CF" w14:textId="1024FE05"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100,00%</w:t>
            </w:r>
          </w:p>
        </w:tc>
        <w:tc>
          <w:tcPr>
            <w:tcW w:w="838" w:type="pct"/>
            <w:tcBorders>
              <w:top w:val="single" w:sz="6" w:space="0" w:color="000000" w:themeColor="text1"/>
              <w:left w:val="none" w:sz="0" w:space="0" w:color="auto"/>
              <w:bottom w:val="none" w:sz="0" w:space="0" w:color="auto"/>
              <w:right w:val="none" w:sz="0" w:space="0" w:color="auto"/>
            </w:tcBorders>
            <w:shd w:val="clear" w:color="auto" w:fill="auto"/>
            <w:noWrap/>
          </w:tcPr>
          <w:p w14:paraId="4154E576" w14:textId="7631C3C7"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8.165.235</w:t>
            </w:r>
          </w:p>
        </w:tc>
        <w:tc>
          <w:tcPr>
            <w:tcW w:w="973" w:type="pct"/>
            <w:tcBorders>
              <w:top w:val="single" w:sz="6" w:space="0" w:color="000000" w:themeColor="text1"/>
              <w:left w:val="none" w:sz="0" w:space="0" w:color="auto"/>
              <w:bottom w:val="none" w:sz="0" w:space="0" w:color="auto"/>
              <w:right w:val="nil"/>
            </w:tcBorders>
            <w:shd w:val="clear" w:color="auto" w:fill="auto"/>
            <w:noWrap/>
          </w:tcPr>
          <w:p w14:paraId="70F3C2D8" w14:textId="6E30B1CF"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sz w:val="18"/>
                <w:szCs w:val="18"/>
                <w:lang w:val="es-ES_tradnl"/>
              </w:rPr>
            </w:pPr>
            <w:r w:rsidRPr="006B7119">
              <w:rPr>
                <w:rFonts w:ascii="Century Gothic" w:hAnsi="Century Gothic"/>
                <w:b/>
                <w:sz w:val="18"/>
                <w:szCs w:val="18"/>
                <w:lang w:val="es-ES_tradnl"/>
              </w:rPr>
              <w:t>100,00%</w:t>
            </w:r>
          </w:p>
        </w:tc>
      </w:tr>
      <w:tr w:rsidR="001A00F2" w:rsidRPr="006B7119" w14:paraId="7135ACDF" w14:textId="77777777" w:rsidTr="00C76194">
        <w:trPr>
          <w:trHeight w:val="250"/>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il"/>
            </w:tcBorders>
            <w:shd w:val="clear" w:color="auto" w:fill="auto"/>
            <w:hideMark/>
          </w:tcPr>
          <w:p w14:paraId="19E573A7" w14:textId="5D225074" w:rsidR="001A00F2" w:rsidRPr="006B7119" w:rsidRDefault="001A00F2" w:rsidP="001A00F2">
            <w:pPr>
              <w:contextualSpacing/>
              <w:jc w:val="right"/>
              <w:rPr>
                <w:rFonts w:ascii="Century Gothic" w:hAnsi="Century Gothic" w:cs="Arial"/>
                <w:color w:val="000000"/>
                <w:sz w:val="18"/>
                <w:szCs w:val="18"/>
                <w:lang w:val="es-ES_tradnl"/>
              </w:rPr>
            </w:pPr>
            <w:r w:rsidRPr="006B7119">
              <w:rPr>
                <w:rFonts w:ascii="Century Gothic" w:hAnsi="Century Gothic"/>
                <w:sz w:val="18"/>
                <w:szCs w:val="18"/>
                <w:lang w:val="es-ES_tradnl"/>
              </w:rPr>
              <w:t>Micro 1-9</w:t>
            </w:r>
          </w:p>
        </w:tc>
        <w:tc>
          <w:tcPr>
            <w:tcW w:w="763" w:type="pct"/>
            <w:shd w:val="clear" w:color="auto" w:fill="auto"/>
            <w:noWrap/>
          </w:tcPr>
          <w:p w14:paraId="12927CE0" w14:textId="08754E88"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1.135.054</w:t>
            </w:r>
          </w:p>
        </w:tc>
        <w:tc>
          <w:tcPr>
            <w:tcW w:w="993" w:type="pct"/>
            <w:shd w:val="clear" w:color="auto" w:fill="auto"/>
            <w:noWrap/>
          </w:tcPr>
          <w:p w14:paraId="18CD617D" w14:textId="17526976"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86,79%</w:t>
            </w:r>
          </w:p>
        </w:tc>
        <w:tc>
          <w:tcPr>
            <w:tcW w:w="838" w:type="pct"/>
            <w:shd w:val="clear" w:color="auto" w:fill="auto"/>
            <w:noWrap/>
          </w:tcPr>
          <w:p w14:paraId="1A21B029" w14:textId="4FA4943B"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2.978.683</w:t>
            </w:r>
          </w:p>
        </w:tc>
        <w:tc>
          <w:tcPr>
            <w:tcW w:w="973" w:type="pct"/>
            <w:tcBorders>
              <w:right w:val="nil"/>
            </w:tcBorders>
            <w:shd w:val="clear" w:color="auto" w:fill="auto"/>
            <w:noWrap/>
          </w:tcPr>
          <w:p w14:paraId="196FCDC5" w14:textId="77D77665"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36,48%</w:t>
            </w:r>
          </w:p>
        </w:tc>
      </w:tr>
      <w:tr w:rsidR="001A00F2" w:rsidRPr="006B7119" w14:paraId="787A6807" w14:textId="77777777" w:rsidTr="00C7619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il"/>
            </w:tcBorders>
            <w:shd w:val="clear" w:color="auto" w:fill="auto"/>
            <w:hideMark/>
          </w:tcPr>
          <w:p w14:paraId="3335CA98" w14:textId="1FE5EE2A" w:rsidR="001A00F2" w:rsidRPr="006B7119" w:rsidRDefault="001A00F2" w:rsidP="001A00F2">
            <w:pPr>
              <w:contextualSpacing/>
              <w:jc w:val="right"/>
              <w:rPr>
                <w:rFonts w:ascii="Century Gothic" w:hAnsi="Century Gothic" w:cs="Arial"/>
                <w:color w:val="000000"/>
                <w:sz w:val="18"/>
                <w:szCs w:val="18"/>
                <w:lang w:val="es-ES_tradnl"/>
              </w:rPr>
            </w:pPr>
            <w:r w:rsidRPr="006B7119">
              <w:rPr>
                <w:rFonts w:ascii="Century Gothic" w:hAnsi="Century Gothic"/>
                <w:sz w:val="18"/>
                <w:szCs w:val="18"/>
                <w:lang w:val="es-ES_tradnl"/>
              </w:rPr>
              <w:t>Pequeñas 10-49</w:t>
            </w:r>
          </w:p>
        </w:tc>
        <w:tc>
          <w:tcPr>
            <w:tcW w:w="763" w:type="pct"/>
            <w:tcBorders>
              <w:top w:val="none" w:sz="0" w:space="0" w:color="auto"/>
              <w:left w:val="none" w:sz="0" w:space="0" w:color="auto"/>
              <w:bottom w:val="none" w:sz="0" w:space="0" w:color="auto"/>
              <w:right w:val="none" w:sz="0" w:space="0" w:color="auto"/>
            </w:tcBorders>
            <w:shd w:val="clear" w:color="auto" w:fill="auto"/>
            <w:noWrap/>
          </w:tcPr>
          <w:p w14:paraId="31A9EC22" w14:textId="52EE8345"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149.320</w:t>
            </w:r>
          </w:p>
        </w:tc>
        <w:tc>
          <w:tcPr>
            <w:tcW w:w="993" w:type="pct"/>
            <w:tcBorders>
              <w:top w:val="none" w:sz="0" w:space="0" w:color="auto"/>
              <w:left w:val="none" w:sz="0" w:space="0" w:color="auto"/>
              <w:bottom w:val="none" w:sz="0" w:space="0" w:color="auto"/>
              <w:right w:val="none" w:sz="0" w:space="0" w:color="auto"/>
            </w:tcBorders>
            <w:shd w:val="clear" w:color="auto" w:fill="auto"/>
            <w:noWrap/>
          </w:tcPr>
          <w:p w14:paraId="5ED48FB1" w14:textId="232EC8E2"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11,42%</w:t>
            </w:r>
          </w:p>
        </w:tc>
        <w:tc>
          <w:tcPr>
            <w:tcW w:w="838" w:type="pct"/>
            <w:tcBorders>
              <w:top w:val="none" w:sz="0" w:space="0" w:color="auto"/>
              <w:left w:val="none" w:sz="0" w:space="0" w:color="auto"/>
              <w:bottom w:val="none" w:sz="0" w:space="0" w:color="auto"/>
              <w:right w:val="none" w:sz="0" w:space="0" w:color="auto"/>
            </w:tcBorders>
            <w:shd w:val="clear" w:color="auto" w:fill="auto"/>
            <w:noWrap/>
          </w:tcPr>
          <w:p w14:paraId="1B99741C" w14:textId="54DD3F45"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2.889.575</w:t>
            </w:r>
          </w:p>
        </w:tc>
        <w:tc>
          <w:tcPr>
            <w:tcW w:w="973" w:type="pct"/>
            <w:tcBorders>
              <w:top w:val="none" w:sz="0" w:space="0" w:color="auto"/>
              <w:left w:val="none" w:sz="0" w:space="0" w:color="auto"/>
              <w:bottom w:val="none" w:sz="0" w:space="0" w:color="auto"/>
              <w:right w:val="nil"/>
            </w:tcBorders>
            <w:shd w:val="clear" w:color="auto" w:fill="auto"/>
            <w:noWrap/>
          </w:tcPr>
          <w:p w14:paraId="690824D8" w14:textId="46D12A9C" w:rsidR="001A00F2" w:rsidRPr="006B7119" w:rsidRDefault="001A00F2" w:rsidP="001A00F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35,39%</w:t>
            </w:r>
          </w:p>
        </w:tc>
      </w:tr>
      <w:tr w:rsidR="001A00F2" w:rsidRPr="006B7119" w14:paraId="4ACD651C" w14:textId="77777777" w:rsidTr="00C76194">
        <w:trPr>
          <w:trHeight w:val="250"/>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single" w:sz="6" w:space="0" w:color="000000" w:themeColor="text1"/>
              <w:right w:val="nil"/>
            </w:tcBorders>
            <w:shd w:val="clear" w:color="auto" w:fill="auto"/>
            <w:hideMark/>
          </w:tcPr>
          <w:p w14:paraId="0AF5D486" w14:textId="615C75C4" w:rsidR="001A00F2" w:rsidRPr="006B7119" w:rsidRDefault="001A00F2" w:rsidP="001A00F2">
            <w:pPr>
              <w:contextualSpacing/>
              <w:jc w:val="right"/>
              <w:rPr>
                <w:rFonts w:ascii="Century Gothic" w:hAnsi="Century Gothic" w:cs="Arial"/>
                <w:color w:val="000000"/>
                <w:sz w:val="18"/>
                <w:szCs w:val="18"/>
                <w:lang w:val="es-ES_tradnl"/>
              </w:rPr>
            </w:pPr>
            <w:r w:rsidRPr="006B7119">
              <w:rPr>
                <w:rFonts w:ascii="Century Gothic" w:hAnsi="Century Gothic"/>
                <w:sz w:val="18"/>
                <w:szCs w:val="18"/>
                <w:lang w:val="es-ES_tradnl"/>
              </w:rPr>
              <w:t>Medianas 50-249</w:t>
            </w:r>
          </w:p>
        </w:tc>
        <w:tc>
          <w:tcPr>
            <w:tcW w:w="763" w:type="pct"/>
            <w:tcBorders>
              <w:bottom w:val="single" w:sz="6" w:space="0" w:color="000000" w:themeColor="text1"/>
            </w:tcBorders>
            <w:shd w:val="clear" w:color="auto" w:fill="auto"/>
            <w:noWrap/>
          </w:tcPr>
          <w:p w14:paraId="13E6D573" w14:textId="331ECAE7"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23.402</w:t>
            </w:r>
          </w:p>
        </w:tc>
        <w:tc>
          <w:tcPr>
            <w:tcW w:w="993" w:type="pct"/>
            <w:tcBorders>
              <w:bottom w:val="single" w:sz="6" w:space="0" w:color="000000" w:themeColor="text1"/>
            </w:tcBorders>
            <w:shd w:val="clear" w:color="auto" w:fill="auto"/>
            <w:noWrap/>
          </w:tcPr>
          <w:p w14:paraId="19975C2B" w14:textId="3F5ACC92"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1,79%</w:t>
            </w:r>
          </w:p>
        </w:tc>
        <w:tc>
          <w:tcPr>
            <w:tcW w:w="838" w:type="pct"/>
            <w:tcBorders>
              <w:bottom w:val="single" w:sz="6" w:space="0" w:color="000000" w:themeColor="text1"/>
            </w:tcBorders>
            <w:shd w:val="clear" w:color="auto" w:fill="auto"/>
            <w:noWrap/>
          </w:tcPr>
          <w:p w14:paraId="5EB7AAB9" w14:textId="1966CFEA"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2.296.977</w:t>
            </w:r>
          </w:p>
        </w:tc>
        <w:tc>
          <w:tcPr>
            <w:tcW w:w="973" w:type="pct"/>
            <w:tcBorders>
              <w:bottom w:val="single" w:sz="6" w:space="0" w:color="000000" w:themeColor="text1"/>
              <w:right w:val="nil"/>
            </w:tcBorders>
            <w:shd w:val="clear" w:color="auto" w:fill="auto"/>
            <w:noWrap/>
          </w:tcPr>
          <w:p w14:paraId="471D5186" w14:textId="1842F371" w:rsidR="001A00F2" w:rsidRPr="006B7119" w:rsidRDefault="001A00F2" w:rsidP="001A00F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_tradnl"/>
              </w:rPr>
            </w:pPr>
            <w:r w:rsidRPr="006B7119">
              <w:rPr>
                <w:rFonts w:ascii="Century Gothic" w:hAnsi="Century Gothic"/>
                <w:sz w:val="18"/>
                <w:szCs w:val="18"/>
                <w:lang w:val="es-ES_tradnl"/>
              </w:rPr>
              <w:t>28,13%</w:t>
            </w:r>
          </w:p>
        </w:tc>
      </w:tr>
      <w:tr w:rsidR="001A00F2" w:rsidRPr="002D17B9" w14:paraId="32128B4E" w14:textId="77777777" w:rsidTr="0039606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6" w:space="0" w:color="000000" w:themeColor="text1"/>
              <w:left w:val="none" w:sz="0" w:space="0" w:color="auto"/>
              <w:bottom w:val="none" w:sz="0" w:space="0" w:color="auto"/>
              <w:right w:val="nil"/>
            </w:tcBorders>
            <w:shd w:val="clear" w:color="auto" w:fill="auto"/>
          </w:tcPr>
          <w:p w14:paraId="44ACBE6F" w14:textId="60086113" w:rsidR="001A00F2" w:rsidRPr="006B7119" w:rsidRDefault="001A00F2" w:rsidP="008B56F3">
            <w:pPr>
              <w:contextualSpacing/>
              <w:jc w:val="left"/>
              <w:rPr>
                <w:rFonts w:ascii="Century Gothic" w:hAnsi="Century Gothic" w:cs="Arial"/>
                <w:color w:val="000000"/>
                <w:sz w:val="18"/>
                <w:szCs w:val="18"/>
                <w:lang w:val="es-ES_tradnl"/>
              </w:rPr>
            </w:pPr>
            <w:r w:rsidRPr="006B7119">
              <w:rPr>
                <w:rFonts w:ascii="Century Gothic" w:hAnsi="Century Gothic" w:cs="Arial"/>
                <w:i/>
                <w:sz w:val="18"/>
                <w:szCs w:val="18"/>
                <w:lang w:val="es-ES_tradnl" w:eastAsia="en-GB"/>
              </w:rPr>
              <w:t>Fuente: Ministerio de  Industria</w:t>
            </w:r>
            <w:r w:rsidR="008B56F3" w:rsidRPr="006B7119">
              <w:rPr>
                <w:rFonts w:ascii="Century Gothic" w:hAnsi="Century Gothic" w:cs="Arial"/>
                <w:i/>
                <w:sz w:val="18"/>
                <w:szCs w:val="18"/>
                <w:lang w:val="es-ES_tradnl" w:eastAsia="en-GB"/>
              </w:rPr>
              <w:t>, Comercio</w:t>
            </w:r>
            <w:r w:rsidRPr="006B7119">
              <w:rPr>
                <w:rFonts w:ascii="Century Gothic" w:hAnsi="Century Gothic" w:cs="Arial"/>
                <w:i/>
                <w:sz w:val="18"/>
                <w:szCs w:val="18"/>
                <w:lang w:val="es-ES_tradnl" w:eastAsia="en-GB"/>
              </w:rPr>
              <w:t xml:space="preserve"> y</w:t>
            </w:r>
            <w:r w:rsidR="008B56F3" w:rsidRPr="006B7119">
              <w:rPr>
                <w:rFonts w:ascii="Century Gothic" w:hAnsi="Century Gothic" w:cs="Arial"/>
                <w:i/>
                <w:sz w:val="18"/>
                <w:szCs w:val="18"/>
                <w:lang w:val="es-ES_tradnl" w:eastAsia="en-GB"/>
              </w:rPr>
              <w:t xml:space="preserve"> Turismo</w:t>
            </w:r>
            <w:r w:rsidRPr="006B7119">
              <w:rPr>
                <w:rFonts w:ascii="Century Gothic" w:hAnsi="Century Gothic" w:cs="Arial"/>
                <w:i/>
                <w:sz w:val="18"/>
                <w:szCs w:val="18"/>
                <w:lang w:val="es-ES_tradnl" w:eastAsia="en-GB"/>
              </w:rPr>
              <w:t>, Cifras PYME</w:t>
            </w:r>
            <w:r w:rsidR="00B31B9E" w:rsidRPr="006B7119">
              <w:rPr>
                <w:rFonts w:ascii="Century Gothic" w:hAnsi="Century Gothic" w:cs="Arial"/>
                <w:i/>
                <w:sz w:val="18"/>
                <w:szCs w:val="18"/>
                <w:lang w:val="es-ES_tradnl" w:eastAsia="en-GB"/>
              </w:rPr>
              <w:t xml:space="preserve"> (datos a </w:t>
            </w:r>
            <w:r w:rsidR="009200E1" w:rsidRPr="006B7119">
              <w:rPr>
                <w:rFonts w:ascii="Century Gothic" w:hAnsi="Century Gothic" w:cs="Arial"/>
                <w:i/>
                <w:sz w:val="18"/>
                <w:szCs w:val="18"/>
                <w:lang w:val="es-ES_tradnl" w:eastAsia="en-GB"/>
              </w:rPr>
              <w:t xml:space="preserve">1 </w:t>
            </w:r>
            <w:r w:rsidR="00CF48DB" w:rsidRPr="006B7119">
              <w:rPr>
                <w:rFonts w:ascii="Century Gothic" w:hAnsi="Century Gothic" w:cs="Arial"/>
                <w:i/>
                <w:sz w:val="18"/>
                <w:szCs w:val="18"/>
                <w:lang w:val="es-ES_tradnl" w:eastAsia="en-GB"/>
              </w:rPr>
              <w:t xml:space="preserve">de </w:t>
            </w:r>
            <w:r w:rsidR="009200E1" w:rsidRPr="006B7119">
              <w:rPr>
                <w:rFonts w:ascii="Century Gothic" w:hAnsi="Century Gothic" w:cs="Arial"/>
                <w:i/>
                <w:sz w:val="18"/>
                <w:szCs w:val="18"/>
                <w:lang w:val="es-ES_tradnl" w:eastAsia="en-GB"/>
              </w:rPr>
              <w:t>febrero</w:t>
            </w:r>
            <w:r w:rsidR="00CF48DB" w:rsidRPr="006B7119">
              <w:rPr>
                <w:rFonts w:ascii="Century Gothic" w:hAnsi="Century Gothic" w:cs="Arial"/>
                <w:i/>
                <w:sz w:val="18"/>
                <w:szCs w:val="18"/>
                <w:lang w:val="es-ES_tradnl" w:eastAsia="en-GB"/>
              </w:rPr>
              <w:t xml:space="preserve"> de 2018</w:t>
            </w:r>
            <w:r w:rsidR="00B31B9E" w:rsidRPr="006B7119">
              <w:rPr>
                <w:rFonts w:ascii="Century Gothic" w:hAnsi="Century Gothic" w:cs="Arial"/>
                <w:i/>
                <w:sz w:val="18"/>
                <w:szCs w:val="18"/>
                <w:lang w:val="es-ES_tradnl" w:eastAsia="en-GB"/>
              </w:rPr>
              <w:t>)</w:t>
            </w:r>
          </w:p>
        </w:tc>
      </w:tr>
    </w:tbl>
    <w:p w14:paraId="158766E9" w14:textId="77777777" w:rsidR="00CC39AE" w:rsidRDefault="00CC39AE" w:rsidP="00F7012A">
      <w:pPr>
        <w:pStyle w:val="Body"/>
        <w:spacing w:after="0"/>
        <w:rPr>
          <w:rFonts w:cs="Arial"/>
        </w:rPr>
      </w:pPr>
    </w:p>
    <w:p w14:paraId="0683A528" w14:textId="39C06884" w:rsidR="00074AA8" w:rsidRDefault="006F2BFD" w:rsidP="005856E3">
      <w:pPr>
        <w:pStyle w:val="Body"/>
        <w:rPr>
          <w:rFonts w:cs="Arial"/>
        </w:rPr>
      </w:pPr>
      <w:r>
        <w:rPr>
          <w:rFonts w:cs="Arial"/>
        </w:rPr>
        <w:t>Por otro lado, h</w:t>
      </w:r>
      <w:r w:rsidR="003A3E6A">
        <w:rPr>
          <w:rFonts w:cs="Arial"/>
        </w:rPr>
        <w:t>ay que tener en cuenta que</w:t>
      </w:r>
      <w:r w:rsidR="00D14A34">
        <w:rPr>
          <w:rFonts w:cs="Arial"/>
        </w:rPr>
        <w:t xml:space="preserve"> </w:t>
      </w:r>
      <w:r w:rsidR="009418ED">
        <w:rPr>
          <w:rFonts w:cs="Arial"/>
        </w:rPr>
        <w:t>el volumen medio de ingresos de las empresas españolas es bajo. El 97,7% de las empresas tienen un volumen de ingresos inferior a los 2 millones de euros, fundamentalmente porque el tejido empresarial español lo forman principalmente las microempresas. El 99% de las microempresas y el 70% de las pequeñas empresas facturan menos de 2 millones de euros al año. Sólo el 7% de las empresas entre 50 y 249 asalariados consiguen facturar más de 50 millones de euros (</w:t>
      </w:r>
      <w:r w:rsidR="009418ED" w:rsidRPr="00F7012A">
        <w:rPr>
          <w:rFonts w:cs="Arial"/>
          <w:highlight w:val="yellow"/>
        </w:rPr>
        <w:t xml:space="preserve">tabla </w:t>
      </w:r>
      <w:r w:rsidR="00E40DE4">
        <w:rPr>
          <w:rFonts w:cs="Arial"/>
        </w:rPr>
        <w:t>3</w:t>
      </w:r>
      <w:r w:rsidR="009418ED">
        <w:rPr>
          <w:rFonts w:cs="Arial"/>
        </w:rPr>
        <w:t>).</w:t>
      </w:r>
      <w:r w:rsidR="00571376">
        <w:rPr>
          <w:rFonts w:cs="Arial"/>
        </w:rPr>
        <w:t xml:space="preserve"> </w:t>
      </w:r>
    </w:p>
    <w:p w14:paraId="03639EF7" w14:textId="1ADC6519" w:rsidR="002A13F2" w:rsidRPr="008B6C6C" w:rsidRDefault="002A13F2" w:rsidP="002A13F2">
      <w:pPr>
        <w:pStyle w:val="Descripcin1"/>
        <w:rPr>
          <w:b w:val="0"/>
        </w:rPr>
      </w:pPr>
      <w:bookmarkStart w:id="10" w:name="_Toc526515593"/>
      <w:r w:rsidRPr="008B6C6C">
        <w:rPr>
          <w:b w:val="0"/>
        </w:rPr>
        <w:lastRenderedPageBreak/>
        <w:t xml:space="preserve">Tabla </w:t>
      </w:r>
      <w:r w:rsidRPr="008B6C6C">
        <w:rPr>
          <w:b w:val="0"/>
        </w:rPr>
        <w:fldChar w:fldCharType="begin"/>
      </w:r>
      <w:r w:rsidRPr="008B6C6C">
        <w:rPr>
          <w:b w:val="0"/>
        </w:rPr>
        <w:instrText xml:space="preserve"> SEQ Tabla \* ARABIC </w:instrText>
      </w:r>
      <w:r w:rsidRPr="008B6C6C">
        <w:rPr>
          <w:b w:val="0"/>
        </w:rPr>
        <w:fldChar w:fldCharType="separate"/>
      </w:r>
      <w:r w:rsidR="00764C39">
        <w:rPr>
          <w:b w:val="0"/>
          <w:noProof/>
        </w:rPr>
        <w:t>3</w:t>
      </w:r>
      <w:r w:rsidRPr="008B6C6C">
        <w:rPr>
          <w:b w:val="0"/>
        </w:rPr>
        <w:fldChar w:fldCharType="end"/>
      </w:r>
      <w:r w:rsidRPr="008B6C6C">
        <w:rPr>
          <w:b w:val="0"/>
        </w:rPr>
        <w:t>. Volumen de ingresos (</w:t>
      </w:r>
      <w:r w:rsidR="00273665">
        <w:rPr>
          <w:b w:val="0"/>
        </w:rPr>
        <w:t>mill.</w:t>
      </w:r>
      <w:r w:rsidRPr="008B6C6C">
        <w:rPr>
          <w:b w:val="0"/>
        </w:rPr>
        <w:t xml:space="preserve"> €) por tamaño de empresa, </w:t>
      </w:r>
      <w:r w:rsidR="00710041">
        <w:rPr>
          <w:b w:val="0"/>
        </w:rPr>
        <w:t>2016</w:t>
      </w:r>
      <w:bookmarkEnd w:id="10"/>
    </w:p>
    <w:tbl>
      <w:tblPr>
        <w:tblStyle w:val="Listamedia2"/>
        <w:tblW w:w="4992" w:type="pct"/>
        <w:tblLayout w:type="fixed"/>
        <w:tblCellMar>
          <w:top w:w="108" w:type="dxa"/>
          <w:bottom w:w="108" w:type="dxa"/>
        </w:tblCellMar>
        <w:tblLook w:val="04A0" w:firstRow="1" w:lastRow="0" w:firstColumn="1" w:lastColumn="0" w:noHBand="0" w:noVBand="1"/>
      </w:tblPr>
      <w:tblGrid>
        <w:gridCol w:w="2414"/>
        <w:gridCol w:w="1357"/>
        <w:gridCol w:w="1056"/>
        <w:gridCol w:w="1509"/>
        <w:gridCol w:w="1515"/>
        <w:gridCol w:w="1186"/>
      </w:tblGrid>
      <w:tr w:rsidR="005F7DA0" w:rsidRPr="00273665" w14:paraId="52FABB05" w14:textId="77777777" w:rsidTr="00413CE2">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1336"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1FD61C62" w14:textId="77777777" w:rsidR="00CC39AE" w:rsidRPr="00DE3FF5" w:rsidRDefault="00CC39AE" w:rsidP="009A50A8">
            <w:pPr>
              <w:spacing w:afterLines="240" w:after="576"/>
              <w:contextualSpacing/>
              <w:jc w:val="center"/>
              <w:rPr>
                <w:rFonts w:ascii="Century Gothic" w:hAnsi="Century Gothic" w:cs="Arial"/>
                <w:b/>
                <w:bCs/>
                <w:color w:val="333333"/>
                <w:sz w:val="18"/>
                <w:szCs w:val="18"/>
                <w:lang w:val="es-ES" w:eastAsia="en-GB"/>
              </w:rPr>
            </w:pPr>
          </w:p>
        </w:tc>
        <w:tc>
          <w:tcPr>
            <w:tcW w:w="751"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740BAD58" w14:textId="77777777" w:rsidR="00CC39AE" w:rsidRPr="00DE3FF5" w:rsidRDefault="00CC39AE" w:rsidP="009A50A8">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8"/>
                <w:szCs w:val="18"/>
                <w:lang w:val="es-ES" w:eastAsia="en-GB"/>
              </w:rPr>
            </w:pPr>
            <w:r w:rsidRPr="00DE3FF5">
              <w:rPr>
                <w:rFonts w:ascii="Century Gothic" w:hAnsi="Century Gothic" w:cs="Arial"/>
                <w:b/>
                <w:bCs/>
                <w:color w:val="333333"/>
                <w:sz w:val="18"/>
                <w:szCs w:val="18"/>
                <w:lang w:val="es-ES" w:eastAsia="en-GB"/>
              </w:rPr>
              <w:t>Total</w:t>
            </w:r>
          </w:p>
        </w:tc>
        <w:tc>
          <w:tcPr>
            <w:tcW w:w="584"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7F060FB0" w14:textId="77777777" w:rsidR="00CC39AE" w:rsidRPr="00DE3FF5" w:rsidRDefault="00CC39AE" w:rsidP="009A50A8">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8"/>
                <w:szCs w:val="18"/>
                <w:lang w:val="es-ES" w:eastAsia="en-GB"/>
              </w:rPr>
            </w:pPr>
            <w:r w:rsidRPr="00DE3FF5">
              <w:rPr>
                <w:rFonts w:ascii="Century Gothic" w:hAnsi="Century Gothic" w:cs="Arial"/>
                <w:b/>
                <w:bCs/>
                <w:color w:val="333333"/>
                <w:sz w:val="18"/>
                <w:szCs w:val="18"/>
                <w:lang w:val="es-ES" w:eastAsia="en-GB"/>
              </w:rPr>
              <w:t>&lt;2</w:t>
            </w:r>
            <w:r>
              <w:rPr>
                <w:rFonts w:ascii="Century Gothic" w:hAnsi="Century Gothic" w:cs="Arial"/>
                <w:b/>
                <w:bCs/>
                <w:color w:val="333333"/>
                <w:sz w:val="18"/>
                <w:szCs w:val="18"/>
                <w:lang w:val="es-ES" w:eastAsia="en-GB"/>
              </w:rPr>
              <w:t xml:space="preserve"> mill €</w:t>
            </w:r>
          </w:p>
        </w:tc>
        <w:tc>
          <w:tcPr>
            <w:tcW w:w="835"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2694C38E" w14:textId="77777777" w:rsidR="00CC39AE" w:rsidRPr="00DE3FF5" w:rsidRDefault="00CC39AE" w:rsidP="009A50A8">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8"/>
                <w:szCs w:val="18"/>
                <w:lang w:val="es-ES" w:eastAsia="en-GB"/>
              </w:rPr>
            </w:pPr>
            <w:r w:rsidRPr="00DE3FF5">
              <w:rPr>
                <w:rFonts w:ascii="Century Gothic" w:hAnsi="Century Gothic" w:cs="Arial"/>
                <w:b/>
                <w:bCs/>
                <w:color w:val="333333"/>
                <w:sz w:val="18"/>
                <w:szCs w:val="18"/>
                <w:lang w:val="es-ES" w:eastAsia="en-GB"/>
              </w:rPr>
              <w:t>2-10</w:t>
            </w:r>
            <w:r>
              <w:rPr>
                <w:rFonts w:ascii="Century Gothic" w:hAnsi="Century Gothic" w:cs="Arial"/>
                <w:b/>
                <w:bCs/>
                <w:color w:val="333333"/>
                <w:sz w:val="18"/>
                <w:szCs w:val="18"/>
                <w:lang w:val="es-ES" w:eastAsia="en-GB"/>
              </w:rPr>
              <w:t xml:space="preserve"> mill €</w:t>
            </w:r>
          </w:p>
        </w:tc>
        <w:tc>
          <w:tcPr>
            <w:tcW w:w="838"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341EF8BA" w14:textId="77777777" w:rsidR="00CC39AE" w:rsidRPr="00DE3FF5" w:rsidRDefault="00CC39AE" w:rsidP="009A50A8">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8"/>
                <w:szCs w:val="18"/>
                <w:lang w:val="es-ES" w:eastAsia="en-GB"/>
              </w:rPr>
            </w:pPr>
            <w:r w:rsidRPr="00DE3FF5">
              <w:rPr>
                <w:rFonts w:ascii="Century Gothic" w:hAnsi="Century Gothic" w:cs="Arial"/>
                <w:b/>
                <w:bCs/>
                <w:color w:val="333333"/>
                <w:sz w:val="18"/>
                <w:szCs w:val="18"/>
                <w:lang w:val="es-ES" w:eastAsia="en-GB"/>
              </w:rPr>
              <w:t>10-50</w:t>
            </w:r>
            <w:r>
              <w:rPr>
                <w:rFonts w:ascii="Century Gothic" w:hAnsi="Century Gothic" w:cs="Arial"/>
                <w:b/>
                <w:bCs/>
                <w:color w:val="333333"/>
                <w:sz w:val="18"/>
                <w:szCs w:val="18"/>
                <w:lang w:val="es-ES" w:eastAsia="en-GB"/>
              </w:rPr>
              <w:t xml:space="preserve"> mill €</w:t>
            </w:r>
          </w:p>
        </w:tc>
        <w:tc>
          <w:tcPr>
            <w:tcW w:w="656"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2338BEC1" w14:textId="77777777" w:rsidR="00CC39AE" w:rsidRPr="00DE3FF5" w:rsidRDefault="00CC39AE" w:rsidP="009A50A8">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8"/>
                <w:szCs w:val="18"/>
                <w:lang w:val="es-ES" w:eastAsia="en-GB"/>
              </w:rPr>
            </w:pPr>
            <w:r>
              <w:rPr>
                <w:rFonts w:ascii="Century Gothic" w:hAnsi="Century Gothic" w:cs="Arial"/>
                <w:b/>
                <w:bCs/>
                <w:color w:val="333333"/>
                <w:sz w:val="18"/>
                <w:szCs w:val="18"/>
                <w:lang w:val="es-ES" w:eastAsia="en-GB"/>
              </w:rPr>
              <w:t>+</w:t>
            </w:r>
            <w:r w:rsidRPr="00DE3FF5">
              <w:rPr>
                <w:rFonts w:ascii="Century Gothic" w:hAnsi="Century Gothic" w:cs="Arial"/>
                <w:b/>
                <w:bCs/>
                <w:color w:val="333333"/>
                <w:sz w:val="18"/>
                <w:szCs w:val="18"/>
                <w:lang w:val="es-ES" w:eastAsia="en-GB"/>
              </w:rPr>
              <w:t>50</w:t>
            </w:r>
            <w:r>
              <w:rPr>
                <w:rFonts w:ascii="Century Gothic" w:hAnsi="Century Gothic" w:cs="Arial"/>
                <w:b/>
                <w:bCs/>
                <w:color w:val="333333"/>
                <w:sz w:val="18"/>
                <w:szCs w:val="18"/>
                <w:lang w:val="es-ES" w:eastAsia="en-GB"/>
              </w:rPr>
              <w:t xml:space="preserve"> mill €</w:t>
            </w:r>
          </w:p>
        </w:tc>
      </w:tr>
      <w:tr w:rsidR="00CF48DB" w:rsidRPr="00273665" w14:paraId="5E3D632B" w14:textId="77777777" w:rsidTr="00CF48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36" w:type="pct"/>
            <w:tcBorders>
              <w:top w:val="single" w:sz="6" w:space="0" w:color="000000" w:themeColor="text1"/>
              <w:left w:val="none" w:sz="0" w:space="0" w:color="auto"/>
              <w:bottom w:val="none" w:sz="0" w:space="0" w:color="auto"/>
              <w:right w:val="nil"/>
            </w:tcBorders>
            <w:shd w:val="clear" w:color="auto" w:fill="auto"/>
            <w:vAlign w:val="center"/>
            <w:hideMark/>
          </w:tcPr>
          <w:p w14:paraId="77E57E89" w14:textId="77777777" w:rsidR="00CF48DB" w:rsidRPr="00DE3FF5" w:rsidRDefault="00CF48DB" w:rsidP="006C4B6B">
            <w:pPr>
              <w:spacing w:afterLines="240" w:after="576"/>
              <w:contextualSpacing/>
              <w:jc w:val="center"/>
              <w:rPr>
                <w:rFonts w:ascii="Century Gothic" w:hAnsi="Century Gothic" w:cs="Arial"/>
                <w:b/>
                <w:bCs/>
                <w:color w:val="333333"/>
                <w:sz w:val="18"/>
                <w:szCs w:val="18"/>
                <w:lang w:val="es-ES" w:eastAsia="en-GB"/>
              </w:rPr>
            </w:pPr>
            <w:r w:rsidRPr="00DE3FF5">
              <w:rPr>
                <w:rFonts w:ascii="Century Gothic" w:hAnsi="Century Gothic" w:cs="Arial"/>
                <w:b/>
                <w:bCs/>
                <w:color w:val="333333"/>
                <w:sz w:val="18"/>
                <w:szCs w:val="18"/>
                <w:lang w:val="es-ES" w:eastAsia="en-GB"/>
              </w:rPr>
              <w:t>Total empresas</w:t>
            </w:r>
          </w:p>
        </w:tc>
        <w:tc>
          <w:tcPr>
            <w:tcW w:w="751" w:type="pct"/>
            <w:tcBorders>
              <w:top w:val="single" w:sz="6" w:space="0" w:color="000000" w:themeColor="text1"/>
              <w:left w:val="none" w:sz="0" w:space="0" w:color="auto"/>
              <w:bottom w:val="none" w:sz="0" w:space="0" w:color="auto"/>
              <w:right w:val="none" w:sz="0" w:space="0" w:color="auto"/>
            </w:tcBorders>
            <w:shd w:val="clear" w:color="auto" w:fill="auto"/>
            <w:noWrap/>
            <w:vAlign w:val="center"/>
            <w:hideMark/>
          </w:tcPr>
          <w:p w14:paraId="3A34582A" w14:textId="30B78A90" w:rsidR="00CF48DB" w:rsidRPr="00DE3FF5"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szCs w:val="18"/>
                <w:lang w:val="es-ES" w:eastAsia="en-GB"/>
              </w:rPr>
            </w:pPr>
            <w:r w:rsidRPr="00273665">
              <w:rPr>
                <w:rFonts w:ascii="Century Gothic" w:hAnsi="Century Gothic" w:cs="Arial"/>
                <w:b/>
                <w:sz w:val="18"/>
                <w:szCs w:val="18"/>
                <w:lang w:val="es-ES" w:eastAsia="en-GB"/>
              </w:rPr>
              <w:t>100,0%</w:t>
            </w:r>
          </w:p>
        </w:tc>
        <w:tc>
          <w:tcPr>
            <w:tcW w:w="584" w:type="pct"/>
            <w:tcBorders>
              <w:top w:val="single" w:sz="6" w:space="0" w:color="000000" w:themeColor="text1"/>
              <w:left w:val="none" w:sz="0" w:space="0" w:color="auto"/>
              <w:bottom w:val="none" w:sz="0" w:space="0" w:color="auto"/>
              <w:right w:val="none" w:sz="0" w:space="0" w:color="auto"/>
            </w:tcBorders>
            <w:shd w:val="clear" w:color="auto" w:fill="auto"/>
            <w:noWrap/>
            <w:vAlign w:val="center"/>
            <w:hideMark/>
          </w:tcPr>
          <w:p w14:paraId="0527099F" w14:textId="15AD3000"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273665">
              <w:rPr>
                <w:rFonts w:ascii="Century Gothic" w:hAnsi="Century Gothic" w:cs="Arial"/>
                <w:sz w:val="18"/>
                <w:szCs w:val="18"/>
                <w:lang w:val="es-ES"/>
              </w:rPr>
              <w:t>97,58%</w:t>
            </w:r>
          </w:p>
        </w:tc>
        <w:tc>
          <w:tcPr>
            <w:tcW w:w="835" w:type="pct"/>
            <w:tcBorders>
              <w:top w:val="single" w:sz="6" w:space="0" w:color="000000" w:themeColor="text1"/>
              <w:left w:val="none" w:sz="0" w:space="0" w:color="auto"/>
              <w:bottom w:val="none" w:sz="0" w:space="0" w:color="auto"/>
              <w:right w:val="none" w:sz="0" w:space="0" w:color="auto"/>
            </w:tcBorders>
            <w:shd w:val="clear" w:color="auto" w:fill="auto"/>
            <w:noWrap/>
            <w:vAlign w:val="center"/>
            <w:hideMark/>
          </w:tcPr>
          <w:p w14:paraId="45A8BB61" w14:textId="69F33E76"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273665">
              <w:rPr>
                <w:rFonts w:ascii="Century Gothic" w:hAnsi="Century Gothic" w:cs="Arial"/>
                <w:sz w:val="18"/>
                <w:szCs w:val="18"/>
                <w:lang w:val="es-ES"/>
              </w:rPr>
              <w:t>1,84%</w:t>
            </w:r>
          </w:p>
        </w:tc>
        <w:tc>
          <w:tcPr>
            <w:tcW w:w="838" w:type="pct"/>
            <w:tcBorders>
              <w:top w:val="single" w:sz="6" w:space="0" w:color="000000" w:themeColor="text1"/>
              <w:left w:val="none" w:sz="0" w:space="0" w:color="auto"/>
              <w:bottom w:val="none" w:sz="0" w:space="0" w:color="auto"/>
              <w:right w:val="none" w:sz="0" w:space="0" w:color="auto"/>
            </w:tcBorders>
            <w:shd w:val="clear" w:color="auto" w:fill="auto"/>
            <w:noWrap/>
            <w:vAlign w:val="center"/>
            <w:hideMark/>
          </w:tcPr>
          <w:p w14:paraId="75294EED" w14:textId="52F82BD4"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273665">
              <w:rPr>
                <w:rFonts w:ascii="Century Gothic" w:hAnsi="Century Gothic" w:cs="Arial"/>
                <w:sz w:val="18"/>
                <w:szCs w:val="18"/>
                <w:lang w:val="es-ES"/>
              </w:rPr>
              <w:t>0,46%</w:t>
            </w:r>
          </w:p>
        </w:tc>
        <w:tc>
          <w:tcPr>
            <w:tcW w:w="656" w:type="pct"/>
            <w:tcBorders>
              <w:top w:val="single" w:sz="6" w:space="0" w:color="000000" w:themeColor="text1"/>
              <w:left w:val="none" w:sz="0" w:space="0" w:color="auto"/>
              <w:bottom w:val="none" w:sz="0" w:space="0" w:color="auto"/>
              <w:right w:val="nil"/>
            </w:tcBorders>
            <w:shd w:val="clear" w:color="auto" w:fill="auto"/>
            <w:noWrap/>
            <w:vAlign w:val="center"/>
            <w:hideMark/>
          </w:tcPr>
          <w:p w14:paraId="4CC5E05E" w14:textId="01D17D1B"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273665">
              <w:rPr>
                <w:rFonts w:ascii="Century Gothic" w:hAnsi="Century Gothic" w:cs="Arial"/>
                <w:sz w:val="18"/>
                <w:szCs w:val="18"/>
                <w:lang w:val="es-ES"/>
              </w:rPr>
              <w:t>0,13%</w:t>
            </w:r>
          </w:p>
        </w:tc>
      </w:tr>
      <w:tr w:rsidR="00CF48DB" w:rsidRPr="00DE3FF5" w14:paraId="1DC0E40C" w14:textId="77777777" w:rsidTr="00CF48DB">
        <w:trPr>
          <w:trHeight w:val="250"/>
        </w:trPr>
        <w:tc>
          <w:tcPr>
            <w:cnfStyle w:val="001000000000" w:firstRow="0" w:lastRow="0" w:firstColumn="1" w:lastColumn="0" w:oddVBand="0" w:evenVBand="0" w:oddHBand="0" w:evenHBand="0" w:firstRowFirstColumn="0" w:firstRowLastColumn="0" w:lastRowFirstColumn="0" w:lastRowLastColumn="0"/>
            <w:tcW w:w="1336" w:type="pct"/>
            <w:tcBorders>
              <w:left w:val="none" w:sz="0" w:space="0" w:color="auto"/>
              <w:bottom w:val="none" w:sz="0" w:space="0" w:color="auto"/>
              <w:right w:val="nil"/>
            </w:tcBorders>
            <w:shd w:val="clear" w:color="auto" w:fill="auto"/>
            <w:vAlign w:val="center"/>
            <w:hideMark/>
          </w:tcPr>
          <w:p w14:paraId="74124D79" w14:textId="77777777" w:rsidR="00CF48DB" w:rsidRPr="00413CE2" w:rsidRDefault="00CF48DB" w:rsidP="006C4B6B">
            <w:pPr>
              <w:spacing w:afterLines="240" w:after="576"/>
              <w:contextualSpacing/>
              <w:jc w:val="center"/>
              <w:rPr>
                <w:rFonts w:ascii="Century Gothic" w:hAnsi="Century Gothic" w:cs="Arial"/>
                <w:sz w:val="18"/>
                <w:szCs w:val="18"/>
                <w:lang w:val="es-ES" w:eastAsia="en-GB"/>
              </w:rPr>
            </w:pPr>
            <w:r w:rsidRPr="00413CE2">
              <w:rPr>
                <w:rFonts w:ascii="Century Gothic" w:hAnsi="Century Gothic" w:cs="Arial"/>
                <w:sz w:val="18"/>
                <w:szCs w:val="18"/>
                <w:lang w:val="es-ES" w:eastAsia="en-GB"/>
              </w:rPr>
              <w:t>Sin asalariados</w:t>
            </w:r>
          </w:p>
        </w:tc>
        <w:tc>
          <w:tcPr>
            <w:tcW w:w="751" w:type="pct"/>
            <w:shd w:val="clear" w:color="auto" w:fill="auto"/>
            <w:noWrap/>
            <w:hideMark/>
          </w:tcPr>
          <w:p w14:paraId="7D330786" w14:textId="46F0D37F" w:rsidR="00CF48DB" w:rsidRPr="00DE3FF5"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273665">
              <w:rPr>
                <w:rFonts w:ascii="Century Gothic" w:hAnsi="Century Gothic" w:cs="Arial"/>
                <w:b/>
                <w:sz w:val="18"/>
                <w:szCs w:val="18"/>
                <w:lang w:val="es-ES" w:eastAsia="en-GB"/>
              </w:rPr>
              <w:t>100,0%</w:t>
            </w:r>
          </w:p>
        </w:tc>
        <w:tc>
          <w:tcPr>
            <w:tcW w:w="584" w:type="pct"/>
            <w:shd w:val="clear" w:color="auto" w:fill="auto"/>
            <w:noWrap/>
            <w:vAlign w:val="center"/>
            <w:hideMark/>
          </w:tcPr>
          <w:p w14:paraId="29B4A787" w14:textId="430C09A9"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sidRPr="00273665">
              <w:rPr>
                <w:rFonts w:ascii="Century Gothic" w:hAnsi="Century Gothic" w:cs="Arial"/>
                <w:sz w:val="18"/>
                <w:szCs w:val="18"/>
                <w:lang w:val="es-ES"/>
              </w:rPr>
              <w:t>99,</w:t>
            </w:r>
            <w:r>
              <w:rPr>
                <w:rFonts w:ascii="Century Gothic" w:hAnsi="Century Gothic" w:cs="Arial"/>
                <w:sz w:val="18"/>
                <w:szCs w:val="18"/>
              </w:rPr>
              <w:t>82%</w:t>
            </w:r>
          </w:p>
        </w:tc>
        <w:tc>
          <w:tcPr>
            <w:tcW w:w="835" w:type="pct"/>
            <w:shd w:val="clear" w:color="auto" w:fill="auto"/>
            <w:noWrap/>
            <w:vAlign w:val="center"/>
            <w:hideMark/>
          </w:tcPr>
          <w:p w14:paraId="128BA5A9" w14:textId="50D0DC5C"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0,14%</w:t>
            </w:r>
          </w:p>
        </w:tc>
        <w:tc>
          <w:tcPr>
            <w:tcW w:w="838" w:type="pct"/>
            <w:shd w:val="clear" w:color="auto" w:fill="auto"/>
            <w:noWrap/>
            <w:vAlign w:val="center"/>
            <w:hideMark/>
          </w:tcPr>
          <w:p w14:paraId="125F000A" w14:textId="402AC5FD"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0,03%</w:t>
            </w:r>
          </w:p>
        </w:tc>
        <w:tc>
          <w:tcPr>
            <w:tcW w:w="656" w:type="pct"/>
            <w:tcBorders>
              <w:right w:val="nil"/>
            </w:tcBorders>
            <w:shd w:val="clear" w:color="auto" w:fill="auto"/>
            <w:noWrap/>
            <w:vAlign w:val="center"/>
            <w:hideMark/>
          </w:tcPr>
          <w:p w14:paraId="61914996" w14:textId="1E8FC48B"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0,01%</w:t>
            </w:r>
          </w:p>
        </w:tc>
      </w:tr>
      <w:tr w:rsidR="00CF48DB" w:rsidRPr="00DE3FF5" w14:paraId="06613B98" w14:textId="77777777" w:rsidTr="00CF48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36" w:type="pct"/>
            <w:tcBorders>
              <w:top w:val="none" w:sz="0" w:space="0" w:color="auto"/>
              <w:left w:val="none" w:sz="0" w:space="0" w:color="auto"/>
              <w:bottom w:val="none" w:sz="0" w:space="0" w:color="auto"/>
              <w:right w:val="nil"/>
            </w:tcBorders>
            <w:shd w:val="clear" w:color="auto" w:fill="auto"/>
            <w:vAlign w:val="center"/>
            <w:hideMark/>
          </w:tcPr>
          <w:p w14:paraId="0BF97110" w14:textId="77777777" w:rsidR="00CF48DB" w:rsidRPr="00413CE2" w:rsidRDefault="00CF48DB" w:rsidP="006C4B6B">
            <w:pPr>
              <w:spacing w:afterLines="240" w:after="576"/>
              <w:contextualSpacing/>
              <w:jc w:val="center"/>
              <w:rPr>
                <w:rFonts w:ascii="Century Gothic" w:hAnsi="Century Gothic" w:cs="Arial"/>
                <w:sz w:val="18"/>
                <w:szCs w:val="18"/>
                <w:lang w:val="es-ES" w:eastAsia="en-GB"/>
              </w:rPr>
            </w:pPr>
            <w:r w:rsidRPr="00413CE2">
              <w:rPr>
                <w:rFonts w:ascii="Century Gothic" w:hAnsi="Century Gothic" w:cs="Arial"/>
                <w:sz w:val="18"/>
                <w:szCs w:val="18"/>
                <w:lang w:val="es-ES" w:eastAsia="en-GB"/>
              </w:rPr>
              <w:t>1 – 9 asalariados</w:t>
            </w:r>
          </w:p>
        </w:tc>
        <w:tc>
          <w:tcPr>
            <w:tcW w:w="751" w:type="pct"/>
            <w:tcBorders>
              <w:top w:val="none" w:sz="0" w:space="0" w:color="auto"/>
              <w:left w:val="none" w:sz="0" w:space="0" w:color="auto"/>
              <w:bottom w:val="none" w:sz="0" w:space="0" w:color="auto"/>
              <w:right w:val="none" w:sz="0" w:space="0" w:color="auto"/>
            </w:tcBorders>
            <w:shd w:val="clear" w:color="auto" w:fill="auto"/>
            <w:noWrap/>
            <w:hideMark/>
          </w:tcPr>
          <w:p w14:paraId="7B7317F9" w14:textId="257B1F64" w:rsidR="00CF48DB" w:rsidRPr="00DE3FF5"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szCs w:val="18"/>
                <w:lang w:val="es-ES" w:eastAsia="en-GB"/>
              </w:rPr>
            </w:pPr>
            <w:r w:rsidRPr="0014749A">
              <w:rPr>
                <w:rFonts w:ascii="Century Gothic" w:hAnsi="Century Gothic" w:cs="Arial"/>
                <w:b/>
                <w:sz w:val="18"/>
                <w:szCs w:val="18"/>
                <w:lang w:eastAsia="en-GB"/>
              </w:rPr>
              <w:t>100,0%</w:t>
            </w:r>
          </w:p>
        </w:tc>
        <w:tc>
          <w:tcPr>
            <w:tcW w:w="58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96BAF42" w14:textId="4768B8B7"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98,40%</w:t>
            </w:r>
          </w:p>
        </w:tc>
        <w:tc>
          <w:tcPr>
            <w:tcW w:w="8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032F3DF0" w14:textId="7B57071A"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1,46%</w:t>
            </w:r>
          </w:p>
        </w:tc>
        <w:tc>
          <w:tcPr>
            <w:tcW w:w="83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4667D430" w14:textId="24E9EB1D"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0,13%</w:t>
            </w:r>
          </w:p>
        </w:tc>
        <w:tc>
          <w:tcPr>
            <w:tcW w:w="656" w:type="pct"/>
            <w:tcBorders>
              <w:top w:val="none" w:sz="0" w:space="0" w:color="auto"/>
              <w:left w:val="none" w:sz="0" w:space="0" w:color="auto"/>
              <w:bottom w:val="none" w:sz="0" w:space="0" w:color="auto"/>
              <w:right w:val="nil"/>
            </w:tcBorders>
            <w:shd w:val="clear" w:color="auto" w:fill="auto"/>
            <w:noWrap/>
            <w:vAlign w:val="center"/>
            <w:hideMark/>
          </w:tcPr>
          <w:p w14:paraId="18441188" w14:textId="2E0A9F4A"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0,02%</w:t>
            </w:r>
          </w:p>
        </w:tc>
      </w:tr>
      <w:tr w:rsidR="00CF48DB" w:rsidRPr="00DE3FF5" w14:paraId="651A9567" w14:textId="77777777" w:rsidTr="00CF48DB">
        <w:trPr>
          <w:trHeight w:val="250"/>
        </w:trPr>
        <w:tc>
          <w:tcPr>
            <w:cnfStyle w:val="001000000000" w:firstRow="0" w:lastRow="0" w:firstColumn="1" w:lastColumn="0" w:oddVBand="0" w:evenVBand="0" w:oddHBand="0" w:evenHBand="0" w:firstRowFirstColumn="0" w:firstRowLastColumn="0" w:lastRowFirstColumn="0" w:lastRowLastColumn="0"/>
            <w:tcW w:w="1336" w:type="pct"/>
            <w:tcBorders>
              <w:left w:val="none" w:sz="0" w:space="0" w:color="auto"/>
              <w:bottom w:val="none" w:sz="0" w:space="0" w:color="auto"/>
              <w:right w:val="nil"/>
            </w:tcBorders>
            <w:shd w:val="clear" w:color="auto" w:fill="auto"/>
            <w:vAlign w:val="center"/>
            <w:hideMark/>
          </w:tcPr>
          <w:p w14:paraId="5B37D7A3" w14:textId="77777777" w:rsidR="00CF48DB" w:rsidRPr="00413CE2" w:rsidRDefault="00CF48DB" w:rsidP="006C4B6B">
            <w:pPr>
              <w:spacing w:afterLines="240" w:after="576"/>
              <w:contextualSpacing/>
              <w:jc w:val="center"/>
              <w:rPr>
                <w:rFonts w:ascii="Century Gothic" w:hAnsi="Century Gothic" w:cs="Arial"/>
                <w:sz w:val="18"/>
                <w:szCs w:val="18"/>
                <w:lang w:val="es-ES" w:eastAsia="en-GB"/>
              </w:rPr>
            </w:pPr>
            <w:r w:rsidRPr="00413CE2">
              <w:rPr>
                <w:rFonts w:ascii="Century Gothic" w:hAnsi="Century Gothic" w:cs="Arial"/>
                <w:sz w:val="18"/>
                <w:szCs w:val="18"/>
                <w:lang w:val="es-ES" w:eastAsia="en-GB"/>
              </w:rPr>
              <w:t>10 – 49 asalariados</w:t>
            </w:r>
          </w:p>
        </w:tc>
        <w:tc>
          <w:tcPr>
            <w:tcW w:w="751" w:type="pct"/>
            <w:shd w:val="clear" w:color="auto" w:fill="auto"/>
            <w:noWrap/>
            <w:hideMark/>
          </w:tcPr>
          <w:p w14:paraId="08586282" w14:textId="76B19850" w:rsidR="00CF48DB" w:rsidRPr="00DE3FF5"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14749A">
              <w:rPr>
                <w:rFonts w:ascii="Century Gothic" w:hAnsi="Century Gothic" w:cs="Arial"/>
                <w:b/>
                <w:sz w:val="18"/>
                <w:szCs w:val="18"/>
                <w:lang w:eastAsia="en-GB"/>
              </w:rPr>
              <w:t>100,0%</w:t>
            </w:r>
          </w:p>
        </w:tc>
        <w:tc>
          <w:tcPr>
            <w:tcW w:w="584" w:type="pct"/>
            <w:shd w:val="clear" w:color="auto" w:fill="auto"/>
            <w:noWrap/>
            <w:vAlign w:val="center"/>
            <w:hideMark/>
          </w:tcPr>
          <w:p w14:paraId="41C7C3FB" w14:textId="62B5507F"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69,77%</w:t>
            </w:r>
          </w:p>
        </w:tc>
        <w:tc>
          <w:tcPr>
            <w:tcW w:w="835" w:type="pct"/>
            <w:shd w:val="clear" w:color="auto" w:fill="auto"/>
            <w:noWrap/>
            <w:vAlign w:val="center"/>
            <w:hideMark/>
          </w:tcPr>
          <w:p w14:paraId="27B65B36" w14:textId="23AE22DD"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25,57%</w:t>
            </w:r>
          </w:p>
        </w:tc>
        <w:tc>
          <w:tcPr>
            <w:tcW w:w="838" w:type="pct"/>
            <w:shd w:val="clear" w:color="auto" w:fill="auto"/>
            <w:noWrap/>
            <w:vAlign w:val="center"/>
            <w:hideMark/>
          </w:tcPr>
          <w:p w14:paraId="19D5F718" w14:textId="50BCBFB1"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4,26%</w:t>
            </w:r>
          </w:p>
        </w:tc>
        <w:tc>
          <w:tcPr>
            <w:tcW w:w="656" w:type="pct"/>
            <w:tcBorders>
              <w:right w:val="nil"/>
            </w:tcBorders>
            <w:shd w:val="clear" w:color="auto" w:fill="auto"/>
            <w:noWrap/>
            <w:vAlign w:val="center"/>
            <w:hideMark/>
          </w:tcPr>
          <w:p w14:paraId="40750A57" w14:textId="0235B417"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0,40%</w:t>
            </w:r>
          </w:p>
        </w:tc>
      </w:tr>
      <w:tr w:rsidR="00CF48DB" w:rsidRPr="00DE3FF5" w14:paraId="43590E40" w14:textId="77777777" w:rsidTr="00CF48D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336" w:type="pct"/>
            <w:tcBorders>
              <w:top w:val="none" w:sz="0" w:space="0" w:color="auto"/>
              <w:left w:val="none" w:sz="0" w:space="0" w:color="auto"/>
              <w:bottom w:val="none" w:sz="0" w:space="0" w:color="auto"/>
              <w:right w:val="nil"/>
            </w:tcBorders>
            <w:shd w:val="clear" w:color="auto" w:fill="auto"/>
            <w:vAlign w:val="center"/>
            <w:hideMark/>
          </w:tcPr>
          <w:p w14:paraId="47E27C8A" w14:textId="77777777" w:rsidR="00CF48DB" w:rsidRPr="00413CE2" w:rsidRDefault="00CF48DB" w:rsidP="006C4B6B">
            <w:pPr>
              <w:spacing w:afterLines="240" w:after="576"/>
              <w:contextualSpacing/>
              <w:jc w:val="center"/>
              <w:rPr>
                <w:rFonts w:ascii="Century Gothic" w:hAnsi="Century Gothic" w:cs="Arial"/>
                <w:sz w:val="18"/>
                <w:szCs w:val="18"/>
                <w:lang w:val="es-ES" w:eastAsia="en-GB"/>
              </w:rPr>
            </w:pPr>
            <w:r w:rsidRPr="00413CE2">
              <w:rPr>
                <w:rFonts w:ascii="Century Gothic" w:hAnsi="Century Gothic" w:cs="Arial"/>
                <w:sz w:val="18"/>
                <w:szCs w:val="18"/>
                <w:lang w:val="es-ES" w:eastAsia="en-GB"/>
              </w:rPr>
              <w:t>50 – 249 asalariados</w:t>
            </w:r>
          </w:p>
        </w:tc>
        <w:tc>
          <w:tcPr>
            <w:tcW w:w="751" w:type="pct"/>
            <w:tcBorders>
              <w:top w:val="none" w:sz="0" w:space="0" w:color="auto"/>
              <w:left w:val="none" w:sz="0" w:space="0" w:color="auto"/>
              <w:bottom w:val="none" w:sz="0" w:space="0" w:color="auto"/>
              <w:right w:val="none" w:sz="0" w:space="0" w:color="auto"/>
            </w:tcBorders>
            <w:shd w:val="clear" w:color="auto" w:fill="auto"/>
            <w:noWrap/>
            <w:hideMark/>
          </w:tcPr>
          <w:p w14:paraId="56D09818" w14:textId="313FA855" w:rsidR="00CF48DB" w:rsidRPr="00DE3FF5"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szCs w:val="18"/>
                <w:lang w:val="es-ES" w:eastAsia="en-GB"/>
              </w:rPr>
            </w:pPr>
            <w:r w:rsidRPr="0014749A">
              <w:rPr>
                <w:rFonts w:ascii="Century Gothic" w:hAnsi="Century Gothic" w:cs="Arial"/>
                <w:b/>
                <w:sz w:val="18"/>
                <w:szCs w:val="18"/>
                <w:lang w:eastAsia="en-GB"/>
              </w:rPr>
              <w:t>100,0%</w:t>
            </w:r>
          </w:p>
        </w:tc>
        <w:tc>
          <w:tcPr>
            <w:tcW w:w="58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B67A205" w14:textId="20BE8CFB"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26,93%</w:t>
            </w:r>
          </w:p>
        </w:tc>
        <w:tc>
          <w:tcPr>
            <w:tcW w:w="83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1BF505D" w14:textId="594ABF7C"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36,15%</w:t>
            </w:r>
          </w:p>
        </w:tc>
        <w:tc>
          <w:tcPr>
            <w:tcW w:w="838"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537AE29D" w14:textId="45E7CBF7"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29,98%</w:t>
            </w:r>
          </w:p>
        </w:tc>
        <w:tc>
          <w:tcPr>
            <w:tcW w:w="656" w:type="pct"/>
            <w:tcBorders>
              <w:top w:val="none" w:sz="0" w:space="0" w:color="auto"/>
              <w:left w:val="none" w:sz="0" w:space="0" w:color="auto"/>
              <w:bottom w:val="none" w:sz="0" w:space="0" w:color="auto"/>
              <w:right w:val="nil"/>
            </w:tcBorders>
            <w:shd w:val="clear" w:color="auto" w:fill="auto"/>
            <w:noWrap/>
            <w:vAlign w:val="center"/>
            <w:hideMark/>
          </w:tcPr>
          <w:p w14:paraId="2C54915B" w14:textId="0201E704" w:rsidR="00CF48DB" w:rsidRPr="006C4B6B" w:rsidRDefault="00CF48DB" w:rsidP="00437E76">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6,93%</w:t>
            </w:r>
          </w:p>
        </w:tc>
      </w:tr>
      <w:tr w:rsidR="00CF48DB" w:rsidRPr="00DE3FF5" w14:paraId="7B9656A5" w14:textId="77777777" w:rsidTr="00CF48DB">
        <w:trPr>
          <w:trHeight w:val="250"/>
        </w:trPr>
        <w:tc>
          <w:tcPr>
            <w:cnfStyle w:val="001000000000" w:firstRow="0" w:lastRow="0" w:firstColumn="1" w:lastColumn="0" w:oddVBand="0" w:evenVBand="0" w:oddHBand="0" w:evenHBand="0" w:firstRowFirstColumn="0" w:firstRowLastColumn="0" w:lastRowFirstColumn="0" w:lastRowLastColumn="0"/>
            <w:tcW w:w="1336" w:type="pct"/>
            <w:tcBorders>
              <w:left w:val="none" w:sz="0" w:space="0" w:color="auto"/>
              <w:bottom w:val="single" w:sz="4" w:space="0" w:color="auto"/>
              <w:right w:val="nil"/>
            </w:tcBorders>
            <w:shd w:val="clear" w:color="auto" w:fill="auto"/>
            <w:noWrap/>
            <w:vAlign w:val="center"/>
            <w:hideMark/>
          </w:tcPr>
          <w:p w14:paraId="4A847DF3" w14:textId="77777777" w:rsidR="00CF48DB" w:rsidRPr="00DE3FF5" w:rsidRDefault="00CF48DB" w:rsidP="006C4B6B">
            <w:pPr>
              <w:spacing w:afterLines="240" w:after="576"/>
              <w:contextualSpacing/>
              <w:jc w:val="center"/>
              <w:rPr>
                <w:rFonts w:ascii="Century Gothic" w:hAnsi="Century Gothic" w:cs="Arial"/>
                <w:sz w:val="18"/>
                <w:szCs w:val="18"/>
                <w:lang w:val="es-ES" w:eastAsia="en-GB"/>
              </w:rPr>
            </w:pPr>
            <w:r>
              <w:rPr>
                <w:rFonts w:ascii="Century Gothic" w:hAnsi="Century Gothic" w:cs="Arial"/>
                <w:sz w:val="18"/>
                <w:szCs w:val="18"/>
                <w:lang w:val="es-ES" w:eastAsia="en-GB"/>
              </w:rPr>
              <w:t>250 o más asalariados</w:t>
            </w:r>
          </w:p>
        </w:tc>
        <w:tc>
          <w:tcPr>
            <w:tcW w:w="751" w:type="pct"/>
            <w:tcBorders>
              <w:bottom w:val="single" w:sz="4" w:space="0" w:color="auto"/>
            </w:tcBorders>
            <w:shd w:val="clear" w:color="auto" w:fill="auto"/>
            <w:noWrap/>
            <w:vAlign w:val="center"/>
            <w:hideMark/>
          </w:tcPr>
          <w:p w14:paraId="57E09ECE" w14:textId="288BD737" w:rsidR="00CF48DB" w:rsidRPr="00DE3FF5"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14749A">
              <w:rPr>
                <w:rFonts w:ascii="Century Gothic" w:hAnsi="Century Gothic" w:cs="Arial"/>
                <w:b/>
                <w:sz w:val="18"/>
                <w:szCs w:val="18"/>
                <w:lang w:eastAsia="en-GB"/>
              </w:rPr>
              <w:t>100,0%</w:t>
            </w:r>
          </w:p>
        </w:tc>
        <w:tc>
          <w:tcPr>
            <w:tcW w:w="584" w:type="pct"/>
            <w:tcBorders>
              <w:bottom w:val="single" w:sz="4" w:space="0" w:color="auto"/>
            </w:tcBorders>
            <w:shd w:val="clear" w:color="auto" w:fill="auto"/>
            <w:noWrap/>
            <w:vAlign w:val="center"/>
            <w:hideMark/>
          </w:tcPr>
          <w:p w14:paraId="5F392245" w14:textId="332FA735"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9,65%</w:t>
            </w:r>
          </w:p>
        </w:tc>
        <w:tc>
          <w:tcPr>
            <w:tcW w:w="835" w:type="pct"/>
            <w:tcBorders>
              <w:bottom w:val="single" w:sz="4" w:space="0" w:color="auto"/>
            </w:tcBorders>
            <w:shd w:val="clear" w:color="auto" w:fill="auto"/>
            <w:noWrap/>
            <w:vAlign w:val="center"/>
            <w:hideMark/>
          </w:tcPr>
          <w:p w14:paraId="2DE49E50" w14:textId="2BFCE55B"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13,94%</w:t>
            </w:r>
          </w:p>
        </w:tc>
        <w:tc>
          <w:tcPr>
            <w:tcW w:w="838" w:type="pct"/>
            <w:tcBorders>
              <w:bottom w:val="single" w:sz="4" w:space="0" w:color="auto"/>
            </w:tcBorders>
            <w:shd w:val="clear" w:color="auto" w:fill="auto"/>
            <w:noWrap/>
            <w:vAlign w:val="center"/>
            <w:hideMark/>
          </w:tcPr>
          <w:p w14:paraId="369A3675" w14:textId="09D5E157"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32,32%</w:t>
            </w:r>
          </w:p>
        </w:tc>
        <w:tc>
          <w:tcPr>
            <w:tcW w:w="656" w:type="pct"/>
            <w:tcBorders>
              <w:bottom w:val="single" w:sz="4" w:space="0" w:color="auto"/>
              <w:right w:val="nil"/>
            </w:tcBorders>
            <w:shd w:val="clear" w:color="auto" w:fill="auto"/>
            <w:noWrap/>
            <w:vAlign w:val="center"/>
            <w:hideMark/>
          </w:tcPr>
          <w:p w14:paraId="552806B6" w14:textId="144D4190" w:rsidR="00CF48DB" w:rsidRPr="006C4B6B" w:rsidRDefault="00CF48DB" w:rsidP="00437E76">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Pr>
                <w:rFonts w:ascii="Century Gothic" w:hAnsi="Century Gothic" w:cs="Arial"/>
                <w:sz w:val="18"/>
                <w:szCs w:val="18"/>
              </w:rPr>
              <w:t>44,09%</w:t>
            </w:r>
          </w:p>
        </w:tc>
      </w:tr>
      <w:tr w:rsidR="00CC39AE" w:rsidRPr="002D17B9" w14:paraId="41189EB4" w14:textId="77777777" w:rsidTr="00413CE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none" w:sz="0" w:space="0" w:color="auto"/>
              <w:bottom w:val="none" w:sz="0" w:space="0" w:color="auto"/>
              <w:right w:val="nil"/>
            </w:tcBorders>
            <w:shd w:val="clear" w:color="auto" w:fill="auto"/>
            <w:noWrap/>
            <w:vAlign w:val="center"/>
          </w:tcPr>
          <w:p w14:paraId="5186F2AC" w14:textId="66F07BDA" w:rsidR="00CC39AE" w:rsidRPr="00DE3FF5" w:rsidRDefault="00CC39AE" w:rsidP="00437E76">
            <w:pPr>
              <w:spacing w:afterLines="240" w:after="576"/>
              <w:contextualSpacing/>
              <w:rPr>
                <w:rFonts w:ascii="Century Gothic" w:hAnsi="Century Gothic" w:cs="Arial"/>
                <w:i/>
                <w:sz w:val="16"/>
                <w:szCs w:val="18"/>
                <w:lang w:val="es-ES" w:eastAsia="en-GB"/>
              </w:rPr>
            </w:pPr>
            <w:r w:rsidRPr="00DE3FF5">
              <w:rPr>
                <w:rFonts w:ascii="Century Gothic" w:hAnsi="Century Gothic" w:cs="Arial"/>
                <w:i/>
                <w:sz w:val="16"/>
                <w:szCs w:val="18"/>
                <w:lang w:val="es-ES" w:eastAsia="en-GB"/>
              </w:rPr>
              <w:t xml:space="preserve">Fuente: </w:t>
            </w:r>
            <w:r w:rsidR="001A174C" w:rsidRPr="001A174C">
              <w:rPr>
                <w:rFonts w:ascii="Century Gothic" w:hAnsi="Century Gothic" w:cs="Arial"/>
                <w:i/>
                <w:sz w:val="16"/>
                <w:szCs w:val="18"/>
                <w:lang w:val="es-ES" w:eastAsia="en-GB"/>
              </w:rPr>
              <w:t xml:space="preserve">Ministerio de Economía, </w:t>
            </w:r>
            <w:r w:rsidR="006C4B6B">
              <w:rPr>
                <w:rFonts w:ascii="Century Gothic" w:hAnsi="Century Gothic" w:cs="Arial"/>
                <w:i/>
                <w:sz w:val="16"/>
                <w:szCs w:val="18"/>
                <w:lang w:val="es-ES" w:eastAsia="en-GB"/>
              </w:rPr>
              <w:t>Industria y Competitividad (2017)</w:t>
            </w:r>
            <w:r w:rsidR="001A174C" w:rsidRPr="001A174C">
              <w:rPr>
                <w:rFonts w:ascii="Century Gothic" w:hAnsi="Century Gothic" w:cs="Arial"/>
                <w:i/>
                <w:sz w:val="16"/>
                <w:szCs w:val="18"/>
                <w:lang w:val="es-ES" w:eastAsia="en-GB"/>
              </w:rPr>
              <w:t>, Informe de la PYME 201</w:t>
            </w:r>
            <w:r w:rsidR="00CF48DB">
              <w:rPr>
                <w:rFonts w:ascii="Century Gothic" w:hAnsi="Century Gothic" w:cs="Arial"/>
                <w:i/>
                <w:sz w:val="16"/>
                <w:szCs w:val="18"/>
                <w:lang w:val="es-ES" w:eastAsia="en-GB"/>
              </w:rPr>
              <w:t>7</w:t>
            </w:r>
          </w:p>
        </w:tc>
      </w:tr>
    </w:tbl>
    <w:p w14:paraId="688D40A5" w14:textId="77777777" w:rsidR="00CC39AE" w:rsidRDefault="00CC39AE" w:rsidP="009D10FF">
      <w:pPr>
        <w:pStyle w:val="Body"/>
        <w:spacing w:after="0"/>
        <w:rPr>
          <w:rFonts w:cs="Arial"/>
        </w:rPr>
      </w:pPr>
    </w:p>
    <w:p w14:paraId="0DF5F14E" w14:textId="6608529E" w:rsidR="005A4227" w:rsidRDefault="005A4227" w:rsidP="005A4227">
      <w:pPr>
        <w:pStyle w:val="Body"/>
      </w:pPr>
      <w:r>
        <w:t xml:space="preserve">Respecto al Valor Añadido Bruto, de acuerdo con estimaciones de la UE, las PYME incluyendo autónomos, representan más del 61% del VAB generado por las empresas no financieras, </w:t>
      </w:r>
      <w:r w:rsidR="006D7E32">
        <w:t>5</w:t>
      </w:r>
      <w:r>
        <w:t xml:space="preserve"> puntos porcentuales por encima de la media de la UE28. Dentro de las PYME, destaca la mayor aportación al VAB en España de las microempresas de 0 a 9 asalariados (25,</w:t>
      </w:r>
      <w:r w:rsidR="006D7E32">
        <w:t>9</w:t>
      </w:r>
      <w:r>
        <w:t>%, frente al 2</w:t>
      </w:r>
      <w:r w:rsidR="006D7E32">
        <w:t>0</w:t>
      </w:r>
      <w:r>
        <w:t>,</w:t>
      </w:r>
      <w:r w:rsidR="006D7E32">
        <w:t>9</w:t>
      </w:r>
      <w:r>
        <w:t>% de la media de la UE).</w:t>
      </w:r>
      <w:r w:rsidR="00633D11">
        <w:t xml:space="preserve"> (</w:t>
      </w:r>
      <w:r w:rsidR="00633D11" w:rsidRPr="00F7012A">
        <w:rPr>
          <w:highlight w:val="yellow"/>
        </w:rPr>
        <w:t xml:space="preserve">Tabla </w:t>
      </w:r>
      <w:r w:rsidR="00E40DE4">
        <w:t>4</w:t>
      </w:r>
      <w:r w:rsidR="00633D11">
        <w:t>)</w:t>
      </w:r>
    </w:p>
    <w:p w14:paraId="2ABA0E66" w14:textId="4E38944B" w:rsidR="005A4227" w:rsidRPr="008B6C6C" w:rsidRDefault="005A4227" w:rsidP="005A4227">
      <w:pPr>
        <w:pStyle w:val="Descripcin1"/>
        <w:rPr>
          <w:b w:val="0"/>
        </w:rPr>
      </w:pPr>
      <w:bookmarkStart w:id="11" w:name="_Toc526515594"/>
      <w:r w:rsidRPr="008B6C6C">
        <w:rPr>
          <w:b w:val="0"/>
        </w:rPr>
        <w:t xml:space="preserve">Tabla </w:t>
      </w:r>
      <w:r w:rsidRPr="008B6C6C">
        <w:rPr>
          <w:b w:val="0"/>
        </w:rPr>
        <w:fldChar w:fldCharType="begin"/>
      </w:r>
      <w:r w:rsidRPr="008B6C6C">
        <w:rPr>
          <w:b w:val="0"/>
        </w:rPr>
        <w:instrText xml:space="preserve"> SEQ Tabla \* ARABIC  </w:instrText>
      </w:r>
      <w:r w:rsidRPr="008B6C6C">
        <w:rPr>
          <w:b w:val="0"/>
        </w:rPr>
        <w:fldChar w:fldCharType="separate"/>
      </w:r>
      <w:r w:rsidR="00764C39">
        <w:rPr>
          <w:b w:val="0"/>
          <w:noProof/>
        </w:rPr>
        <w:t>4</w:t>
      </w:r>
      <w:r w:rsidRPr="008B6C6C">
        <w:rPr>
          <w:b w:val="0"/>
        </w:rPr>
        <w:fldChar w:fldCharType="end"/>
      </w:r>
      <w:r w:rsidRPr="008B6C6C">
        <w:rPr>
          <w:b w:val="0"/>
        </w:rPr>
        <w:t>. Distribución de la aportación al VAB por tamaño de empresa, en España y en la UE28.</w:t>
      </w:r>
      <w:bookmarkEnd w:id="11"/>
      <w:r w:rsidRPr="008B6C6C">
        <w:rPr>
          <w:b w:val="0"/>
        </w:rPr>
        <w:t xml:space="preserve"> </w:t>
      </w:r>
    </w:p>
    <w:tbl>
      <w:tblPr>
        <w:tblStyle w:val="Listamedia2"/>
        <w:tblW w:w="5000" w:type="pct"/>
        <w:tblCellMar>
          <w:top w:w="108" w:type="dxa"/>
          <w:bottom w:w="108" w:type="dxa"/>
        </w:tblCellMar>
        <w:tblLook w:val="04A0" w:firstRow="1" w:lastRow="0" w:firstColumn="1" w:lastColumn="0" w:noHBand="0" w:noVBand="1"/>
      </w:tblPr>
      <w:tblGrid>
        <w:gridCol w:w="3617"/>
        <w:gridCol w:w="2485"/>
        <w:gridCol w:w="2949"/>
      </w:tblGrid>
      <w:tr w:rsidR="005A4227" w:rsidRPr="00413CE2" w14:paraId="542E08FF" w14:textId="77777777" w:rsidTr="006F2BFD">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1998" w:type="pct"/>
            <w:tcBorders>
              <w:top w:val="single" w:sz="12" w:space="0" w:color="FFCC00"/>
              <w:left w:val="none" w:sz="0" w:space="0" w:color="auto"/>
              <w:bottom w:val="single" w:sz="6" w:space="0" w:color="000000" w:themeColor="text1"/>
              <w:right w:val="none" w:sz="0" w:space="0" w:color="auto"/>
            </w:tcBorders>
            <w:vAlign w:val="center"/>
            <w:hideMark/>
          </w:tcPr>
          <w:p w14:paraId="3EC72483" w14:textId="77777777" w:rsidR="005A4227" w:rsidRPr="00BD3716" w:rsidRDefault="005A4227" w:rsidP="00896629">
            <w:pPr>
              <w:spacing w:afterLines="240" w:after="576"/>
              <w:contextualSpacing/>
              <w:jc w:val="center"/>
              <w:rPr>
                <w:rFonts w:ascii="Century Gothic" w:hAnsi="Century Gothic" w:cs="Arial"/>
                <w:b/>
                <w:bCs/>
                <w:sz w:val="18"/>
                <w:szCs w:val="18"/>
                <w:lang w:val="es-ES" w:eastAsia="en-GB"/>
              </w:rPr>
            </w:pPr>
            <w:r w:rsidRPr="00A90303">
              <w:rPr>
                <w:rFonts w:ascii="Century Gothic" w:hAnsi="Century Gothic" w:cs="Arial"/>
                <w:sz w:val="18"/>
                <w:szCs w:val="18"/>
                <w:lang w:val="es-ES"/>
              </w:rPr>
              <w:t> </w:t>
            </w:r>
          </w:p>
        </w:tc>
        <w:tc>
          <w:tcPr>
            <w:tcW w:w="1373"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78D09E09" w14:textId="77777777" w:rsidR="005A4227" w:rsidRPr="00BD3716" w:rsidRDefault="005A4227" w:rsidP="00896629">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sz w:val="18"/>
                <w:szCs w:val="18"/>
                <w:lang w:val="es-ES" w:eastAsia="en-GB"/>
              </w:rPr>
            </w:pPr>
            <w:r w:rsidRPr="00BD3716">
              <w:rPr>
                <w:rFonts w:ascii="Century Gothic" w:hAnsi="Century Gothic" w:cs="Arial"/>
                <w:sz w:val="18"/>
                <w:szCs w:val="18"/>
                <w:lang w:val="es-ES"/>
              </w:rPr>
              <w:t>España</w:t>
            </w:r>
          </w:p>
        </w:tc>
        <w:tc>
          <w:tcPr>
            <w:tcW w:w="1629" w:type="pct"/>
            <w:tcBorders>
              <w:top w:val="single" w:sz="12" w:space="0" w:color="FFCC00"/>
              <w:left w:val="none" w:sz="0" w:space="0" w:color="auto"/>
              <w:bottom w:val="single" w:sz="6" w:space="0" w:color="000000" w:themeColor="text1"/>
              <w:right w:val="none" w:sz="0" w:space="0" w:color="auto"/>
            </w:tcBorders>
            <w:shd w:val="clear" w:color="auto" w:fill="auto"/>
            <w:vAlign w:val="center"/>
            <w:hideMark/>
          </w:tcPr>
          <w:p w14:paraId="764BC769" w14:textId="77777777" w:rsidR="005A4227" w:rsidRPr="00BD3716" w:rsidRDefault="005A4227" w:rsidP="00896629">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sz w:val="18"/>
                <w:szCs w:val="18"/>
                <w:lang w:val="es-ES" w:eastAsia="en-GB"/>
              </w:rPr>
            </w:pPr>
            <w:r w:rsidRPr="00BD3716">
              <w:rPr>
                <w:rFonts w:ascii="Century Gothic" w:hAnsi="Century Gothic" w:cs="Arial"/>
                <w:sz w:val="18"/>
                <w:szCs w:val="18"/>
                <w:lang w:val="es-ES"/>
              </w:rPr>
              <w:t>UE28</w:t>
            </w:r>
          </w:p>
        </w:tc>
      </w:tr>
      <w:tr w:rsidR="005A4227" w:rsidRPr="00285FF2" w14:paraId="639BEFAD" w14:textId="77777777" w:rsidTr="006F2BF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98" w:type="pct"/>
            <w:tcBorders>
              <w:top w:val="single" w:sz="6" w:space="0" w:color="000000" w:themeColor="text1"/>
              <w:left w:val="none" w:sz="0" w:space="0" w:color="auto"/>
              <w:bottom w:val="none" w:sz="0" w:space="0" w:color="auto"/>
              <w:right w:val="nil"/>
            </w:tcBorders>
            <w:vAlign w:val="center"/>
          </w:tcPr>
          <w:p w14:paraId="051BF03D" w14:textId="77777777" w:rsidR="005A4227" w:rsidRPr="00A90303" w:rsidRDefault="005A4227" w:rsidP="00896629">
            <w:pPr>
              <w:spacing w:afterLines="240" w:after="576"/>
              <w:contextualSpacing/>
              <w:jc w:val="left"/>
              <w:rPr>
                <w:rFonts w:ascii="Century Gothic" w:hAnsi="Century Gothic" w:cs="Arial"/>
                <w:b/>
                <w:bCs/>
                <w:sz w:val="18"/>
                <w:szCs w:val="18"/>
                <w:lang w:val="es-ES" w:eastAsia="en-GB"/>
              </w:rPr>
            </w:pPr>
            <w:r w:rsidRPr="00A90303">
              <w:rPr>
                <w:rFonts w:ascii="Century Gothic" w:hAnsi="Century Gothic" w:cs="Arial"/>
                <w:sz w:val="18"/>
                <w:szCs w:val="18"/>
                <w:lang w:val="es-ES"/>
              </w:rPr>
              <w:t>Microempresas (0-9 asalariados)</w:t>
            </w:r>
          </w:p>
        </w:tc>
        <w:tc>
          <w:tcPr>
            <w:tcW w:w="1373" w:type="pct"/>
            <w:tcBorders>
              <w:top w:val="single" w:sz="6" w:space="0" w:color="000000" w:themeColor="text1"/>
              <w:left w:val="none" w:sz="0" w:space="0" w:color="auto"/>
              <w:bottom w:val="none" w:sz="0" w:space="0" w:color="auto"/>
              <w:right w:val="none" w:sz="0" w:space="0" w:color="auto"/>
            </w:tcBorders>
            <w:shd w:val="clear" w:color="auto" w:fill="auto"/>
            <w:noWrap/>
            <w:vAlign w:val="center"/>
            <w:hideMark/>
          </w:tcPr>
          <w:p w14:paraId="1BDC0038" w14:textId="0F605460" w:rsidR="005A4227" w:rsidRPr="00BD3716" w:rsidRDefault="005A4227" w:rsidP="006D7E32">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szCs w:val="18"/>
                <w:lang w:val="es-ES" w:eastAsia="en-GB"/>
              </w:rPr>
            </w:pPr>
            <w:r w:rsidRPr="00BD3716">
              <w:rPr>
                <w:rFonts w:ascii="Century Gothic" w:hAnsi="Century Gothic" w:cs="Arial"/>
                <w:sz w:val="18"/>
                <w:szCs w:val="18"/>
                <w:lang w:val="es-ES"/>
              </w:rPr>
              <w:t>25,</w:t>
            </w:r>
            <w:r w:rsidR="006D7E32">
              <w:rPr>
                <w:rFonts w:ascii="Century Gothic" w:hAnsi="Century Gothic" w:cs="Arial"/>
                <w:sz w:val="18"/>
                <w:szCs w:val="18"/>
                <w:lang w:val="es-ES"/>
              </w:rPr>
              <w:t>9</w:t>
            </w:r>
            <w:r w:rsidRPr="00BD3716">
              <w:rPr>
                <w:rFonts w:ascii="Century Gothic" w:hAnsi="Century Gothic" w:cs="Arial"/>
                <w:sz w:val="18"/>
                <w:szCs w:val="18"/>
                <w:lang w:val="es-ES"/>
              </w:rPr>
              <w:t>%</w:t>
            </w:r>
          </w:p>
        </w:tc>
        <w:tc>
          <w:tcPr>
            <w:tcW w:w="1629" w:type="pct"/>
            <w:tcBorders>
              <w:top w:val="single" w:sz="6" w:space="0" w:color="000000" w:themeColor="text1"/>
              <w:left w:val="none" w:sz="0" w:space="0" w:color="auto"/>
              <w:bottom w:val="none" w:sz="0" w:space="0" w:color="auto"/>
            </w:tcBorders>
            <w:shd w:val="clear" w:color="auto" w:fill="auto"/>
            <w:noWrap/>
            <w:vAlign w:val="center"/>
            <w:hideMark/>
          </w:tcPr>
          <w:p w14:paraId="620136B0" w14:textId="246C120D" w:rsidR="005A4227" w:rsidRPr="00BD3716" w:rsidRDefault="005A4227" w:rsidP="006D7E32">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BD3716">
              <w:rPr>
                <w:rFonts w:ascii="Century Gothic" w:hAnsi="Century Gothic" w:cs="Arial"/>
                <w:sz w:val="18"/>
                <w:szCs w:val="18"/>
                <w:lang w:val="es-ES"/>
              </w:rPr>
              <w:t>2</w:t>
            </w:r>
            <w:r w:rsidR="006D7E32">
              <w:rPr>
                <w:rFonts w:ascii="Century Gothic" w:hAnsi="Century Gothic" w:cs="Arial"/>
                <w:sz w:val="18"/>
                <w:szCs w:val="18"/>
                <w:lang w:val="es-ES"/>
              </w:rPr>
              <w:t>0</w:t>
            </w:r>
            <w:r w:rsidRPr="00BD3716">
              <w:rPr>
                <w:rFonts w:ascii="Century Gothic" w:hAnsi="Century Gothic" w:cs="Arial"/>
                <w:sz w:val="18"/>
                <w:szCs w:val="18"/>
                <w:lang w:val="es-ES"/>
              </w:rPr>
              <w:t>,</w:t>
            </w:r>
            <w:r w:rsidR="006D7E32">
              <w:rPr>
                <w:rFonts w:ascii="Century Gothic" w:hAnsi="Century Gothic" w:cs="Arial"/>
                <w:sz w:val="18"/>
                <w:szCs w:val="18"/>
                <w:lang w:val="es-ES"/>
              </w:rPr>
              <w:t>9</w:t>
            </w:r>
            <w:r w:rsidRPr="00BD3716">
              <w:rPr>
                <w:rFonts w:ascii="Century Gothic" w:hAnsi="Century Gothic" w:cs="Arial"/>
                <w:sz w:val="18"/>
                <w:szCs w:val="18"/>
                <w:lang w:val="es-ES"/>
              </w:rPr>
              <w:t>%</w:t>
            </w:r>
          </w:p>
        </w:tc>
      </w:tr>
      <w:tr w:rsidR="005A4227" w:rsidRPr="00285FF2" w14:paraId="6D2CE7DF" w14:textId="77777777" w:rsidTr="006F2BFD">
        <w:trPr>
          <w:trHeight w:val="250"/>
        </w:trPr>
        <w:tc>
          <w:tcPr>
            <w:cnfStyle w:val="001000000000" w:firstRow="0" w:lastRow="0" w:firstColumn="1" w:lastColumn="0" w:oddVBand="0" w:evenVBand="0" w:oddHBand="0" w:evenHBand="0" w:firstRowFirstColumn="0" w:firstRowLastColumn="0" w:lastRowFirstColumn="0" w:lastRowLastColumn="0"/>
            <w:tcW w:w="1998" w:type="pct"/>
            <w:tcBorders>
              <w:left w:val="none" w:sz="0" w:space="0" w:color="auto"/>
              <w:bottom w:val="none" w:sz="0" w:space="0" w:color="auto"/>
              <w:right w:val="nil"/>
            </w:tcBorders>
            <w:vAlign w:val="center"/>
          </w:tcPr>
          <w:p w14:paraId="7046B5B5" w14:textId="77777777" w:rsidR="005A4227" w:rsidRPr="00A90303" w:rsidRDefault="005A4227" w:rsidP="00896629">
            <w:pPr>
              <w:spacing w:afterLines="240" w:after="576"/>
              <w:contextualSpacing/>
              <w:jc w:val="left"/>
              <w:rPr>
                <w:rFonts w:ascii="Century Gothic" w:hAnsi="Century Gothic" w:cs="Arial"/>
                <w:b/>
                <w:bCs/>
                <w:sz w:val="18"/>
                <w:szCs w:val="18"/>
                <w:lang w:val="es-ES" w:eastAsia="en-GB"/>
              </w:rPr>
            </w:pPr>
            <w:r w:rsidRPr="00A90303">
              <w:rPr>
                <w:rFonts w:ascii="Century Gothic" w:hAnsi="Century Gothic" w:cs="Arial"/>
                <w:sz w:val="18"/>
                <w:szCs w:val="18"/>
                <w:lang w:val="es-ES"/>
              </w:rPr>
              <w:t>Pequeñas (10-49 asalariados)</w:t>
            </w:r>
          </w:p>
        </w:tc>
        <w:tc>
          <w:tcPr>
            <w:tcW w:w="1373" w:type="pct"/>
            <w:shd w:val="clear" w:color="auto" w:fill="auto"/>
            <w:noWrap/>
            <w:vAlign w:val="center"/>
          </w:tcPr>
          <w:p w14:paraId="63B5D63D" w14:textId="6F03459B" w:rsidR="005A4227" w:rsidRPr="00BD3716" w:rsidRDefault="005A4227" w:rsidP="006D7E32">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BD3716">
              <w:rPr>
                <w:rFonts w:ascii="Century Gothic" w:hAnsi="Century Gothic" w:cs="Arial"/>
                <w:sz w:val="18"/>
                <w:szCs w:val="18"/>
                <w:lang w:val="es-ES"/>
              </w:rPr>
              <w:t>18,</w:t>
            </w:r>
            <w:r w:rsidR="006D7E32">
              <w:rPr>
                <w:rFonts w:ascii="Century Gothic" w:hAnsi="Century Gothic" w:cs="Arial"/>
                <w:sz w:val="18"/>
                <w:szCs w:val="18"/>
                <w:lang w:val="es-ES"/>
              </w:rPr>
              <w:t>1</w:t>
            </w:r>
            <w:r w:rsidRPr="00BD3716">
              <w:rPr>
                <w:rFonts w:ascii="Century Gothic" w:hAnsi="Century Gothic" w:cs="Arial"/>
                <w:sz w:val="18"/>
                <w:szCs w:val="18"/>
                <w:lang w:val="es-ES"/>
              </w:rPr>
              <w:t>%</w:t>
            </w:r>
          </w:p>
        </w:tc>
        <w:tc>
          <w:tcPr>
            <w:tcW w:w="1629" w:type="pct"/>
            <w:shd w:val="clear" w:color="auto" w:fill="auto"/>
            <w:noWrap/>
            <w:vAlign w:val="center"/>
          </w:tcPr>
          <w:p w14:paraId="51E8DB2B" w14:textId="7FC42E66" w:rsidR="005A4227" w:rsidRPr="00BD3716" w:rsidRDefault="005A4227" w:rsidP="006D7E32">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sidRPr="00BD3716">
              <w:rPr>
                <w:rFonts w:ascii="Century Gothic" w:hAnsi="Century Gothic" w:cs="Arial"/>
                <w:sz w:val="18"/>
                <w:szCs w:val="18"/>
                <w:lang w:val="es-ES"/>
              </w:rPr>
              <w:t>1</w:t>
            </w:r>
            <w:r w:rsidR="006D7E32">
              <w:rPr>
                <w:rFonts w:ascii="Century Gothic" w:hAnsi="Century Gothic" w:cs="Arial"/>
                <w:sz w:val="18"/>
                <w:szCs w:val="18"/>
                <w:lang w:val="es-ES"/>
              </w:rPr>
              <w:t>7</w:t>
            </w:r>
            <w:r w:rsidRPr="00BD3716">
              <w:rPr>
                <w:rFonts w:ascii="Century Gothic" w:hAnsi="Century Gothic" w:cs="Arial"/>
                <w:sz w:val="18"/>
                <w:szCs w:val="18"/>
                <w:lang w:val="es-ES"/>
              </w:rPr>
              <w:t>,</w:t>
            </w:r>
            <w:r w:rsidR="006D7E32">
              <w:rPr>
                <w:rFonts w:ascii="Century Gothic" w:hAnsi="Century Gothic" w:cs="Arial"/>
                <w:sz w:val="18"/>
                <w:szCs w:val="18"/>
                <w:lang w:val="es-ES"/>
              </w:rPr>
              <w:t>8</w:t>
            </w:r>
            <w:r w:rsidRPr="00BD3716">
              <w:rPr>
                <w:rFonts w:ascii="Century Gothic" w:hAnsi="Century Gothic" w:cs="Arial"/>
                <w:sz w:val="18"/>
                <w:szCs w:val="18"/>
                <w:lang w:val="es-ES"/>
              </w:rPr>
              <w:t>%</w:t>
            </w:r>
          </w:p>
        </w:tc>
      </w:tr>
      <w:tr w:rsidR="005A4227" w:rsidRPr="00285FF2" w14:paraId="785803D8" w14:textId="77777777" w:rsidTr="006F2BF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98" w:type="pct"/>
            <w:tcBorders>
              <w:top w:val="none" w:sz="0" w:space="0" w:color="auto"/>
              <w:left w:val="none" w:sz="0" w:space="0" w:color="auto"/>
              <w:bottom w:val="none" w:sz="0" w:space="0" w:color="auto"/>
              <w:right w:val="nil"/>
            </w:tcBorders>
            <w:vAlign w:val="center"/>
          </w:tcPr>
          <w:p w14:paraId="6EC83B63" w14:textId="77777777" w:rsidR="005A4227" w:rsidRPr="00A90303" w:rsidRDefault="005A4227" w:rsidP="00896629">
            <w:pPr>
              <w:spacing w:afterLines="240" w:after="576"/>
              <w:contextualSpacing/>
              <w:jc w:val="left"/>
              <w:rPr>
                <w:rFonts w:ascii="Century Gothic" w:hAnsi="Century Gothic" w:cs="Arial"/>
                <w:bCs/>
                <w:sz w:val="18"/>
                <w:szCs w:val="18"/>
                <w:lang w:val="es-ES" w:eastAsia="en-GB"/>
              </w:rPr>
            </w:pPr>
            <w:r w:rsidRPr="00A90303">
              <w:rPr>
                <w:rFonts w:ascii="Century Gothic" w:hAnsi="Century Gothic" w:cs="Arial"/>
                <w:sz w:val="18"/>
                <w:szCs w:val="18"/>
                <w:lang w:val="es-ES"/>
              </w:rPr>
              <w:t>Medianas (50-249 asalariados)</w:t>
            </w:r>
          </w:p>
        </w:tc>
        <w:tc>
          <w:tcPr>
            <w:tcW w:w="1373"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29B3C07" w14:textId="22703EDC" w:rsidR="005A4227" w:rsidRPr="00BD3716" w:rsidRDefault="005A4227" w:rsidP="006D7E32">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szCs w:val="18"/>
                <w:lang w:val="es-ES" w:eastAsia="en-GB"/>
              </w:rPr>
            </w:pPr>
            <w:r w:rsidRPr="00BD3716">
              <w:rPr>
                <w:rFonts w:ascii="Century Gothic" w:hAnsi="Century Gothic" w:cs="Arial"/>
                <w:sz w:val="18"/>
                <w:szCs w:val="18"/>
              </w:rPr>
              <w:t>17,</w:t>
            </w:r>
            <w:r w:rsidR="006D7E32">
              <w:rPr>
                <w:rFonts w:ascii="Century Gothic" w:hAnsi="Century Gothic" w:cs="Arial"/>
                <w:sz w:val="18"/>
                <w:szCs w:val="18"/>
              </w:rPr>
              <w:t>8</w:t>
            </w:r>
            <w:r w:rsidRPr="00BD3716">
              <w:rPr>
                <w:rFonts w:ascii="Century Gothic" w:hAnsi="Century Gothic" w:cs="Arial"/>
                <w:sz w:val="18"/>
                <w:szCs w:val="18"/>
              </w:rPr>
              <w:t>%</w:t>
            </w:r>
          </w:p>
        </w:tc>
        <w:tc>
          <w:tcPr>
            <w:tcW w:w="1629" w:type="pct"/>
            <w:tcBorders>
              <w:top w:val="none" w:sz="0" w:space="0" w:color="auto"/>
              <w:left w:val="none" w:sz="0" w:space="0" w:color="auto"/>
              <w:bottom w:val="none" w:sz="0" w:space="0" w:color="auto"/>
            </w:tcBorders>
            <w:shd w:val="clear" w:color="auto" w:fill="auto"/>
            <w:noWrap/>
            <w:vAlign w:val="center"/>
            <w:hideMark/>
          </w:tcPr>
          <w:p w14:paraId="685AA425" w14:textId="77777777" w:rsidR="005A4227" w:rsidRPr="00BD3716" w:rsidRDefault="005A4227" w:rsidP="00896629">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BD3716">
              <w:rPr>
                <w:rFonts w:ascii="Century Gothic" w:hAnsi="Century Gothic" w:cs="Arial"/>
                <w:sz w:val="18"/>
                <w:szCs w:val="18"/>
              </w:rPr>
              <w:t>18,2%</w:t>
            </w:r>
          </w:p>
        </w:tc>
      </w:tr>
      <w:tr w:rsidR="005A4227" w:rsidRPr="00285FF2" w14:paraId="674FD365" w14:textId="77777777" w:rsidTr="006F2BFD">
        <w:trPr>
          <w:trHeight w:val="250"/>
        </w:trPr>
        <w:tc>
          <w:tcPr>
            <w:cnfStyle w:val="001000000000" w:firstRow="0" w:lastRow="0" w:firstColumn="1" w:lastColumn="0" w:oddVBand="0" w:evenVBand="0" w:oddHBand="0" w:evenHBand="0" w:firstRowFirstColumn="0" w:firstRowLastColumn="0" w:lastRowFirstColumn="0" w:lastRowLastColumn="0"/>
            <w:tcW w:w="1998" w:type="pct"/>
            <w:tcBorders>
              <w:left w:val="none" w:sz="0" w:space="0" w:color="auto"/>
              <w:bottom w:val="none" w:sz="0" w:space="0" w:color="auto"/>
              <w:right w:val="nil"/>
            </w:tcBorders>
            <w:vAlign w:val="center"/>
          </w:tcPr>
          <w:p w14:paraId="63985E97" w14:textId="77777777" w:rsidR="005A4227" w:rsidRPr="00A90303" w:rsidRDefault="005A4227" w:rsidP="00896629">
            <w:pPr>
              <w:spacing w:afterLines="240" w:after="576"/>
              <w:contextualSpacing/>
              <w:jc w:val="left"/>
              <w:rPr>
                <w:rFonts w:ascii="Century Gothic" w:hAnsi="Century Gothic" w:cs="Arial"/>
                <w:bCs/>
                <w:sz w:val="18"/>
                <w:szCs w:val="18"/>
                <w:lang w:val="es-ES" w:eastAsia="en-GB"/>
              </w:rPr>
            </w:pPr>
            <w:r w:rsidRPr="00A90303">
              <w:rPr>
                <w:rFonts w:ascii="Century Gothic" w:hAnsi="Century Gothic" w:cs="Arial"/>
                <w:b/>
                <w:bCs/>
                <w:sz w:val="18"/>
                <w:szCs w:val="18"/>
                <w:lang w:val="es-ES"/>
              </w:rPr>
              <w:t>PYMES (0-249 asalariados)</w:t>
            </w:r>
          </w:p>
        </w:tc>
        <w:tc>
          <w:tcPr>
            <w:tcW w:w="1373" w:type="pct"/>
            <w:shd w:val="clear" w:color="auto" w:fill="auto"/>
            <w:noWrap/>
            <w:vAlign w:val="center"/>
            <w:hideMark/>
          </w:tcPr>
          <w:p w14:paraId="6771C110" w14:textId="6FECDA55" w:rsidR="005A4227" w:rsidRPr="00BD3716" w:rsidRDefault="005A4227" w:rsidP="006D7E32">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BD3716">
              <w:rPr>
                <w:rFonts w:ascii="Century Gothic" w:hAnsi="Century Gothic" w:cs="Arial"/>
                <w:b/>
                <w:sz w:val="18"/>
                <w:szCs w:val="18"/>
              </w:rPr>
              <w:t>61,</w:t>
            </w:r>
            <w:r w:rsidR="006D7E32">
              <w:rPr>
                <w:rFonts w:ascii="Century Gothic" w:hAnsi="Century Gothic" w:cs="Arial"/>
                <w:b/>
                <w:sz w:val="18"/>
                <w:szCs w:val="18"/>
              </w:rPr>
              <w:t>8</w:t>
            </w:r>
            <w:r w:rsidRPr="00BD3716">
              <w:rPr>
                <w:rFonts w:ascii="Century Gothic" w:hAnsi="Century Gothic" w:cs="Arial"/>
                <w:b/>
                <w:sz w:val="18"/>
                <w:szCs w:val="18"/>
              </w:rPr>
              <w:t>%</w:t>
            </w:r>
          </w:p>
        </w:tc>
        <w:tc>
          <w:tcPr>
            <w:tcW w:w="1629" w:type="pct"/>
            <w:shd w:val="clear" w:color="auto" w:fill="auto"/>
            <w:noWrap/>
            <w:vAlign w:val="center"/>
            <w:hideMark/>
          </w:tcPr>
          <w:p w14:paraId="12086678" w14:textId="7F653476" w:rsidR="005A4227" w:rsidRPr="00BD3716" w:rsidRDefault="005A4227" w:rsidP="006D7E32">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BD3716">
              <w:rPr>
                <w:rFonts w:ascii="Century Gothic" w:hAnsi="Century Gothic" w:cs="Arial"/>
                <w:b/>
                <w:sz w:val="18"/>
                <w:szCs w:val="18"/>
              </w:rPr>
              <w:t>5</w:t>
            </w:r>
            <w:r w:rsidR="006D7E32">
              <w:rPr>
                <w:rFonts w:ascii="Century Gothic" w:hAnsi="Century Gothic" w:cs="Arial"/>
                <w:b/>
                <w:sz w:val="18"/>
                <w:szCs w:val="18"/>
              </w:rPr>
              <w:t>6</w:t>
            </w:r>
            <w:r w:rsidRPr="00BD3716">
              <w:rPr>
                <w:rFonts w:ascii="Century Gothic" w:hAnsi="Century Gothic" w:cs="Arial"/>
                <w:b/>
                <w:sz w:val="18"/>
                <w:szCs w:val="18"/>
              </w:rPr>
              <w:t>,</w:t>
            </w:r>
            <w:r w:rsidR="006D7E32">
              <w:rPr>
                <w:rFonts w:ascii="Century Gothic" w:hAnsi="Century Gothic" w:cs="Arial"/>
                <w:b/>
                <w:sz w:val="18"/>
                <w:szCs w:val="18"/>
              </w:rPr>
              <w:t>8</w:t>
            </w:r>
            <w:r w:rsidRPr="00BD3716">
              <w:rPr>
                <w:rFonts w:ascii="Century Gothic" w:hAnsi="Century Gothic" w:cs="Arial"/>
                <w:b/>
                <w:sz w:val="18"/>
                <w:szCs w:val="18"/>
              </w:rPr>
              <w:t>%</w:t>
            </w:r>
          </w:p>
        </w:tc>
      </w:tr>
      <w:tr w:rsidR="005A4227" w:rsidRPr="00285FF2" w14:paraId="1FFD7C3A" w14:textId="77777777" w:rsidTr="006F2BF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98" w:type="pct"/>
            <w:tcBorders>
              <w:top w:val="none" w:sz="0" w:space="0" w:color="auto"/>
              <w:left w:val="none" w:sz="0" w:space="0" w:color="auto"/>
              <w:bottom w:val="none" w:sz="0" w:space="0" w:color="auto"/>
              <w:right w:val="nil"/>
            </w:tcBorders>
            <w:vAlign w:val="center"/>
          </w:tcPr>
          <w:p w14:paraId="7C6DC6AB" w14:textId="77777777" w:rsidR="005A4227" w:rsidRPr="00A90303" w:rsidRDefault="005A4227" w:rsidP="00896629">
            <w:pPr>
              <w:spacing w:afterLines="240" w:after="576"/>
              <w:contextualSpacing/>
              <w:jc w:val="left"/>
              <w:rPr>
                <w:rFonts w:ascii="Century Gothic" w:hAnsi="Century Gothic" w:cs="Arial"/>
                <w:bCs/>
                <w:sz w:val="18"/>
                <w:szCs w:val="18"/>
                <w:lang w:val="es-ES" w:eastAsia="en-GB"/>
              </w:rPr>
            </w:pPr>
            <w:r w:rsidRPr="00A90303">
              <w:rPr>
                <w:rFonts w:ascii="Century Gothic" w:hAnsi="Century Gothic" w:cs="Arial"/>
                <w:sz w:val="18"/>
                <w:szCs w:val="18"/>
                <w:lang w:val="es-ES"/>
              </w:rPr>
              <w:t>Grandes (250 o más asalariados)</w:t>
            </w:r>
          </w:p>
        </w:tc>
        <w:tc>
          <w:tcPr>
            <w:tcW w:w="1373"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A6B8D6D" w14:textId="0E451D10" w:rsidR="005A4227" w:rsidRPr="006D7E32" w:rsidRDefault="005A4227" w:rsidP="006D7E32">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6D7E32">
              <w:rPr>
                <w:rFonts w:ascii="Century Gothic" w:hAnsi="Century Gothic" w:cs="Arial"/>
                <w:sz w:val="18"/>
                <w:szCs w:val="18"/>
              </w:rPr>
              <w:t>38,</w:t>
            </w:r>
            <w:r w:rsidR="006D7E32" w:rsidRPr="006D7E32">
              <w:rPr>
                <w:rFonts w:ascii="Century Gothic" w:hAnsi="Century Gothic" w:cs="Arial"/>
                <w:sz w:val="18"/>
                <w:szCs w:val="18"/>
              </w:rPr>
              <w:t>2</w:t>
            </w:r>
            <w:r w:rsidRPr="006D7E32">
              <w:rPr>
                <w:rFonts w:ascii="Century Gothic" w:hAnsi="Century Gothic" w:cs="Arial"/>
                <w:sz w:val="18"/>
                <w:szCs w:val="18"/>
              </w:rPr>
              <w:t>%</w:t>
            </w:r>
          </w:p>
        </w:tc>
        <w:tc>
          <w:tcPr>
            <w:tcW w:w="1629" w:type="pct"/>
            <w:tcBorders>
              <w:top w:val="none" w:sz="0" w:space="0" w:color="auto"/>
              <w:left w:val="none" w:sz="0" w:space="0" w:color="auto"/>
              <w:bottom w:val="none" w:sz="0" w:space="0" w:color="auto"/>
            </w:tcBorders>
            <w:shd w:val="clear" w:color="auto" w:fill="auto"/>
            <w:noWrap/>
            <w:vAlign w:val="center"/>
            <w:hideMark/>
          </w:tcPr>
          <w:p w14:paraId="2B1D5974" w14:textId="6344EBBF" w:rsidR="005A4227" w:rsidRPr="006D7E32" w:rsidRDefault="005A4227" w:rsidP="006D7E32">
            <w:pPr>
              <w:spacing w:afterLines="240" w:after="576"/>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6D7E32">
              <w:rPr>
                <w:rFonts w:ascii="Century Gothic" w:hAnsi="Century Gothic" w:cs="Arial"/>
                <w:sz w:val="18"/>
                <w:szCs w:val="18"/>
              </w:rPr>
              <w:t>4</w:t>
            </w:r>
            <w:r w:rsidR="006D7E32" w:rsidRPr="006D7E32">
              <w:rPr>
                <w:rFonts w:ascii="Century Gothic" w:hAnsi="Century Gothic" w:cs="Arial"/>
                <w:sz w:val="18"/>
                <w:szCs w:val="18"/>
              </w:rPr>
              <w:t>3</w:t>
            </w:r>
            <w:r w:rsidRPr="006D7E32">
              <w:rPr>
                <w:rFonts w:ascii="Century Gothic" w:hAnsi="Century Gothic" w:cs="Arial"/>
                <w:sz w:val="18"/>
                <w:szCs w:val="18"/>
              </w:rPr>
              <w:t>,</w:t>
            </w:r>
            <w:r w:rsidR="006D7E32" w:rsidRPr="006D7E32">
              <w:rPr>
                <w:rFonts w:ascii="Century Gothic" w:hAnsi="Century Gothic" w:cs="Arial"/>
                <w:sz w:val="18"/>
                <w:szCs w:val="18"/>
              </w:rPr>
              <w:t>2</w:t>
            </w:r>
            <w:r w:rsidRPr="006D7E32">
              <w:rPr>
                <w:rFonts w:ascii="Century Gothic" w:hAnsi="Century Gothic" w:cs="Arial"/>
                <w:sz w:val="18"/>
                <w:szCs w:val="18"/>
              </w:rPr>
              <w:t>%</w:t>
            </w:r>
          </w:p>
        </w:tc>
      </w:tr>
      <w:tr w:rsidR="005A4227" w:rsidRPr="00285FF2" w14:paraId="3C839F68" w14:textId="77777777" w:rsidTr="006F2BFD">
        <w:trPr>
          <w:trHeight w:val="250"/>
        </w:trPr>
        <w:tc>
          <w:tcPr>
            <w:cnfStyle w:val="001000000000" w:firstRow="0" w:lastRow="0" w:firstColumn="1" w:lastColumn="0" w:oddVBand="0" w:evenVBand="0" w:oddHBand="0" w:evenHBand="0" w:firstRowFirstColumn="0" w:firstRowLastColumn="0" w:lastRowFirstColumn="0" w:lastRowLastColumn="0"/>
            <w:tcW w:w="1998" w:type="pct"/>
            <w:tcBorders>
              <w:left w:val="none" w:sz="0" w:space="0" w:color="auto"/>
              <w:bottom w:val="none" w:sz="0" w:space="0" w:color="auto"/>
              <w:right w:val="nil"/>
            </w:tcBorders>
            <w:noWrap/>
            <w:vAlign w:val="center"/>
          </w:tcPr>
          <w:p w14:paraId="5A9382AD" w14:textId="77777777" w:rsidR="005A4227" w:rsidRPr="00A90303" w:rsidRDefault="005A4227" w:rsidP="00896629">
            <w:pPr>
              <w:spacing w:afterLines="240" w:after="576"/>
              <w:contextualSpacing/>
              <w:jc w:val="left"/>
              <w:rPr>
                <w:rFonts w:ascii="Century Gothic" w:hAnsi="Century Gothic" w:cs="Arial"/>
                <w:bCs/>
                <w:sz w:val="18"/>
                <w:szCs w:val="18"/>
                <w:lang w:val="es-ES" w:eastAsia="en-GB"/>
              </w:rPr>
            </w:pPr>
            <w:r w:rsidRPr="00A90303">
              <w:rPr>
                <w:rFonts w:ascii="Century Gothic" w:hAnsi="Century Gothic" w:cs="Arial"/>
                <w:sz w:val="18"/>
                <w:szCs w:val="18"/>
                <w:lang w:val="es-ES"/>
              </w:rPr>
              <w:t>T</w:t>
            </w:r>
            <w:r w:rsidRPr="00A90303">
              <w:rPr>
                <w:rFonts w:ascii="Century Gothic" w:hAnsi="Century Gothic" w:cs="Arial"/>
                <w:b/>
                <w:bCs/>
                <w:sz w:val="18"/>
                <w:szCs w:val="18"/>
                <w:lang w:val="es-ES"/>
              </w:rPr>
              <w:t>OTAL</w:t>
            </w:r>
          </w:p>
        </w:tc>
        <w:tc>
          <w:tcPr>
            <w:tcW w:w="1373" w:type="pct"/>
            <w:tcBorders>
              <w:top w:val="nil"/>
              <w:bottom w:val="nil"/>
            </w:tcBorders>
            <w:shd w:val="clear" w:color="auto" w:fill="auto"/>
            <w:noWrap/>
            <w:vAlign w:val="center"/>
            <w:hideMark/>
          </w:tcPr>
          <w:p w14:paraId="68091D3B" w14:textId="77777777" w:rsidR="005A4227" w:rsidRPr="00BD3716" w:rsidRDefault="005A4227" w:rsidP="00896629">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BD3716">
              <w:rPr>
                <w:rFonts w:ascii="Century Gothic" w:hAnsi="Century Gothic" w:cs="Arial"/>
                <w:sz w:val="18"/>
                <w:szCs w:val="18"/>
              </w:rPr>
              <w:t>100,0%</w:t>
            </w:r>
          </w:p>
        </w:tc>
        <w:tc>
          <w:tcPr>
            <w:tcW w:w="1629" w:type="pct"/>
            <w:tcBorders>
              <w:top w:val="nil"/>
              <w:bottom w:val="nil"/>
            </w:tcBorders>
            <w:shd w:val="clear" w:color="auto" w:fill="BFBFBF" w:themeFill="background1" w:themeFillShade="BF"/>
            <w:noWrap/>
            <w:vAlign w:val="center"/>
            <w:hideMark/>
          </w:tcPr>
          <w:p w14:paraId="40B36056" w14:textId="77777777" w:rsidR="005A4227" w:rsidRPr="00BD3716" w:rsidRDefault="005A4227" w:rsidP="00896629">
            <w:pPr>
              <w:spacing w:afterLines="240" w:after="576"/>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sidRPr="00BD3716">
              <w:rPr>
                <w:rFonts w:ascii="Century Gothic" w:hAnsi="Century Gothic" w:cs="Arial"/>
                <w:sz w:val="18"/>
                <w:szCs w:val="18"/>
              </w:rPr>
              <w:t>100,0%</w:t>
            </w:r>
          </w:p>
        </w:tc>
      </w:tr>
      <w:tr w:rsidR="009D10FF" w:rsidRPr="002D17B9" w14:paraId="1BE4D1F5" w14:textId="77777777" w:rsidTr="006F2BF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il"/>
            </w:tcBorders>
            <w:noWrap/>
            <w:vAlign w:val="center"/>
          </w:tcPr>
          <w:p w14:paraId="53205EE1" w14:textId="39FD28E8" w:rsidR="009D10FF" w:rsidRPr="009D10FF" w:rsidRDefault="009D10FF" w:rsidP="009D10FF">
            <w:pPr>
              <w:spacing w:afterLines="240" w:after="576"/>
              <w:contextualSpacing/>
              <w:rPr>
                <w:rFonts w:ascii="Century Gothic" w:hAnsi="Century Gothic" w:cs="Arial"/>
                <w:i/>
                <w:sz w:val="16"/>
                <w:szCs w:val="18"/>
                <w:lang w:val="es-ES" w:eastAsia="en-GB"/>
              </w:rPr>
            </w:pPr>
            <w:r w:rsidRPr="009D10FF">
              <w:rPr>
                <w:rFonts w:ascii="Century Gothic" w:hAnsi="Century Gothic" w:cs="Arial"/>
                <w:i/>
                <w:sz w:val="16"/>
                <w:szCs w:val="18"/>
                <w:lang w:val="es-ES" w:eastAsia="en-GB"/>
              </w:rPr>
              <w:t>Fuente: Comisión Europea, 2017 SBA Fact Sheet Spain. Estimaciones para 2016 basadas en datos de Eurostat.</w:t>
            </w:r>
          </w:p>
        </w:tc>
      </w:tr>
    </w:tbl>
    <w:p w14:paraId="32046B4C" w14:textId="4249852A" w:rsidR="002A13F2" w:rsidRPr="008B6C6C" w:rsidRDefault="00A90303" w:rsidP="000A338B">
      <w:pPr>
        <w:pStyle w:val="Body"/>
        <w:rPr>
          <w:b/>
        </w:rPr>
      </w:pPr>
      <w:r>
        <w:rPr>
          <w:rFonts w:cs="Arial"/>
        </w:rPr>
        <w:t>En cuanto</w:t>
      </w:r>
      <w:r w:rsidR="00422170">
        <w:rPr>
          <w:rFonts w:cs="Arial"/>
        </w:rPr>
        <w:t xml:space="preserve"> a la distribución territorial,</w:t>
      </w:r>
      <w:r w:rsidR="004C488F">
        <w:rPr>
          <w:rFonts w:cs="Arial"/>
        </w:rPr>
        <w:t xml:space="preserve"> se observa una alta concentración geográfica del número de empresas, ya que</w:t>
      </w:r>
      <w:r w:rsidR="00422170">
        <w:rPr>
          <w:rFonts w:cs="Arial"/>
        </w:rPr>
        <w:t xml:space="preserve"> el 51% de los autónomos y el 49% de las</w:t>
      </w:r>
      <w:r w:rsidR="00727EBE">
        <w:rPr>
          <w:rFonts w:cs="Arial"/>
        </w:rPr>
        <w:t xml:space="preserve"> PYME </w:t>
      </w:r>
      <w:r w:rsidR="00422170">
        <w:rPr>
          <w:rFonts w:cs="Arial"/>
        </w:rPr>
        <w:t xml:space="preserve">se concentran en </w:t>
      </w:r>
      <w:r w:rsidR="00D14A34">
        <w:rPr>
          <w:rFonts w:cs="Arial"/>
        </w:rPr>
        <w:t>tres Comunidades Autónomas: Cataluña, Madrid y Andalucía</w:t>
      </w:r>
      <w:r w:rsidR="00F7012A">
        <w:rPr>
          <w:rFonts w:cs="Arial"/>
        </w:rPr>
        <w:t xml:space="preserve"> (</w:t>
      </w:r>
      <w:r w:rsidR="00F7012A" w:rsidRPr="00F7012A">
        <w:rPr>
          <w:rFonts w:cs="Arial"/>
          <w:highlight w:val="yellow"/>
        </w:rPr>
        <w:t xml:space="preserve">gráfico </w:t>
      </w:r>
      <w:r w:rsidR="00E40DE4">
        <w:rPr>
          <w:rFonts w:cs="Arial"/>
        </w:rPr>
        <w:t>4</w:t>
      </w:r>
      <w:r w:rsidR="00F7012A">
        <w:rPr>
          <w:rFonts w:cs="Arial"/>
        </w:rPr>
        <w:t>)</w:t>
      </w:r>
      <w:r w:rsidR="00D14A34">
        <w:rPr>
          <w:rFonts w:cs="Arial"/>
        </w:rPr>
        <w:t>.</w:t>
      </w:r>
    </w:p>
    <w:tbl>
      <w:tblPr>
        <w:tblStyle w:val="Listamedia2"/>
        <w:tblW w:w="5000" w:type="pct"/>
        <w:tblBorders>
          <w:top w:val="none" w:sz="0" w:space="0" w:color="auto"/>
          <w:left w:val="none" w:sz="0" w:space="0" w:color="auto"/>
          <w:bottom w:val="none" w:sz="0" w:space="0" w:color="auto"/>
          <w:right w:val="none" w:sz="0" w:space="0" w:color="auto"/>
        </w:tblBorders>
        <w:tblCellMar>
          <w:top w:w="108" w:type="dxa"/>
          <w:bottom w:w="108" w:type="dxa"/>
        </w:tblCellMar>
        <w:tblLook w:val="04A0" w:firstRow="1" w:lastRow="0" w:firstColumn="1" w:lastColumn="0" w:noHBand="0" w:noVBand="1"/>
      </w:tblPr>
      <w:tblGrid>
        <w:gridCol w:w="9071"/>
      </w:tblGrid>
      <w:tr w:rsidR="000A338B" w:rsidRPr="002D17B9" w14:paraId="5048FE40" w14:textId="77777777" w:rsidTr="000A338B">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52C4504A" w14:textId="5E7ACC4E" w:rsidR="000A338B" w:rsidRPr="000A338B" w:rsidRDefault="000A338B" w:rsidP="000A338B">
            <w:pPr>
              <w:pStyle w:val="Descripcin1"/>
              <w:spacing w:after="0"/>
              <w:jc w:val="center"/>
              <w:rPr>
                <w:b w:val="0"/>
                <w:szCs w:val="18"/>
              </w:rPr>
            </w:pPr>
            <w:bookmarkStart w:id="12" w:name="_Toc526942112"/>
            <w:r w:rsidRPr="000A338B">
              <w:rPr>
                <w:b w:val="0"/>
                <w:szCs w:val="18"/>
              </w:rPr>
              <w:lastRenderedPageBreak/>
              <w:t xml:space="preserve">Gráfico </w:t>
            </w:r>
            <w:r w:rsidRPr="000A338B">
              <w:rPr>
                <w:b w:val="0"/>
                <w:szCs w:val="18"/>
              </w:rPr>
              <w:fldChar w:fldCharType="begin"/>
            </w:r>
            <w:r w:rsidRPr="000A338B">
              <w:rPr>
                <w:b w:val="0"/>
                <w:szCs w:val="18"/>
              </w:rPr>
              <w:instrText xml:space="preserve"> SEQ Gráfico \* ARABIC </w:instrText>
            </w:r>
            <w:r w:rsidRPr="000A338B">
              <w:rPr>
                <w:b w:val="0"/>
                <w:szCs w:val="18"/>
              </w:rPr>
              <w:fldChar w:fldCharType="separate"/>
            </w:r>
            <w:r w:rsidR="00764C39">
              <w:rPr>
                <w:b w:val="0"/>
                <w:noProof/>
                <w:szCs w:val="18"/>
              </w:rPr>
              <w:t>4</w:t>
            </w:r>
            <w:r w:rsidRPr="000A338B">
              <w:rPr>
                <w:b w:val="0"/>
                <w:szCs w:val="18"/>
              </w:rPr>
              <w:fldChar w:fldCharType="end"/>
            </w:r>
            <w:r w:rsidRPr="000A338B">
              <w:rPr>
                <w:b w:val="0"/>
                <w:szCs w:val="18"/>
              </w:rPr>
              <w:t>. Distribución territorial de los autónomos y las PYME en España</w:t>
            </w:r>
            <w:bookmarkEnd w:id="12"/>
          </w:p>
        </w:tc>
      </w:tr>
      <w:tr w:rsidR="009160AC" w:rsidRPr="009160AC" w14:paraId="683AC76A" w14:textId="77777777" w:rsidTr="000A338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6E95145B" w14:textId="38EF5956" w:rsidR="009160AC" w:rsidRPr="009160AC" w:rsidRDefault="00710041" w:rsidP="00D2327E">
            <w:pPr>
              <w:contextualSpacing/>
              <w:jc w:val="center"/>
              <w:rPr>
                <w:rFonts w:ascii="Century Gothic" w:hAnsi="Century Gothic" w:cs="Arial"/>
                <w:color w:val="000000"/>
                <w:sz w:val="18"/>
                <w:szCs w:val="18"/>
                <w:lang w:val="es-ES"/>
              </w:rPr>
            </w:pPr>
            <w:r>
              <w:rPr>
                <w:rFonts w:ascii="Century Gothic" w:hAnsi="Century Gothic" w:cs="Arial"/>
                <w:noProof/>
                <w:color w:val="000000"/>
                <w:sz w:val="18"/>
                <w:szCs w:val="18"/>
                <w:lang w:val="es-ES" w:eastAsia="es-ES"/>
              </w:rPr>
              <w:drawing>
                <wp:inline distT="0" distB="0" distL="0" distR="0" wp14:anchorId="7ADFD3EE" wp14:editId="5A9594A6">
                  <wp:extent cx="5876343" cy="35528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063" cy="3552051"/>
                          </a:xfrm>
                          <a:prstGeom prst="rect">
                            <a:avLst/>
                          </a:prstGeom>
                          <a:noFill/>
                        </pic:spPr>
                      </pic:pic>
                    </a:graphicData>
                  </a:graphic>
                </wp:inline>
              </w:drawing>
            </w:r>
          </w:p>
        </w:tc>
      </w:tr>
      <w:tr w:rsidR="009160AC" w:rsidRPr="002D17B9" w14:paraId="6FED8BB0" w14:textId="77777777" w:rsidTr="000A338B">
        <w:trPr>
          <w:trHeight w:val="250"/>
        </w:trPr>
        <w:tc>
          <w:tcPr>
            <w:cnfStyle w:val="001000000000" w:firstRow="0" w:lastRow="0" w:firstColumn="1" w:lastColumn="0" w:oddVBand="0" w:evenVBand="0" w:oddHBand="0" w:evenHBand="0" w:firstRowFirstColumn="0" w:firstRowLastColumn="0" w:lastRowFirstColumn="0" w:lastRowLastColumn="0"/>
            <w:tcW w:w="5000" w:type="pct"/>
            <w:tcBorders>
              <w:left w:val="none" w:sz="0" w:space="0" w:color="auto"/>
              <w:bottom w:val="none" w:sz="0" w:space="0" w:color="auto"/>
              <w:right w:val="none" w:sz="0" w:space="0" w:color="auto"/>
            </w:tcBorders>
            <w:shd w:val="clear" w:color="auto" w:fill="auto"/>
            <w:vAlign w:val="center"/>
          </w:tcPr>
          <w:p w14:paraId="32011E20" w14:textId="730828EF" w:rsidR="009160AC" w:rsidRPr="006D0E9D" w:rsidRDefault="009160AC" w:rsidP="002E468C">
            <w:pPr>
              <w:contextualSpacing/>
              <w:rPr>
                <w:rFonts w:ascii="Century Gothic" w:hAnsi="Century Gothic" w:cs="Arial"/>
                <w:color w:val="000000"/>
                <w:sz w:val="18"/>
                <w:szCs w:val="18"/>
                <w:lang w:val="es-ES"/>
              </w:rPr>
            </w:pPr>
            <w:r w:rsidRPr="009160AC">
              <w:rPr>
                <w:rFonts w:ascii="Century Gothic" w:hAnsi="Century Gothic" w:cs="Arial"/>
                <w:i/>
                <w:sz w:val="16"/>
                <w:szCs w:val="18"/>
                <w:lang w:val="es-ES" w:eastAsia="en-GB"/>
              </w:rPr>
              <w:t>Fuente:</w:t>
            </w:r>
            <w:r w:rsidR="002E468C">
              <w:rPr>
                <w:rFonts w:ascii="Century Gothic" w:hAnsi="Century Gothic" w:cs="Arial"/>
                <w:i/>
                <w:sz w:val="16"/>
                <w:szCs w:val="18"/>
                <w:lang w:val="es-ES" w:eastAsia="en-GB"/>
              </w:rPr>
              <w:t xml:space="preserve"> </w:t>
            </w:r>
            <w:r w:rsidR="006D0E9D" w:rsidRPr="006D0E9D">
              <w:rPr>
                <w:rFonts w:ascii="Century Gothic" w:hAnsi="Century Gothic" w:cs="Arial"/>
                <w:i/>
                <w:sz w:val="16"/>
                <w:szCs w:val="18"/>
                <w:highlight w:val="yellow"/>
                <w:lang w:val="es-ES" w:eastAsia="en-GB"/>
              </w:rPr>
              <w:t>Elaboración propia a partir de datos del DIRCE a 1 de enero de 2017</w:t>
            </w:r>
            <w:r w:rsidR="00611EC1">
              <w:rPr>
                <w:rFonts w:ascii="Century Gothic" w:hAnsi="Century Gothic" w:cs="Arial"/>
                <w:i/>
                <w:sz w:val="16"/>
                <w:szCs w:val="18"/>
                <w:lang w:val="es-ES" w:eastAsia="en-GB"/>
              </w:rPr>
              <w:t xml:space="preserve">. </w:t>
            </w:r>
            <w:r w:rsidR="00611EC1" w:rsidRPr="005B47DF">
              <w:rPr>
                <w:rFonts w:ascii="Century Gothic" w:hAnsi="Century Gothic" w:cs="Arial"/>
                <w:i/>
                <w:sz w:val="16"/>
                <w:szCs w:val="18"/>
                <w:lang w:val="es-ES" w:eastAsia="en-GB"/>
              </w:rPr>
              <w:t>Las empresas del DIRCE con forma jurídica de persona física se asimilan a autónomos a los efectos de este Gráfico.</w:t>
            </w:r>
          </w:p>
        </w:tc>
      </w:tr>
    </w:tbl>
    <w:p w14:paraId="0714C585" w14:textId="77777777" w:rsidR="00422170" w:rsidRDefault="00422170" w:rsidP="000A338B">
      <w:pPr>
        <w:pStyle w:val="Body"/>
        <w:spacing w:after="0"/>
        <w:rPr>
          <w:rFonts w:cs="Arial"/>
        </w:rPr>
      </w:pPr>
    </w:p>
    <w:p w14:paraId="42EA260E" w14:textId="51431155" w:rsidR="001E0751" w:rsidRDefault="00AC4D20" w:rsidP="00200E7B">
      <w:pPr>
        <w:pStyle w:val="Body"/>
        <w:rPr>
          <w:rFonts w:cs="Arial"/>
        </w:rPr>
      </w:pPr>
      <w:r>
        <w:rPr>
          <w:rFonts w:cs="Arial"/>
        </w:rPr>
        <w:t>Por lo que se refiere</w:t>
      </w:r>
      <w:r w:rsidR="00422C9B">
        <w:rPr>
          <w:rFonts w:cs="Arial"/>
        </w:rPr>
        <w:t xml:space="preserve"> a la distribución sectorial, </w:t>
      </w:r>
      <w:r w:rsidR="001E0751" w:rsidRPr="00200E7B">
        <w:rPr>
          <w:rFonts w:cs="Arial"/>
        </w:rPr>
        <w:t xml:space="preserve">según datos </w:t>
      </w:r>
      <w:r w:rsidR="00285FF2">
        <w:rPr>
          <w:rFonts w:cs="Arial"/>
        </w:rPr>
        <w:t>del Ministerio de Empleo y Seguridad Social</w:t>
      </w:r>
      <w:r w:rsidR="001E0751" w:rsidRPr="00200E7B">
        <w:rPr>
          <w:rFonts w:cs="Arial"/>
        </w:rPr>
        <w:t xml:space="preserve"> </w:t>
      </w:r>
      <w:r w:rsidR="00422C9B">
        <w:rPr>
          <w:rFonts w:cs="Arial"/>
        </w:rPr>
        <w:t xml:space="preserve">se </w:t>
      </w:r>
      <w:r w:rsidR="001E0751" w:rsidRPr="00200E7B">
        <w:rPr>
          <w:rFonts w:cs="Arial"/>
        </w:rPr>
        <w:t xml:space="preserve">observa que </w:t>
      </w:r>
      <w:r w:rsidR="00285FF2">
        <w:rPr>
          <w:rFonts w:cs="Arial"/>
        </w:rPr>
        <w:t>dos terceras partes</w:t>
      </w:r>
      <w:r w:rsidR="001E0751" w:rsidRPr="00200E7B">
        <w:rPr>
          <w:rFonts w:cs="Arial"/>
        </w:rPr>
        <w:t xml:space="preserve"> de las</w:t>
      </w:r>
      <w:r w:rsidR="00727EBE">
        <w:rPr>
          <w:rFonts w:cs="Arial"/>
        </w:rPr>
        <w:t xml:space="preserve"> PYME </w:t>
      </w:r>
      <w:r w:rsidR="00074AA8" w:rsidRPr="00200E7B">
        <w:rPr>
          <w:rFonts w:cs="Arial"/>
        </w:rPr>
        <w:t xml:space="preserve">son microempresas </w:t>
      </w:r>
      <w:r w:rsidR="00285FF2">
        <w:rPr>
          <w:rFonts w:cs="Arial"/>
        </w:rPr>
        <w:t xml:space="preserve">entre 1 y 9 asalariados </w:t>
      </w:r>
      <w:r w:rsidR="00074AA8" w:rsidRPr="00200E7B">
        <w:rPr>
          <w:rFonts w:cs="Arial"/>
        </w:rPr>
        <w:t xml:space="preserve">que operan en el sector </w:t>
      </w:r>
      <w:r w:rsidR="00DF1704">
        <w:rPr>
          <w:rFonts w:cs="Arial"/>
        </w:rPr>
        <w:t>servicios</w:t>
      </w:r>
      <w:r w:rsidR="009611FD">
        <w:rPr>
          <w:rFonts w:cs="Arial"/>
        </w:rPr>
        <w:t xml:space="preserve"> (</w:t>
      </w:r>
      <w:r w:rsidR="009611FD" w:rsidRPr="009611FD">
        <w:rPr>
          <w:rFonts w:cs="Arial"/>
          <w:highlight w:val="yellow"/>
        </w:rPr>
        <w:t xml:space="preserve">tabla </w:t>
      </w:r>
      <w:r w:rsidR="00E40DE4">
        <w:rPr>
          <w:rFonts w:cs="Arial"/>
        </w:rPr>
        <w:t>5</w:t>
      </w:r>
      <w:r w:rsidR="009611FD">
        <w:rPr>
          <w:rFonts w:cs="Arial"/>
        </w:rPr>
        <w:t>)</w:t>
      </w:r>
      <w:r w:rsidR="00DF1704">
        <w:rPr>
          <w:rFonts w:cs="Arial"/>
        </w:rPr>
        <w:t>:</w:t>
      </w:r>
    </w:p>
    <w:p w14:paraId="2BC2BD68" w14:textId="0F74227B" w:rsidR="00285FF2" w:rsidRPr="008B6C6C" w:rsidRDefault="00285FF2" w:rsidP="00285FF2">
      <w:pPr>
        <w:pStyle w:val="Descripcin1"/>
        <w:rPr>
          <w:b w:val="0"/>
        </w:rPr>
      </w:pPr>
      <w:bookmarkStart w:id="13" w:name="_Toc526515595"/>
      <w:r w:rsidRPr="00E7125B">
        <w:rPr>
          <w:b w:val="0"/>
          <w:highlight w:val="yellow"/>
        </w:rPr>
        <w:t xml:space="preserve">Tabla </w:t>
      </w:r>
      <w:r w:rsidRPr="00E7125B">
        <w:rPr>
          <w:b w:val="0"/>
          <w:highlight w:val="yellow"/>
        </w:rPr>
        <w:fldChar w:fldCharType="begin"/>
      </w:r>
      <w:r w:rsidRPr="00E7125B">
        <w:rPr>
          <w:b w:val="0"/>
          <w:highlight w:val="yellow"/>
        </w:rPr>
        <w:instrText xml:space="preserve"> SEQ Tabla \* ARABIC </w:instrText>
      </w:r>
      <w:r w:rsidRPr="00E7125B">
        <w:rPr>
          <w:b w:val="0"/>
          <w:highlight w:val="yellow"/>
        </w:rPr>
        <w:fldChar w:fldCharType="separate"/>
      </w:r>
      <w:r w:rsidR="00764C39">
        <w:rPr>
          <w:b w:val="0"/>
          <w:noProof/>
          <w:highlight w:val="yellow"/>
        </w:rPr>
        <w:t>5</w:t>
      </w:r>
      <w:r w:rsidRPr="00E7125B">
        <w:rPr>
          <w:b w:val="0"/>
          <w:highlight w:val="yellow"/>
        </w:rPr>
        <w:fldChar w:fldCharType="end"/>
      </w:r>
      <w:r w:rsidRPr="00E7125B">
        <w:rPr>
          <w:b w:val="0"/>
          <w:highlight w:val="yellow"/>
        </w:rPr>
        <w:t>. Distribución de PYME en función del sector en el que operan</w:t>
      </w:r>
      <w:bookmarkEnd w:id="13"/>
    </w:p>
    <w:tbl>
      <w:tblPr>
        <w:tblW w:w="8874" w:type="dxa"/>
        <w:tblInd w:w="-15" w:type="dxa"/>
        <w:tblCellMar>
          <w:left w:w="0" w:type="dxa"/>
          <w:right w:w="0" w:type="dxa"/>
        </w:tblCellMar>
        <w:tblLook w:val="04A0" w:firstRow="1" w:lastRow="0" w:firstColumn="1" w:lastColumn="0" w:noHBand="0" w:noVBand="1"/>
      </w:tblPr>
      <w:tblGrid>
        <w:gridCol w:w="2070"/>
        <w:gridCol w:w="1701"/>
        <w:gridCol w:w="1417"/>
        <w:gridCol w:w="1843"/>
        <w:gridCol w:w="1843"/>
      </w:tblGrid>
      <w:tr w:rsidR="00E52EF8" w:rsidRPr="007A4170" w14:paraId="2142FD32" w14:textId="77777777" w:rsidTr="007A4170">
        <w:trPr>
          <w:trHeight w:val="570"/>
        </w:trPr>
        <w:tc>
          <w:tcPr>
            <w:tcW w:w="2070" w:type="dxa"/>
            <w:tcBorders>
              <w:top w:val="single" w:sz="12" w:space="0" w:color="FFCC00"/>
              <w:left w:val="nil"/>
              <w:bottom w:val="single" w:sz="8" w:space="0" w:color="000000"/>
              <w:right w:val="nil"/>
            </w:tcBorders>
            <w:shd w:val="clear" w:color="auto" w:fill="FFFFFF"/>
            <w:tcMar>
              <w:top w:w="0" w:type="dxa"/>
              <w:left w:w="70" w:type="dxa"/>
              <w:bottom w:w="0" w:type="dxa"/>
              <w:right w:w="70" w:type="dxa"/>
            </w:tcMar>
            <w:vAlign w:val="center"/>
            <w:hideMark/>
          </w:tcPr>
          <w:p w14:paraId="7C532C70" w14:textId="77777777" w:rsidR="008170A3" w:rsidRPr="007A4170" w:rsidRDefault="008170A3" w:rsidP="008170A3">
            <w:pPr>
              <w:pStyle w:val="Body"/>
              <w:rPr>
                <w:rFonts w:cs="Arial"/>
                <w:sz w:val="18"/>
                <w:szCs w:val="18"/>
                <w:lang w:eastAsia="en-GB"/>
              </w:rPr>
            </w:pPr>
            <w:r w:rsidRPr="007A4170">
              <w:rPr>
                <w:rFonts w:cs="Arial"/>
                <w:sz w:val="18"/>
                <w:szCs w:val="18"/>
                <w:lang w:eastAsia="en-GB"/>
              </w:rPr>
              <w:t> </w:t>
            </w:r>
          </w:p>
        </w:tc>
        <w:tc>
          <w:tcPr>
            <w:tcW w:w="1701" w:type="dxa"/>
            <w:tcBorders>
              <w:top w:val="single" w:sz="12" w:space="0" w:color="FFCC00"/>
              <w:left w:val="nil"/>
              <w:bottom w:val="single" w:sz="8" w:space="0" w:color="000000"/>
              <w:right w:val="nil"/>
            </w:tcBorders>
            <w:shd w:val="clear" w:color="auto" w:fill="FFFFFF"/>
            <w:tcMar>
              <w:top w:w="0" w:type="dxa"/>
              <w:left w:w="70" w:type="dxa"/>
              <w:bottom w:w="0" w:type="dxa"/>
              <w:right w:w="70" w:type="dxa"/>
            </w:tcMar>
            <w:vAlign w:val="center"/>
            <w:hideMark/>
          </w:tcPr>
          <w:p w14:paraId="1DDCBBD3" w14:textId="77777777" w:rsidR="008170A3" w:rsidRPr="007A4170" w:rsidRDefault="008170A3" w:rsidP="007A4170">
            <w:pPr>
              <w:pStyle w:val="Body"/>
              <w:jc w:val="center"/>
              <w:rPr>
                <w:rFonts w:cs="Arial"/>
                <w:bCs/>
                <w:sz w:val="18"/>
                <w:szCs w:val="18"/>
                <w:lang w:eastAsia="en-GB"/>
              </w:rPr>
            </w:pPr>
            <w:r w:rsidRPr="007A4170">
              <w:rPr>
                <w:rFonts w:cs="Arial"/>
                <w:bCs/>
                <w:sz w:val="18"/>
                <w:szCs w:val="18"/>
                <w:lang w:eastAsia="en-GB"/>
              </w:rPr>
              <w:t>Total PYME</w:t>
            </w:r>
          </w:p>
        </w:tc>
        <w:tc>
          <w:tcPr>
            <w:tcW w:w="1417" w:type="dxa"/>
            <w:tcBorders>
              <w:top w:val="single" w:sz="12" w:space="0" w:color="FFCC00"/>
              <w:left w:val="nil"/>
              <w:bottom w:val="single" w:sz="8" w:space="0" w:color="000000"/>
              <w:right w:val="nil"/>
            </w:tcBorders>
            <w:shd w:val="clear" w:color="auto" w:fill="FFFFFF"/>
            <w:tcMar>
              <w:top w:w="0" w:type="dxa"/>
              <w:left w:w="70" w:type="dxa"/>
              <w:bottom w:w="0" w:type="dxa"/>
              <w:right w:w="70" w:type="dxa"/>
            </w:tcMar>
            <w:vAlign w:val="center"/>
            <w:hideMark/>
          </w:tcPr>
          <w:p w14:paraId="381E6026" w14:textId="77777777" w:rsidR="008170A3" w:rsidRPr="007A4170" w:rsidRDefault="008170A3" w:rsidP="007A4170">
            <w:pPr>
              <w:pStyle w:val="Body"/>
              <w:jc w:val="center"/>
              <w:rPr>
                <w:rFonts w:cs="Arial"/>
                <w:bCs/>
                <w:sz w:val="18"/>
                <w:szCs w:val="18"/>
                <w:lang w:eastAsia="en-GB"/>
              </w:rPr>
            </w:pPr>
            <w:r w:rsidRPr="007A4170">
              <w:rPr>
                <w:rFonts w:cs="Arial"/>
                <w:bCs/>
                <w:sz w:val="18"/>
                <w:szCs w:val="18"/>
                <w:lang w:eastAsia="en-GB"/>
              </w:rPr>
              <w:t>Micro 1-9</w:t>
            </w:r>
          </w:p>
        </w:tc>
        <w:tc>
          <w:tcPr>
            <w:tcW w:w="1843" w:type="dxa"/>
            <w:tcBorders>
              <w:top w:val="single" w:sz="12" w:space="0" w:color="FFCC00"/>
              <w:left w:val="nil"/>
              <w:bottom w:val="single" w:sz="8" w:space="0" w:color="000000"/>
              <w:right w:val="nil"/>
            </w:tcBorders>
            <w:shd w:val="clear" w:color="auto" w:fill="FFFFFF"/>
            <w:tcMar>
              <w:top w:w="0" w:type="dxa"/>
              <w:left w:w="70" w:type="dxa"/>
              <w:bottom w:w="0" w:type="dxa"/>
              <w:right w:w="70" w:type="dxa"/>
            </w:tcMar>
            <w:vAlign w:val="center"/>
            <w:hideMark/>
          </w:tcPr>
          <w:p w14:paraId="005B6B20" w14:textId="77777777" w:rsidR="008170A3" w:rsidRPr="007A4170" w:rsidRDefault="008170A3" w:rsidP="007A4170">
            <w:pPr>
              <w:pStyle w:val="Body"/>
              <w:jc w:val="center"/>
              <w:rPr>
                <w:rFonts w:cs="Arial"/>
                <w:bCs/>
                <w:sz w:val="18"/>
                <w:szCs w:val="18"/>
                <w:lang w:eastAsia="en-GB"/>
              </w:rPr>
            </w:pPr>
            <w:r w:rsidRPr="007A4170">
              <w:rPr>
                <w:rFonts w:cs="Arial"/>
                <w:bCs/>
                <w:sz w:val="18"/>
                <w:szCs w:val="18"/>
                <w:lang w:eastAsia="en-GB"/>
              </w:rPr>
              <w:t>Pequeñas 10-49</w:t>
            </w:r>
          </w:p>
        </w:tc>
        <w:tc>
          <w:tcPr>
            <w:tcW w:w="1843" w:type="dxa"/>
            <w:tcBorders>
              <w:top w:val="single" w:sz="12" w:space="0" w:color="FFCC00"/>
              <w:left w:val="nil"/>
              <w:bottom w:val="single" w:sz="8" w:space="0" w:color="000000"/>
              <w:right w:val="nil"/>
            </w:tcBorders>
            <w:shd w:val="clear" w:color="auto" w:fill="FFFFFF"/>
            <w:tcMar>
              <w:top w:w="0" w:type="dxa"/>
              <w:left w:w="70" w:type="dxa"/>
              <w:bottom w:w="0" w:type="dxa"/>
              <w:right w:w="70" w:type="dxa"/>
            </w:tcMar>
            <w:vAlign w:val="center"/>
            <w:hideMark/>
          </w:tcPr>
          <w:p w14:paraId="4E294B85" w14:textId="77777777" w:rsidR="008170A3" w:rsidRPr="007A4170" w:rsidRDefault="008170A3" w:rsidP="007A4170">
            <w:pPr>
              <w:pStyle w:val="Body"/>
              <w:jc w:val="center"/>
              <w:rPr>
                <w:rFonts w:cs="Arial"/>
                <w:bCs/>
                <w:sz w:val="18"/>
                <w:szCs w:val="18"/>
                <w:lang w:eastAsia="en-GB"/>
              </w:rPr>
            </w:pPr>
            <w:r w:rsidRPr="007A4170">
              <w:rPr>
                <w:rFonts w:cs="Arial"/>
                <w:bCs/>
                <w:sz w:val="18"/>
                <w:szCs w:val="18"/>
                <w:lang w:eastAsia="en-GB"/>
              </w:rPr>
              <w:t>Medianas 50-249</w:t>
            </w:r>
          </w:p>
        </w:tc>
      </w:tr>
      <w:tr w:rsidR="007C13A1" w:rsidRPr="007A4170" w14:paraId="53E194A5" w14:textId="77777777" w:rsidTr="007A4170">
        <w:trPr>
          <w:trHeight w:val="239"/>
        </w:trPr>
        <w:tc>
          <w:tcPr>
            <w:tcW w:w="2070" w:type="dxa"/>
            <w:vMerge w:val="restart"/>
            <w:shd w:val="clear" w:color="auto" w:fill="FFFFFF"/>
            <w:tcMar>
              <w:top w:w="0" w:type="dxa"/>
              <w:left w:w="70" w:type="dxa"/>
              <w:bottom w:w="0" w:type="dxa"/>
              <w:right w:w="70" w:type="dxa"/>
            </w:tcMar>
            <w:vAlign w:val="center"/>
            <w:hideMark/>
          </w:tcPr>
          <w:p w14:paraId="21F81ACB" w14:textId="67D565EF" w:rsidR="007C13A1" w:rsidRPr="007A4170" w:rsidRDefault="007C13A1" w:rsidP="007A4170">
            <w:pPr>
              <w:pStyle w:val="Body"/>
              <w:jc w:val="center"/>
              <w:rPr>
                <w:rFonts w:cs="Arial"/>
                <w:b/>
                <w:bCs/>
                <w:i/>
                <w:sz w:val="18"/>
                <w:szCs w:val="18"/>
                <w:lang w:eastAsia="en-GB"/>
              </w:rPr>
            </w:pPr>
            <w:r w:rsidRPr="007A4170">
              <w:rPr>
                <w:rFonts w:cs="Arial"/>
                <w:b/>
                <w:bCs/>
                <w:i/>
                <w:sz w:val="18"/>
                <w:szCs w:val="18"/>
                <w:lang w:eastAsia="en-GB"/>
              </w:rPr>
              <w:t>TOTAL SECTORES</w:t>
            </w:r>
          </w:p>
        </w:tc>
        <w:tc>
          <w:tcPr>
            <w:tcW w:w="1701" w:type="dxa"/>
            <w:shd w:val="clear" w:color="auto" w:fill="C0C0C0"/>
            <w:noWrap/>
            <w:tcMar>
              <w:top w:w="0" w:type="dxa"/>
              <w:left w:w="70" w:type="dxa"/>
              <w:bottom w:w="0" w:type="dxa"/>
              <w:right w:w="70" w:type="dxa"/>
            </w:tcMar>
            <w:vAlign w:val="center"/>
            <w:hideMark/>
          </w:tcPr>
          <w:p w14:paraId="462896FE" w14:textId="54E63BE7" w:rsidR="007C13A1" w:rsidRPr="007A4170" w:rsidRDefault="007C13A1" w:rsidP="007A4170">
            <w:pPr>
              <w:pStyle w:val="Body"/>
              <w:jc w:val="center"/>
              <w:rPr>
                <w:rFonts w:cs="Arial"/>
                <w:b/>
                <w:bCs/>
                <w:i/>
                <w:sz w:val="18"/>
                <w:szCs w:val="18"/>
                <w:lang w:eastAsia="en-GB"/>
              </w:rPr>
            </w:pPr>
            <w:r w:rsidRPr="007A4170">
              <w:rPr>
                <w:rFonts w:cs="Arial"/>
                <w:b/>
                <w:bCs/>
                <w:color w:val="000000"/>
                <w:sz w:val="18"/>
                <w:szCs w:val="18"/>
              </w:rPr>
              <w:t>100,00%</w:t>
            </w:r>
          </w:p>
        </w:tc>
        <w:tc>
          <w:tcPr>
            <w:tcW w:w="1417" w:type="dxa"/>
            <w:shd w:val="clear" w:color="auto" w:fill="C0C0C0"/>
            <w:noWrap/>
            <w:tcMar>
              <w:top w:w="0" w:type="dxa"/>
              <w:left w:w="70" w:type="dxa"/>
              <w:bottom w:w="0" w:type="dxa"/>
              <w:right w:w="70" w:type="dxa"/>
            </w:tcMar>
            <w:vAlign w:val="center"/>
            <w:hideMark/>
          </w:tcPr>
          <w:p w14:paraId="1E355F6C" w14:textId="1F95003C" w:rsidR="007C13A1" w:rsidRPr="007A4170" w:rsidRDefault="007C13A1" w:rsidP="007A4170">
            <w:pPr>
              <w:pStyle w:val="Body"/>
              <w:jc w:val="center"/>
              <w:rPr>
                <w:rFonts w:cs="Arial"/>
                <w:b/>
                <w:bCs/>
                <w:i/>
                <w:sz w:val="18"/>
                <w:szCs w:val="18"/>
                <w:lang w:eastAsia="en-GB"/>
              </w:rPr>
            </w:pPr>
            <w:r w:rsidRPr="007A4170">
              <w:rPr>
                <w:rFonts w:cs="Arial"/>
                <w:b/>
                <w:bCs/>
                <w:color w:val="000000"/>
                <w:sz w:val="18"/>
                <w:szCs w:val="18"/>
              </w:rPr>
              <w:t>86,89%</w:t>
            </w:r>
          </w:p>
        </w:tc>
        <w:tc>
          <w:tcPr>
            <w:tcW w:w="1843" w:type="dxa"/>
            <w:shd w:val="clear" w:color="auto" w:fill="C0C0C0"/>
            <w:noWrap/>
            <w:tcMar>
              <w:top w:w="0" w:type="dxa"/>
              <w:left w:w="70" w:type="dxa"/>
              <w:bottom w:w="0" w:type="dxa"/>
              <w:right w:w="70" w:type="dxa"/>
            </w:tcMar>
            <w:vAlign w:val="center"/>
            <w:hideMark/>
          </w:tcPr>
          <w:p w14:paraId="009A8137" w14:textId="3236C62E" w:rsidR="007C13A1" w:rsidRPr="007A4170" w:rsidRDefault="007C13A1" w:rsidP="007A4170">
            <w:pPr>
              <w:pStyle w:val="Body"/>
              <w:jc w:val="center"/>
              <w:rPr>
                <w:rFonts w:cs="Arial"/>
                <w:b/>
                <w:bCs/>
                <w:i/>
                <w:sz w:val="18"/>
                <w:szCs w:val="18"/>
                <w:lang w:eastAsia="en-GB"/>
              </w:rPr>
            </w:pPr>
            <w:r w:rsidRPr="007A4170">
              <w:rPr>
                <w:rFonts w:cs="Arial"/>
                <w:b/>
                <w:bCs/>
                <w:color w:val="000000"/>
                <w:sz w:val="18"/>
                <w:szCs w:val="18"/>
              </w:rPr>
              <w:t>11,34%</w:t>
            </w:r>
          </w:p>
        </w:tc>
        <w:tc>
          <w:tcPr>
            <w:tcW w:w="1843" w:type="dxa"/>
            <w:shd w:val="clear" w:color="auto" w:fill="C0C0C0"/>
            <w:noWrap/>
            <w:tcMar>
              <w:top w:w="0" w:type="dxa"/>
              <w:left w:w="70" w:type="dxa"/>
              <w:bottom w:w="0" w:type="dxa"/>
              <w:right w:w="70" w:type="dxa"/>
            </w:tcMar>
            <w:vAlign w:val="center"/>
            <w:hideMark/>
          </w:tcPr>
          <w:p w14:paraId="425BB954" w14:textId="7A5D9804" w:rsidR="007C13A1" w:rsidRPr="007A4170" w:rsidRDefault="007C13A1" w:rsidP="007A4170">
            <w:pPr>
              <w:pStyle w:val="Body"/>
              <w:jc w:val="center"/>
              <w:rPr>
                <w:rFonts w:cs="Arial"/>
                <w:b/>
                <w:bCs/>
                <w:i/>
                <w:sz w:val="18"/>
                <w:szCs w:val="18"/>
                <w:lang w:eastAsia="en-GB"/>
              </w:rPr>
            </w:pPr>
            <w:r w:rsidRPr="007A4170">
              <w:rPr>
                <w:rFonts w:cs="Arial"/>
                <w:b/>
                <w:bCs/>
                <w:color w:val="000000"/>
                <w:sz w:val="18"/>
                <w:szCs w:val="18"/>
              </w:rPr>
              <w:t>1,77%</w:t>
            </w:r>
          </w:p>
        </w:tc>
      </w:tr>
      <w:tr w:rsidR="007C13A1" w:rsidRPr="007A4170" w14:paraId="2D87B860" w14:textId="77777777" w:rsidTr="007A4170">
        <w:trPr>
          <w:trHeight w:val="80"/>
        </w:trPr>
        <w:tc>
          <w:tcPr>
            <w:tcW w:w="2070" w:type="dxa"/>
            <w:vMerge/>
            <w:shd w:val="clear" w:color="auto" w:fill="FFFFFF"/>
            <w:tcMar>
              <w:top w:w="0" w:type="dxa"/>
              <w:left w:w="70" w:type="dxa"/>
              <w:bottom w:w="0" w:type="dxa"/>
              <w:right w:w="70" w:type="dxa"/>
            </w:tcMar>
            <w:vAlign w:val="center"/>
            <w:hideMark/>
          </w:tcPr>
          <w:p w14:paraId="10106E0A" w14:textId="6D652473" w:rsidR="007C13A1" w:rsidRPr="007A4170" w:rsidRDefault="007C13A1" w:rsidP="007A4170">
            <w:pPr>
              <w:pStyle w:val="Body"/>
              <w:jc w:val="center"/>
              <w:rPr>
                <w:rFonts w:cs="Arial"/>
                <w:b/>
                <w:bCs/>
                <w:i/>
                <w:sz w:val="18"/>
                <w:szCs w:val="18"/>
                <w:lang w:eastAsia="en-GB"/>
              </w:rPr>
            </w:pPr>
          </w:p>
        </w:tc>
        <w:tc>
          <w:tcPr>
            <w:tcW w:w="1701" w:type="dxa"/>
            <w:noWrap/>
            <w:tcMar>
              <w:top w:w="0" w:type="dxa"/>
              <w:left w:w="70" w:type="dxa"/>
              <w:bottom w:w="0" w:type="dxa"/>
              <w:right w:w="70" w:type="dxa"/>
            </w:tcMar>
            <w:vAlign w:val="center"/>
            <w:hideMark/>
          </w:tcPr>
          <w:p w14:paraId="615A1EEB" w14:textId="77777777" w:rsidR="007C13A1" w:rsidRPr="007A4170" w:rsidRDefault="007C13A1" w:rsidP="007A4170">
            <w:pPr>
              <w:pStyle w:val="Body"/>
              <w:jc w:val="center"/>
              <w:rPr>
                <w:rFonts w:cs="Arial"/>
                <w:i/>
                <w:sz w:val="18"/>
                <w:szCs w:val="18"/>
                <w:lang w:eastAsia="en-GB"/>
              </w:rPr>
            </w:pPr>
          </w:p>
        </w:tc>
        <w:tc>
          <w:tcPr>
            <w:tcW w:w="1417" w:type="dxa"/>
            <w:noWrap/>
            <w:tcMar>
              <w:top w:w="0" w:type="dxa"/>
              <w:left w:w="70" w:type="dxa"/>
              <w:bottom w:w="0" w:type="dxa"/>
              <w:right w:w="70" w:type="dxa"/>
            </w:tcMar>
            <w:vAlign w:val="center"/>
            <w:hideMark/>
          </w:tcPr>
          <w:p w14:paraId="5960FA6E" w14:textId="77777777" w:rsidR="007C13A1" w:rsidRPr="007A4170" w:rsidRDefault="007C13A1" w:rsidP="007A4170">
            <w:pPr>
              <w:pStyle w:val="Body"/>
              <w:jc w:val="center"/>
              <w:rPr>
                <w:rFonts w:cs="Arial"/>
                <w:i/>
                <w:sz w:val="18"/>
                <w:szCs w:val="18"/>
                <w:lang w:eastAsia="en-GB"/>
              </w:rPr>
            </w:pPr>
          </w:p>
        </w:tc>
        <w:tc>
          <w:tcPr>
            <w:tcW w:w="1843" w:type="dxa"/>
            <w:noWrap/>
            <w:tcMar>
              <w:top w:w="0" w:type="dxa"/>
              <w:left w:w="70" w:type="dxa"/>
              <w:bottom w:w="0" w:type="dxa"/>
              <w:right w:w="70" w:type="dxa"/>
            </w:tcMar>
            <w:vAlign w:val="center"/>
            <w:hideMark/>
          </w:tcPr>
          <w:p w14:paraId="78743EBA" w14:textId="77777777" w:rsidR="007C13A1" w:rsidRPr="007A4170" w:rsidRDefault="007C13A1" w:rsidP="007A4170">
            <w:pPr>
              <w:pStyle w:val="Body"/>
              <w:jc w:val="center"/>
              <w:rPr>
                <w:rFonts w:cs="Arial"/>
                <w:i/>
                <w:sz w:val="18"/>
                <w:szCs w:val="18"/>
                <w:lang w:eastAsia="en-GB"/>
              </w:rPr>
            </w:pPr>
          </w:p>
        </w:tc>
        <w:tc>
          <w:tcPr>
            <w:tcW w:w="1843" w:type="dxa"/>
            <w:noWrap/>
            <w:tcMar>
              <w:top w:w="0" w:type="dxa"/>
              <w:left w:w="70" w:type="dxa"/>
              <w:bottom w:w="0" w:type="dxa"/>
              <w:right w:w="70" w:type="dxa"/>
            </w:tcMar>
            <w:vAlign w:val="center"/>
            <w:hideMark/>
          </w:tcPr>
          <w:p w14:paraId="1E974D93" w14:textId="77777777" w:rsidR="007C13A1" w:rsidRPr="007A4170" w:rsidRDefault="007C13A1" w:rsidP="007A4170">
            <w:pPr>
              <w:pStyle w:val="Body"/>
              <w:jc w:val="center"/>
              <w:rPr>
                <w:rFonts w:cs="Arial"/>
                <w:i/>
                <w:sz w:val="18"/>
                <w:szCs w:val="18"/>
                <w:lang w:eastAsia="en-GB"/>
              </w:rPr>
            </w:pPr>
          </w:p>
        </w:tc>
      </w:tr>
      <w:tr w:rsidR="006D0E9D" w:rsidRPr="007A4170" w14:paraId="78FC727C" w14:textId="77777777" w:rsidTr="007A4170">
        <w:trPr>
          <w:trHeight w:val="300"/>
        </w:trPr>
        <w:tc>
          <w:tcPr>
            <w:tcW w:w="2070" w:type="dxa"/>
            <w:shd w:val="clear" w:color="auto" w:fill="FFFFFF"/>
            <w:tcMar>
              <w:top w:w="0" w:type="dxa"/>
              <w:left w:w="70" w:type="dxa"/>
              <w:bottom w:w="0" w:type="dxa"/>
              <w:right w:w="70" w:type="dxa"/>
            </w:tcMar>
            <w:vAlign w:val="center"/>
            <w:hideMark/>
          </w:tcPr>
          <w:p w14:paraId="4AB908A6" w14:textId="77777777" w:rsidR="006D0E9D" w:rsidRPr="007A4170" w:rsidRDefault="006D0E9D" w:rsidP="007A4170">
            <w:pPr>
              <w:pStyle w:val="Body"/>
              <w:jc w:val="center"/>
              <w:rPr>
                <w:rFonts w:cs="Arial"/>
                <w:i/>
                <w:sz w:val="18"/>
                <w:szCs w:val="18"/>
                <w:lang w:eastAsia="en-GB"/>
              </w:rPr>
            </w:pPr>
            <w:r w:rsidRPr="007A4170">
              <w:rPr>
                <w:rFonts w:cs="Arial"/>
                <w:i/>
                <w:sz w:val="18"/>
                <w:szCs w:val="18"/>
                <w:lang w:eastAsia="en-GB"/>
              </w:rPr>
              <w:t>Agrario</w:t>
            </w:r>
          </w:p>
        </w:tc>
        <w:tc>
          <w:tcPr>
            <w:tcW w:w="1701" w:type="dxa"/>
            <w:shd w:val="clear" w:color="auto" w:fill="C0C0C0"/>
            <w:noWrap/>
            <w:tcMar>
              <w:top w:w="0" w:type="dxa"/>
              <w:left w:w="70" w:type="dxa"/>
              <w:bottom w:w="0" w:type="dxa"/>
              <w:right w:w="70" w:type="dxa"/>
            </w:tcMar>
            <w:vAlign w:val="center"/>
            <w:hideMark/>
          </w:tcPr>
          <w:p w14:paraId="378DB6FA" w14:textId="739DD254" w:rsidR="006D0E9D" w:rsidRPr="007A4170" w:rsidRDefault="006D0E9D" w:rsidP="007A4170">
            <w:pPr>
              <w:pStyle w:val="Body"/>
              <w:jc w:val="center"/>
              <w:rPr>
                <w:rFonts w:cs="Arial"/>
                <w:b/>
                <w:bCs/>
                <w:i/>
                <w:sz w:val="18"/>
                <w:szCs w:val="18"/>
                <w:lang w:eastAsia="en-GB"/>
              </w:rPr>
            </w:pPr>
            <w:r w:rsidRPr="007A4170">
              <w:rPr>
                <w:rFonts w:cs="Arial"/>
                <w:b/>
                <w:bCs/>
                <w:color w:val="000000"/>
                <w:sz w:val="18"/>
                <w:szCs w:val="18"/>
              </w:rPr>
              <w:t>8,53%</w:t>
            </w:r>
          </w:p>
        </w:tc>
        <w:tc>
          <w:tcPr>
            <w:tcW w:w="1417" w:type="dxa"/>
            <w:shd w:val="clear" w:color="auto" w:fill="C0C0C0"/>
            <w:noWrap/>
            <w:tcMar>
              <w:top w:w="0" w:type="dxa"/>
              <w:left w:w="70" w:type="dxa"/>
              <w:bottom w:w="0" w:type="dxa"/>
              <w:right w:w="70" w:type="dxa"/>
            </w:tcMar>
            <w:vAlign w:val="center"/>
            <w:hideMark/>
          </w:tcPr>
          <w:p w14:paraId="52B15329" w14:textId="089ACA8B" w:rsidR="006D0E9D" w:rsidRPr="007A4170" w:rsidRDefault="006D0E9D" w:rsidP="007A4170">
            <w:pPr>
              <w:pStyle w:val="Body"/>
              <w:jc w:val="center"/>
              <w:rPr>
                <w:rFonts w:cs="Arial"/>
                <w:i/>
                <w:sz w:val="18"/>
                <w:szCs w:val="18"/>
                <w:lang w:eastAsia="en-GB"/>
              </w:rPr>
            </w:pPr>
            <w:r w:rsidRPr="007A4170">
              <w:rPr>
                <w:rFonts w:cs="Arial"/>
                <w:color w:val="000000"/>
                <w:sz w:val="18"/>
                <w:szCs w:val="18"/>
              </w:rPr>
              <w:t>7,70%</w:t>
            </w:r>
          </w:p>
        </w:tc>
        <w:tc>
          <w:tcPr>
            <w:tcW w:w="1843" w:type="dxa"/>
            <w:shd w:val="clear" w:color="auto" w:fill="C0C0C0"/>
            <w:noWrap/>
            <w:tcMar>
              <w:top w:w="0" w:type="dxa"/>
              <w:left w:w="70" w:type="dxa"/>
              <w:bottom w:w="0" w:type="dxa"/>
              <w:right w:w="70" w:type="dxa"/>
            </w:tcMar>
            <w:vAlign w:val="center"/>
            <w:hideMark/>
          </w:tcPr>
          <w:p w14:paraId="77D02A87" w14:textId="3558EADF" w:rsidR="006D0E9D" w:rsidRPr="007A4170" w:rsidRDefault="006D0E9D" w:rsidP="007A4170">
            <w:pPr>
              <w:pStyle w:val="Body"/>
              <w:jc w:val="center"/>
              <w:rPr>
                <w:rFonts w:cs="Arial"/>
                <w:i/>
                <w:sz w:val="18"/>
                <w:szCs w:val="18"/>
                <w:lang w:eastAsia="en-GB"/>
              </w:rPr>
            </w:pPr>
            <w:r w:rsidRPr="007A4170">
              <w:rPr>
                <w:rFonts w:cs="Arial"/>
                <w:color w:val="000000"/>
                <w:sz w:val="18"/>
                <w:szCs w:val="18"/>
              </w:rPr>
              <w:t>0,77%</w:t>
            </w:r>
          </w:p>
        </w:tc>
        <w:tc>
          <w:tcPr>
            <w:tcW w:w="1843" w:type="dxa"/>
            <w:shd w:val="clear" w:color="auto" w:fill="C0C0C0"/>
            <w:noWrap/>
            <w:tcMar>
              <w:top w:w="0" w:type="dxa"/>
              <w:left w:w="70" w:type="dxa"/>
              <w:bottom w:w="0" w:type="dxa"/>
              <w:right w:w="70" w:type="dxa"/>
            </w:tcMar>
            <w:vAlign w:val="center"/>
            <w:hideMark/>
          </w:tcPr>
          <w:p w14:paraId="07FC66B2" w14:textId="2F374594" w:rsidR="006D0E9D" w:rsidRPr="007A4170" w:rsidRDefault="006D0E9D" w:rsidP="007A4170">
            <w:pPr>
              <w:pStyle w:val="Body"/>
              <w:jc w:val="center"/>
              <w:rPr>
                <w:rFonts w:cs="Arial"/>
                <w:i/>
                <w:sz w:val="18"/>
                <w:szCs w:val="18"/>
                <w:lang w:eastAsia="en-GB"/>
              </w:rPr>
            </w:pPr>
            <w:r w:rsidRPr="007A4170">
              <w:rPr>
                <w:rFonts w:cs="Arial"/>
                <w:color w:val="000000"/>
                <w:sz w:val="18"/>
                <w:szCs w:val="18"/>
              </w:rPr>
              <w:t>0,06%</w:t>
            </w:r>
          </w:p>
        </w:tc>
      </w:tr>
      <w:tr w:rsidR="006D0E9D" w:rsidRPr="007A4170" w14:paraId="615E92B8" w14:textId="77777777" w:rsidTr="007A4170">
        <w:trPr>
          <w:trHeight w:val="300"/>
        </w:trPr>
        <w:tc>
          <w:tcPr>
            <w:tcW w:w="2070" w:type="dxa"/>
            <w:shd w:val="clear" w:color="auto" w:fill="FFFFFF"/>
            <w:tcMar>
              <w:top w:w="0" w:type="dxa"/>
              <w:left w:w="70" w:type="dxa"/>
              <w:bottom w:w="0" w:type="dxa"/>
              <w:right w:w="70" w:type="dxa"/>
            </w:tcMar>
            <w:vAlign w:val="center"/>
            <w:hideMark/>
          </w:tcPr>
          <w:p w14:paraId="07C0E541" w14:textId="77777777" w:rsidR="006D0E9D" w:rsidRPr="007A4170" w:rsidRDefault="006D0E9D" w:rsidP="007A4170">
            <w:pPr>
              <w:pStyle w:val="Body"/>
              <w:jc w:val="center"/>
              <w:rPr>
                <w:rFonts w:cs="Arial"/>
                <w:i/>
                <w:sz w:val="18"/>
                <w:szCs w:val="18"/>
                <w:lang w:eastAsia="en-GB"/>
              </w:rPr>
            </w:pPr>
            <w:r w:rsidRPr="007A4170">
              <w:rPr>
                <w:rFonts w:cs="Arial"/>
                <w:i/>
                <w:sz w:val="18"/>
                <w:szCs w:val="18"/>
                <w:lang w:eastAsia="en-GB"/>
              </w:rPr>
              <w:t>Industria</w:t>
            </w:r>
          </w:p>
        </w:tc>
        <w:tc>
          <w:tcPr>
            <w:tcW w:w="1701" w:type="dxa"/>
            <w:shd w:val="clear" w:color="auto" w:fill="C0C0C0"/>
            <w:noWrap/>
            <w:tcMar>
              <w:top w:w="0" w:type="dxa"/>
              <w:left w:w="70" w:type="dxa"/>
              <w:bottom w:w="0" w:type="dxa"/>
              <w:right w:w="70" w:type="dxa"/>
            </w:tcMar>
            <w:vAlign w:val="center"/>
            <w:hideMark/>
          </w:tcPr>
          <w:p w14:paraId="0E2798CD" w14:textId="76750D10" w:rsidR="006D0E9D" w:rsidRPr="007A4170" w:rsidRDefault="006D0E9D" w:rsidP="007A4170">
            <w:pPr>
              <w:pStyle w:val="Body"/>
              <w:jc w:val="center"/>
              <w:rPr>
                <w:rFonts w:cs="Arial"/>
                <w:b/>
                <w:bCs/>
                <w:i/>
                <w:sz w:val="18"/>
                <w:szCs w:val="18"/>
                <w:lang w:eastAsia="en-GB"/>
              </w:rPr>
            </w:pPr>
            <w:r w:rsidRPr="007A4170">
              <w:rPr>
                <w:rFonts w:cs="Arial"/>
                <w:b/>
                <w:bCs/>
                <w:color w:val="000000"/>
                <w:sz w:val="18"/>
                <w:szCs w:val="18"/>
              </w:rPr>
              <w:t>8,19%</w:t>
            </w:r>
          </w:p>
        </w:tc>
        <w:tc>
          <w:tcPr>
            <w:tcW w:w="1417" w:type="dxa"/>
            <w:shd w:val="clear" w:color="auto" w:fill="C0C0C0"/>
            <w:noWrap/>
            <w:tcMar>
              <w:top w:w="0" w:type="dxa"/>
              <w:left w:w="70" w:type="dxa"/>
              <w:bottom w:w="0" w:type="dxa"/>
              <w:right w:w="70" w:type="dxa"/>
            </w:tcMar>
            <w:vAlign w:val="center"/>
            <w:hideMark/>
          </w:tcPr>
          <w:p w14:paraId="201DAE11" w14:textId="038317E7" w:rsidR="006D0E9D" w:rsidRPr="007A4170" w:rsidRDefault="006D0E9D" w:rsidP="007A4170">
            <w:pPr>
              <w:pStyle w:val="Body"/>
              <w:jc w:val="center"/>
              <w:rPr>
                <w:rFonts w:cs="Arial"/>
                <w:i/>
                <w:sz w:val="18"/>
                <w:szCs w:val="18"/>
                <w:lang w:eastAsia="en-GB"/>
              </w:rPr>
            </w:pPr>
            <w:r w:rsidRPr="007A4170">
              <w:rPr>
                <w:rFonts w:cs="Arial"/>
                <w:color w:val="000000"/>
                <w:sz w:val="18"/>
                <w:szCs w:val="18"/>
              </w:rPr>
              <w:t>5,94%</w:t>
            </w:r>
          </w:p>
        </w:tc>
        <w:tc>
          <w:tcPr>
            <w:tcW w:w="1843" w:type="dxa"/>
            <w:shd w:val="clear" w:color="auto" w:fill="C0C0C0"/>
            <w:noWrap/>
            <w:tcMar>
              <w:top w:w="0" w:type="dxa"/>
              <w:left w:w="70" w:type="dxa"/>
              <w:bottom w:w="0" w:type="dxa"/>
              <w:right w:w="70" w:type="dxa"/>
            </w:tcMar>
            <w:vAlign w:val="center"/>
            <w:hideMark/>
          </w:tcPr>
          <w:p w14:paraId="2DAB817E" w14:textId="57389A69" w:rsidR="006D0E9D" w:rsidRPr="007A4170" w:rsidRDefault="006D0E9D" w:rsidP="007A4170">
            <w:pPr>
              <w:pStyle w:val="Body"/>
              <w:jc w:val="center"/>
              <w:rPr>
                <w:rFonts w:cs="Arial"/>
                <w:i/>
                <w:sz w:val="18"/>
                <w:szCs w:val="18"/>
                <w:lang w:eastAsia="en-GB"/>
              </w:rPr>
            </w:pPr>
            <w:r w:rsidRPr="007A4170">
              <w:rPr>
                <w:rFonts w:cs="Arial"/>
                <w:color w:val="000000"/>
                <w:sz w:val="18"/>
                <w:szCs w:val="18"/>
              </w:rPr>
              <w:t>1,87%</w:t>
            </w:r>
          </w:p>
        </w:tc>
        <w:tc>
          <w:tcPr>
            <w:tcW w:w="1843" w:type="dxa"/>
            <w:shd w:val="clear" w:color="auto" w:fill="C0C0C0"/>
            <w:noWrap/>
            <w:tcMar>
              <w:top w:w="0" w:type="dxa"/>
              <w:left w:w="70" w:type="dxa"/>
              <w:bottom w:w="0" w:type="dxa"/>
              <w:right w:w="70" w:type="dxa"/>
            </w:tcMar>
            <w:vAlign w:val="center"/>
            <w:hideMark/>
          </w:tcPr>
          <w:p w14:paraId="279384E8" w14:textId="5EF2336A" w:rsidR="006D0E9D" w:rsidRPr="007A4170" w:rsidRDefault="006D0E9D" w:rsidP="007A4170">
            <w:pPr>
              <w:pStyle w:val="Body"/>
              <w:jc w:val="center"/>
              <w:rPr>
                <w:rFonts w:cs="Arial"/>
                <w:i/>
                <w:sz w:val="18"/>
                <w:szCs w:val="18"/>
                <w:lang w:eastAsia="en-GB"/>
              </w:rPr>
            </w:pPr>
            <w:r w:rsidRPr="007A4170">
              <w:rPr>
                <w:rFonts w:cs="Arial"/>
                <w:color w:val="000000"/>
                <w:sz w:val="18"/>
                <w:szCs w:val="18"/>
              </w:rPr>
              <w:t>0,39%</w:t>
            </w:r>
          </w:p>
        </w:tc>
      </w:tr>
      <w:tr w:rsidR="006D0E9D" w:rsidRPr="007A4170" w14:paraId="7B897E81" w14:textId="77777777" w:rsidTr="007A4170">
        <w:trPr>
          <w:trHeight w:val="585"/>
        </w:trPr>
        <w:tc>
          <w:tcPr>
            <w:tcW w:w="2070" w:type="dxa"/>
            <w:shd w:val="clear" w:color="auto" w:fill="FFFFFF"/>
            <w:tcMar>
              <w:top w:w="0" w:type="dxa"/>
              <w:left w:w="70" w:type="dxa"/>
              <w:bottom w:w="0" w:type="dxa"/>
              <w:right w:w="70" w:type="dxa"/>
            </w:tcMar>
            <w:vAlign w:val="center"/>
            <w:hideMark/>
          </w:tcPr>
          <w:p w14:paraId="042F7FE7" w14:textId="77777777" w:rsidR="006D0E9D" w:rsidRPr="007A4170" w:rsidRDefault="006D0E9D" w:rsidP="007A4170">
            <w:pPr>
              <w:pStyle w:val="Body"/>
              <w:jc w:val="center"/>
              <w:rPr>
                <w:rFonts w:cs="Arial"/>
                <w:i/>
                <w:sz w:val="18"/>
                <w:szCs w:val="18"/>
                <w:lang w:eastAsia="en-GB"/>
              </w:rPr>
            </w:pPr>
            <w:r w:rsidRPr="007A4170">
              <w:rPr>
                <w:rFonts w:cs="Arial"/>
                <w:i/>
                <w:sz w:val="18"/>
                <w:szCs w:val="18"/>
                <w:lang w:eastAsia="en-GB"/>
              </w:rPr>
              <w:t>Construcción</w:t>
            </w:r>
          </w:p>
        </w:tc>
        <w:tc>
          <w:tcPr>
            <w:tcW w:w="1701" w:type="dxa"/>
            <w:shd w:val="clear" w:color="auto" w:fill="C0C0C0"/>
            <w:noWrap/>
            <w:tcMar>
              <w:top w:w="0" w:type="dxa"/>
              <w:left w:w="70" w:type="dxa"/>
              <w:bottom w:w="0" w:type="dxa"/>
              <w:right w:w="70" w:type="dxa"/>
            </w:tcMar>
            <w:vAlign w:val="center"/>
            <w:hideMark/>
          </w:tcPr>
          <w:p w14:paraId="2D4A7957" w14:textId="0CAB50EA" w:rsidR="006D0E9D" w:rsidRPr="007A4170" w:rsidRDefault="006D0E9D" w:rsidP="007A4170">
            <w:pPr>
              <w:pStyle w:val="Body"/>
              <w:jc w:val="center"/>
              <w:rPr>
                <w:rFonts w:cs="Arial"/>
                <w:b/>
                <w:bCs/>
                <w:i/>
                <w:sz w:val="18"/>
                <w:szCs w:val="18"/>
                <w:lang w:eastAsia="en-GB"/>
              </w:rPr>
            </w:pPr>
            <w:r w:rsidRPr="007A4170">
              <w:rPr>
                <w:rFonts w:cs="Arial"/>
                <w:b/>
                <w:bCs/>
                <w:color w:val="000000"/>
                <w:sz w:val="18"/>
                <w:szCs w:val="18"/>
              </w:rPr>
              <w:t>9,00%</w:t>
            </w:r>
          </w:p>
        </w:tc>
        <w:tc>
          <w:tcPr>
            <w:tcW w:w="1417" w:type="dxa"/>
            <w:shd w:val="clear" w:color="auto" w:fill="C0C0C0"/>
            <w:noWrap/>
            <w:tcMar>
              <w:top w:w="0" w:type="dxa"/>
              <w:left w:w="70" w:type="dxa"/>
              <w:bottom w:w="0" w:type="dxa"/>
              <w:right w:w="70" w:type="dxa"/>
            </w:tcMar>
            <w:vAlign w:val="center"/>
            <w:hideMark/>
          </w:tcPr>
          <w:p w14:paraId="1D1DCFD5" w14:textId="234BC799" w:rsidR="006D0E9D" w:rsidRPr="007A4170" w:rsidRDefault="006D0E9D" w:rsidP="007A4170">
            <w:pPr>
              <w:pStyle w:val="Body"/>
              <w:jc w:val="center"/>
              <w:rPr>
                <w:rFonts w:cs="Arial"/>
                <w:i/>
                <w:sz w:val="18"/>
                <w:szCs w:val="18"/>
                <w:lang w:eastAsia="en-GB"/>
              </w:rPr>
            </w:pPr>
            <w:r w:rsidRPr="007A4170">
              <w:rPr>
                <w:rFonts w:cs="Arial"/>
                <w:color w:val="000000"/>
                <w:sz w:val="18"/>
                <w:szCs w:val="18"/>
              </w:rPr>
              <w:t>7,83%</w:t>
            </w:r>
          </w:p>
        </w:tc>
        <w:tc>
          <w:tcPr>
            <w:tcW w:w="1843" w:type="dxa"/>
            <w:shd w:val="clear" w:color="auto" w:fill="C0C0C0"/>
            <w:noWrap/>
            <w:tcMar>
              <w:top w:w="0" w:type="dxa"/>
              <w:left w:w="70" w:type="dxa"/>
              <w:bottom w:w="0" w:type="dxa"/>
              <w:right w:w="70" w:type="dxa"/>
            </w:tcMar>
            <w:vAlign w:val="center"/>
            <w:hideMark/>
          </w:tcPr>
          <w:p w14:paraId="1BBACDF6" w14:textId="2D3500F7" w:rsidR="006D0E9D" w:rsidRPr="007A4170" w:rsidRDefault="006D0E9D" w:rsidP="007A4170">
            <w:pPr>
              <w:pStyle w:val="Body"/>
              <w:jc w:val="center"/>
              <w:rPr>
                <w:rFonts w:cs="Arial"/>
                <w:i/>
                <w:sz w:val="18"/>
                <w:szCs w:val="18"/>
                <w:lang w:eastAsia="en-GB"/>
              </w:rPr>
            </w:pPr>
            <w:r w:rsidRPr="007A4170">
              <w:rPr>
                <w:rFonts w:cs="Arial"/>
                <w:color w:val="000000"/>
                <w:sz w:val="18"/>
                <w:szCs w:val="18"/>
              </w:rPr>
              <w:t>1,08%</w:t>
            </w:r>
          </w:p>
        </w:tc>
        <w:tc>
          <w:tcPr>
            <w:tcW w:w="1843" w:type="dxa"/>
            <w:shd w:val="clear" w:color="auto" w:fill="C0C0C0"/>
            <w:noWrap/>
            <w:tcMar>
              <w:top w:w="0" w:type="dxa"/>
              <w:left w:w="70" w:type="dxa"/>
              <w:bottom w:w="0" w:type="dxa"/>
              <w:right w:w="70" w:type="dxa"/>
            </w:tcMar>
            <w:vAlign w:val="center"/>
            <w:hideMark/>
          </w:tcPr>
          <w:p w14:paraId="687C16F4" w14:textId="6572C90A" w:rsidR="006D0E9D" w:rsidRPr="007A4170" w:rsidRDefault="006D0E9D" w:rsidP="007A4170">
            <w:pPr>
              <w:pStyle w:val="Body"/>
              <w:jc w:val="center"/>
              <w:rPr>
                <w:rFonts w:cs="Arial"/>
                <w:i/>
                <w:sz w:val="18"/>
                <w:szCs w:val="18"/>
                <w:lang w:eastAsia="en-GB"/>
              </w:rPr>
            </w:pPr>
            <w:r w:rsidRPr="007A4170">
              <w:rPr>
                <w:rFonts w:cs="Arial"/>
                <w:color w:val="000000"/>
                <w:sz w:val="18"/>
                <w:szCs w:val="18"/>
              </w:rPr>
              <w:t>0,10%</w:t>
            </w:r>
          </w:p>
        </w:tc>
      </w:tr>
      <w:tr w:rsidR="006D0E9D" w:rsidRPr="007A4170" w14:paraId="06DDD9AC" w14:textId="77777777" w:rsidTr="007A4170">
        <w:trPr>
          <w:trHeight w:val="300"/>
        </w:trPr>
        <w:tc>
          <w:tcPr>
            <w:tcW w:w="2070" w:type="dxa"/>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64C72255" w14:textId="77777777" w:rsidR="006D0E9D" w:rsidRPr="007A4170" w:rsidRDefault="006D0E9D" w:rsidP="007A4170">
            <w:pPr>
              <w:pStyle w:val="Body"/>
              <w:jc w:val="center"/>
              <w:rPr>
                <w:rFonts w:cs="Arial"/>
                <w:i/>
                <w:sz w:val="18"/>
                <w:szCs w:val="18"/>
                <w:lang w:eastAsia="en-GB"/>
              </w:rPr>
            </w:pPr>
            <w:r w:rsidRPr="007A4170">
              <w:rPr>
                <w:rFonts w:cs="Arial"/>
                <w:i/>
                <w:sz w:val="18"/>
                <w:szCs w:val="18"/>
                <w:lang w:eastAsia="en-GB"/>
              </w:rPr>
              <w:t>Servicios</w:t>
            </w:r>
          </w:p>
        </w:tc>
        <w:tc>
          <w:tcPr>
            <w:tcW w:w="1701" w:type="dxa"/>
            <w:shd w:val="clear" w:color="auto" w:fill="C0C0C0"/>
            <w:noWrap/>
            <w:tcMar>
              <w:top w:w="0" w:type="dxa"/>
              <w:left w:w="70" w:type="dxa"/>
              <w:bottom w:w="0" w:type="dxa"/>
              <w:right w:w="70" w:type="dxa"/>
            </w:tcMar>
            <w:vAlign w:val="center"/>
            <w:hideMark/>
          </w:tcPr>
          <w:p w14:paraId="467D004E" w14:textId="7F975F25" w:rsidR="006D0E9D" w:rsidRPr="007A4170" w:rsidRDefault="006D0E9D" w:rsidP="007A4170">
            <w:pPr>
              <w:pStyle w:val="Body"/>
              <w:jc w:val="center"/>
              <w:rPr>
                <w:rFonts w:cs="Arial"/>
                <w:b/>
                <w:bCs/>
                <w:i/>
                <w:sz w:val="18"/>
                <w:szCs w:val="18"/>
                <w:lang w:eastAsia="en-GB"/>
              </w:rPr>
            </w:pPr>
            <w:r w:rsidRPr="007A4170">
              <w:rPr>
                <w:rFonts w:cs="Arial"/>
                <w:b/>
                <w:bCs/>
                <w:color w:val="000000"/>
                <w:sz w:val="18"/>
                <w:szCs w:val="18"/>
              </w:rPr>
              <w:t>74,27%</w:t>
            </w:r>
          </w:p>
        </w:tc>
        <w:tc>
          <w:tcPr>
            <w:tcW w:w="1417" w:type="dxa"/>
            <w:shd w:val="clear" w:color="auto" w:fill="C0C0C0"/>
            <w:noWrap/>
            <w:tcMar>
              <w:top w:w="0" w:type="dxa"/>
              <w:left w:w="70" w:type="dxa"/>
              <w:bottom w:w="0" w:type="dxa"/>
              <w:right w:w="70" w:type="dxa"/>
            </w:tcMar>
            <w:vAlign w:val="center"/>
            <w:hideMark/>
          </w:tcPr>
          <w:p w14:paraId="4481799E" w14:textId="6D29F876" w:rsidR="006D0E9D" w:rsidRPr="007A4170" w:rsidRDefault="006D0E9D" w:rsidP="007A4170">
            <w:pPr>
              <w:pStyle w:val="Body"/>
              <w:jc w:val="center"/>
              <w:rPr>
                <w:rFonts w:cs="Arial"/>
                <w:i/>
                <w:sz w:val="18"/>
                <w:szCs w:val="18"/>
                <w:lang w:eastAsia="en-GB"/>
              </w:rPr>
            </w:pPr>
            <w:r w:rsidRPr="007A4170">
              <w:rPr>
                <w:rFonts w:cs="Arial"/>
                <w:color w:val="000000"/>
                <w:sz w:val="18"/>
                <w:szCs w:val="18"/>
              </w:rPr>
              <w:t>65,43%</w:t>
            </w:r>
          </w:p>
        </w:tc>
        <w:tc>
          <w:tcPr>
            <w:tcW w:w="1843" w:type="dxa"/>
            <w:shd w:val="clear" w:color="auto" w:fill="C0C0C0"/>
            <w:noWrap/>
            <w:tcMar>
              <w:top w:w="0" w:type="dxa"/>
              <w:left w:w="70" w:type="dxa"/>
              <w:bottom w:w="0" w:type="dxa"/>
              <w:right w:w="70" w:type="dxa"/>
            </w:tcMar>
            <w:vAlign w:val="center"/>
            <w:hideMark/>
          </w:tcPr>
          <w:p w14:paraId="36236E9A" w14:textId="7E2DC7F7" w:rsidR="006D0E9D" w:rsidRPr="007A4170" w:rsidRDefault="006D0E9D" w:rsidP="007A4170">
            <w:pPr>
              <w:pStyle w:val="Body"/>
              <w:jc w:val="center"/>
              <w:rPr>
                <w:rFonts w:cs="Arial"/>
                <w:i/>
                <w:sz w:val="18"/>
                <w:szCs w:val="18"/>
                <w:lang w:eastAsia="en-GB"/>
              </w:rPr>
            </w:pPr>
            <w:r w:rsidRPr="007A4170">
              <w:rPr>
                <w:rFonts w:cs="Arial"/>
                <w:color w:val="000000"/>
                <w:sz w:val="18"/>
                <w:szCs w:val="18"/>
              </w:rPr>
              <w:t>7,62%</w:t>
            </w:r>
          </w:p>
        </w:tc>
        <w:tc>
          <w:tcPr>
            <w:tcW w:w="1843" w:type="dxa"/>
            <w:shd w:val="clear" w:color="auto" w:fill="C0C0C0"/>
            <w:noWrap/>
            <w:tcMar>
              <w:top w:w="0" w:type="dxa"/>
              <w:left w:w="70" w:type="dxa"/>
              <w:bottom w:w="0" w:type="dxa"/>
              <w:right w:w="70" w:type="dxa"/>
            </w:tcMar>
            <w:vAlign w:val="center"/>
            <w:hideMark/>
          </w:tcPr>
          <w:p w14:paraId="0856D95F" w14:textId="3D5D4DBC" w:rsidR="006D0E9D" w:rsidRPr="007A4170" w:rsidRDefault="006D0E9D" w:rsidP="007A4170">
            <w:pPr>
              <w:pStyle w:val="Body"/>
              <w:jc w:val="center"/>
              <w:rPr>
                <w:rFonts w:cs="Arial"/>
                <w:i/>
                <w:sz w:val="18"/>
                <w:szCs w:val="18"/>
                <w:lang w:eastAsia="en-GB"/>
              </w:rPr>
            </w:pPr>
            <w:r w:rsidRPr="007A4170">
              <w:rPr>
                <w:rFonts w:cs="Arial"/>
                <w:color w:val="000000"/>
                <w:sz w:val="18"/>
                <w:szCs w:val="18"/>
              </w:rPr>
              <w:t>1,22%</w:t>
            </w:r>
          </w:p>
        </w:tc>
      </w:tr>
    </w:tbl>
    <w:p w14:paraId="4B1DDAF3" w14:textId="3E33F5A3" w:rsidR="00342E38" w:rsidRPr="00342E38" w:rsidRDefault="00285FF2" w:rsidP="00342E38">
      <w:pPr>
        <w:pStyle w:val="Body"/>
        <w:jc w:val="left"/>
        <w:rPr>
          <w:rFonts w:cs="Arial"/>
          <w:i/>
          <w:sz w:val="16"/>
          <w:szCs w:val="18"/>
          <w:lang w:eastAsia="en-GB"/>
        </w:rPr>
      </w:pPr>
      <w:r w:rsidRPr="007C7B55">
        <w:rPr>
          <w:rFonts w:cs="Arial"/>
          <w:i/>
          <w:sz w:val="16"/>
          <w:szCs w:val="18"/>
          <w:lang w:eastAsia="en-GB"/>
        </w:rPr>
        <w:t xml:space="preserve">Fuente: </w:t>
      </w:r>
      <w:r w:rsidR="007C13A1">
        <w:rPr>
          <w:rFonts w:cs="Arial"/>
          <w:i/>
          <w:sz w:val="16"/>
          <w:szCs w:val="18"/>
          <w:lang w:eastAsia="en-GB"/>
        </w:rPr>
        <w:t>E</w:t>
      </w:r>
      <w:r w:rsidRPr="007C7B55">
        <w:rPr>
          <w:rFonts w:cs="Arial"/>
          <w:i/>
          <w:sz w:val="16"/>
          <w:szCs w:val="18"/>
          <w:lang w:eastAsia="en-GB"/>
        </w:rPr>
        <w:t xml:space="preserve">laboración propia en base a datos del </w:t>
      </w:r>
      <w:r w:rsidR="001A174C" w:rsidRPr="001A174C">
        <w:rPr>
          <w:rFonts w:cs="Arial"/>
          <w:i/>
          <w:sz w:val="16"/>
          <w:szCs w:val="18"/>
          <w:lang w:eastAsia="en-GB"/>
        </w:rPr>
        <w:t>Ministerio de Empleo y Seguridad Social, Empresas Inscritas en la Seguridad Social (EMP)</w:t>
      </w:r>
      <w:r w:rsidR="001A174C">
        <w:rPr>
          <w:rFonts w:cs="Arial"/>
          <w:i/>
          <w:sz w:val="16"/>
          <w:szCs w:val="18"/>
          <w:lang w:eastAsia="en-GB"/>
        </w:rPr>
        <w:t xml:space="preserve"> a </w:t>
      </w:r>
      <w:r w:rsidR="00710041">
        <w:rPr>
          <w:rFonts w:cs="Arial"/>
          <w:i/>
          <w:sz w:val="16"/>
          <w:szCs w:val="18"/>
          <w:lang w:eastAsia="en-GB"/>
        </w:rPr>
        <w:t>1 de febrero</w:t>
      </w:r>
      <w:r w:rsidR="006D7E32">
        <w:rPr>
          <w:rFonts w:cs="Arial"/>
          <w:i/>
          <w:sz w:val="16"/>
          <w:szCs w:val="18"/>
          <w:lang w:eastAsia="en-GB"/>
        </w:rPr>
        <w:t xml:space="preserve"> de</w:t>
      </w:r>
      <w:r w:rsidR="009418ED" w:rsidRPr="009418ED">
        <w:rPr>
          <w:rFonts w:cs="Arial"/>
          <w:i/>
          <w:sz w:val="16"/>
          <w:szCs w:val="18"/>
          <w:lang w:eastAsia="en-GB"/>
        </w:rPr>
        <w:t xml:space="preserve"> </w:t>
      </w:r>
      <w:r w:rsidR="009C1A03" w:rsidRPr="009418ED">
        <w:rPr>
          <w:rFonts w:cs="Arial"/>
          <w:i/>
          <w:sz w:val="16"/>
          <w:szCs w:val="18"/>
          <w:lang w:eastAsia="en-GB"/>
        </w:rPr>
        <w:t>201</w:t>
      </w:r>
      <w:r w:rsidR="009C1A03">
        <w:rPr>
          <w:rFonts w:cs="Arial"/>
          <w:i/>
          <w:sz w:val="16"/>
          <w:szCs w:val="18"/>
          <w:lang w:eastAsia="en-GB"/>
        </w:rPr>
        <w:t>8</w:t>
      </w:r>
    </w:p>
    <w:p w14:paraId="203A1CFC" w14:textId="77777777" w:rsidR="00ED4C89" w:rsidRDefault="00ED4C89">
      <w:pPr>
        <w:spacing w:after="0"/>
        <w:jc w:val="left"/>
        <w:rPr>
          <w:rFonts w:ascii="Century Gothic" w:hAnsi="Century Gothic" w:cs="Arial"/>
          <w:b/>
          <w:color w:val="003399"/>
          <w:sz w:val="24"/>
          <w:lang w:val="es-ES"/>
        </w:rPr>
      </w:pPr>
      <w:r>
        <w:rPr>
          <w:rFonts w:cs="Arial"/>
          <w:color w:val="003399"/>
          <w:sz w:val="24"/>
          <w:lang w:val="es-ES"/>
        </w:rPr>
        <w:br w:type="page"/>
      </w:r>
    </w:p>
    <w:p w14:paraId="3AE9FDEF" w14:textId="2362CC08" w:rsidR="00A700D7" w:rsidRPr="00A700D7" w:rsidRDefault="00C719B5" w:rsidP="00A700D7">
      <w:pPr>
        <w:pStyle w:val="Ttulo2"/>
        <w:keepLines/>
        <w:numPr>
          <w:ilvl w:val="1"/>
          <w:numId w:val="28"/>
        </w:numPr>
        <w:spacing w:after="120" w:line="276" w:lineRule="auto"/>
        <w:rPr>
          <w:rFonts w:cs="Arial"/>
          <w:color w:val="003399"/>
          <w:sz w:val="24"/>
          <w:lang w:val="es-ES"/>
        </w:rPr>
      </w:pPr>
      <w:bookmarkStart w:id="14" w:name="_Toc527630333"/>
      <w:r>
        <w:rPr>
          <w:rFonts w:cs="Arial"/>
          <w:color w:val="003399"/>
          <w:sz w:val="24"/>
          <w:lang w:val="es-ES"/>
        </w:rPr>
        <w:lastRenderedPageBreak/>
        <w:t xml:space="preserve">La situación </w:t>
      </w:r>
      <w:r w:rsidR="00A700D7" w:rsidRPr="00A700D7">
        <w:rPr>
          <w:rFonts w:cs="Arial"/>
          <w:color w:val="003399"/>
          <w:sz w:val="24"/>
          <w:lang w:val="es-ES"/>
        </w:rPr>
        <w:t>de la PYME en Europa</w:t>
      </w:r>
      <w:bookmarkEnd w:id="14"/>
      <w:r w:rsidR="00A700D7" w:rsidRPr="00A700D7">
        <w:rPr>
          <w:rFonts w:cs="Arial"/>
          <w:color w:val="003399"/>
          <w:sz w:val="24"/>
          <w:lang w:val="es-ES"/>
        </w:rPr>
        <w:t xml:space="preserve">  </w:t>
      </w:r>
    </w:p>
    <w:p w14:paraId="57B0AFD6" w14:textId="2ADAC7AC" w:rsidR="001057A1" w:rsidRDefault="00A700D7" w:rsidP="001057A1">
      <w:pPr>
        <w:pStyle w:val="Body"/>
      </w:pPr>
      <w:r>
        <w:t>Las PYMES conforman la columna vertebral económica de los 28 países de la Unión Europea</w:t>
      </w:r>
      <w:r w:rsidR="00742B35">
        <w:t>. En 201</w:t>
      </w:r>
      <w:r w:rsidR="00317B76">
        <w:t>6</w:t>
      </w:r>
      <w:r w:rsidR="00742B35">
        <w:t xml:space="preserve">, </w:t>
      </w:r>
      <w:r w:rsidR="00317B76">
        <w:t>casi</w:t>
      </w:r>
      <w:r w:rsidR="00742B35" w:rsidRPr="00742B35">
        <w:t xml:space="preserve"> 2</w:t>
      </w:r>
      <w:r w:rsidR="00317B76">
        <w:t>4</w:t>
      </w:r>
      <w:r w:rsidR="00742B35" w:rsidRPr="00742B35">
        <w:t xml:space="preserve"> millones de PYME generaron </w:t>
      </w:r>
      <w:r w:rsidR="00317B76">
        <w:t>4</w:t>
      </w:r>
      <w:r w:rsidR="00742B35" w:rsidRPr="00742B35">
        <w:t xml:space="preserve"> billones de euros en valor añadido y emplearon a 9</w:t>
      </w:r>
      <w:r w:rsidR="00317B76">
        <w:t>3</w:t>
      </w:r>
      <w:r w:rsidR="00742B35" w:rsidRPr="00742B35">
        <w:t xml:space="preserve"> millones de personas</w:t>
      </w:r>
      <w:r w:rsidR="00742B35">
        <w:t xml:space="preserve">, lo que supone </w:t>
      </w:r>
      <w:r w:rsidR="00742B35" w:rsidRPr="00742B35">
        <w:t xml:space="preserve">dos tercios del empleo de la UE28 y algo menos de tres quintos </w:t>
      </w:r>
      <w:r w:rsidR="00001E97">
        <w:t xml:space="preserve">de su </w:t>
      </w:r>
      <w:r w:rsidR="00742B35" w:rsidRPr="00742B35">
        <w:t>valor añadido en el s</w:t>
      </w:r>
      <w:r w:rsidR="00742B35">
        <w:t>ector empresarial no financiero</w:t>
      </w:r>
      <w:r w:rsidR="001057A1">
        <w:t>.</w:t>
      </w:r>
      <w:r w:rsidR="00DB09F8">
        <w:t xml:space="preserve"> </w:t>
      </w:r>
    </w:p>
    <w:p w14:paraId="0503009C" w14:textId="0B771EA3" w:rsidR="001057A1" w:rsidRDefault="001057A1" w:rsidP="001057A1">
      <w:pPr>
        <w:pStyle w:val="Body"/>
      </w:pPr>
      <w:r>
        <w:t>Las microempresas son, con mucho, el tipo más común de PYME, que representan el 93% de todas las empresas</w:t>
      </w:r>
      <w:r w:rsidR="00342E38">
        <w:t xml:space="preserve">, aunque </w:t>
      </w:r>
      <w:r>
        <w:t xml:space="preserve">solo </w:t>
      </w:r>
      <w:r w:rsidR="00342E38">
        <w:t>generan el 29,8% del empleo total</w:t>
      </w:r>
      <w:r>
        <w:t xml:space="preserve">, mientras que las pequeñas y medianas empresas representan el 20% y el 16,7%, respectivamente, del empleo </w:t>
      </w:r>
      <w:r w:rsidR="00DA4918">
        <w:t xml:space="preserve">empresarial </w:t>
      </w:r>
      <w:r>
        <w:t>total.</w:t>
      </w:r>
    </w:p>
    <w:p w14:paraId="3DBF850D" w14:textId="4C6F5CB1" w:rsidR="002F266C" w:rsidRDefault="009B24BD" w:rsidP="00A700D7">
      <w:pPr>
        <w:pStyle w:val="Body"/>
      </w:pPr>
      <w:r>
        <w:t>A pesar de que en las tres clases de tamaño de las PYME</w:t>
      </w:r>
      <w:r w:rsidR="001057A1">
        <w:t xml:space="preserve"> la distribución </w:t>
      </w:r>
      <w:r>
        <w:t xml:space="preserve">es </w:t>
      </w:r>
      <w:r w:rsidR="001057A1">
        <w:t xml:space="preserve">muy desigual </w:t>
      </w:r>
      <w:r>
        <w:t>en lo que respecta al</w:t>
      </w:r>
      <w:r w:rsidR="001057A1">
        <w:t xml:space="preserve"> </w:t>
      </w:r>
      <w:r w:rsidR="009654EA">
        <w:t xml:space="preserve">número de </w:t>
      </w:r>
      <w:r w:rsidR="001057A1">
        <w:t xml:space="preserve">empresas y </w:t>
      </w:r>
      <w:r>
        <w:t xml:space="preserve">al </w:t>
      </w:r>
      <w:r w:rsidR="001057A1">
        <w:t>empleo, su contribución es, en general, igual en términos de valor añadido, qu</w:t>
      </w:r>
      <w:r w:rsidR="00342E38">
        <w:t xml:space="preserve">e oscila entre el 17,8% </w:t>
      </w:r>
      <w:r w:rsidR="001057A1">
        <w:t>y el 20,9%</w:t>
      </w:r>
      <w:r w:rsidR="00342E38">
        <w:t xml:space="preserve"> </w:t>
      </w:r>
      <w:r w:rsidR="00DB09F8">
        <w:t>(</w:t>
      </w:r>
      <w:r w:rsidR="00342E38">
        <w:t>V</w:t>
      </w:r>
      <w:r w:rsidR="00DB09F8">
        <w:t xml:space="preserve">éase la </w:t>
      </w:r>
      <w:r w:rsidR="00DB09F8" w:rsidRPr="00DB09F8">
        <w:rPr>
          <w:highlight w:val="yellow"/>
        </w:rPr>
        <w:t>tabla</w:t>
      </w:r>
      <w:r w:rsidR="00F7012A" w:rsidRPr="00DB09F8">
        <w:rPr>
          <w:highlight w:val="yellow"/>
        </w:rPr>
        <w:t xml:space="preserve"> </w:t>
      </w:r>
      <w:r w:rsidR="00E40DE4">
        <w:t>6</w:t>
      </w:r>
      <w:r w:rsidR="00F7012A">
        <w:t>)</w:t>
      </w:r>
      <w:r w:rsidR="00A700D7">
        <w:t xml:space="preserve">. </w:t>
      </w:r>
    </w:p>
    <w:tbl>
      <w:tblPr>
        <w:tblW w:w="9229" w:type="dxa"/>
        <w:tblInd w:w="55" w:type="dxa"/>
        <w:tblCellMar>
          <w:left w:w="70" w:type="dxa"/>
          <w:right w:w="70" w:type="dxa"/>
        </w:tblCellMar>
        <w:tblLook w:val="04A0" w:firstRow="1" w:lastRow="0" w:firstColumn="1" w:lastColumn="0" w:noHBand="0" w:noVBand="1"/>
      </w:tblPr>
      <w:tblGrid>
        <w:gridCol w:w="1716"/>
        <w:gridCol w:w="1276"/>
        <w:gridCol w:w="1276"/>
        <w:gridCol w:w="1418"/>
        <w:gridCol w:w="1275"/>
        <w:gridCol w:w="1276"/>
        <w:gridCol w:w="992"/>
      </w:tblGrid>
      <w:tr w:rsidR="009B73B5" w:rsidRPr="007916CD" w14:paraId="52D41A87" w14:textId="77777777" w:rsidTr="00001E97">
        <w:trPr>
          <w:trHeight w:val="285"/>
        </w:trPr>
        <w:tc>
          <w:tcPr>
            <w:tcW w:w="9229" w:type="dxa"/>
            <w:gridSpan w:val="7"/>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7B640117" w14:textId="050AF9BA" w:rsidR="009B73B5" w:rsidRPr="007A4170" w:rsidRDefault="009B73B5" w:rsidP="009B73B5">
            <w:pPr>
              <w:spacing w:after="0"/>
              <w:jc w:val="left"/>
              <w:rPr>
                <w:rFonts w:ascii="Century Gothic" w:hAnsi="Century Gothic"/>
                <w:color w:val="000000"/>
                <w:sz w:val="18"/>
                <w:szCs w:val="18"/>
                <w:lang w:val="es-ES" w:eastAsia="es-ES"/>
              </w:rPr>
            </w:pPr>
            <w:bookmarkStart w:id="15" w:name="RANGE!A1"/>
            <w:bookmarkStart w:id="16" w:name="_Toc526515596"/>
            <w:r w:rsidRPr="007A4170">
              <w:rPr>
                <w:rFonts w:ascii="Century Gothic" w:hAnsi="Century Gothic"/>
                <w:color w:val="000000"/>
                <w:sz w:val="18"/>
                <w:szCs w:val="18"/>
                <w:lang w:val="es-ES" w:eastAsia="es-ES"/>
              </w:rPr>
              <w:t xml:space="preserve">Tabla </w:t>
            </w:r>
            <w:r w:rsidR="005A155D" w:rsidRPr="007A4170">
              <w:rPr>
                <w:rFonts w:ascii="Century Gothic" w:hAnsi="Century Gothic"/>
                <w:b/>
                <w:color w:val="000000"/>
                <w:sz w:val="18"/>
                <w:szCs w:val="18"/>
                <w:lang w:eastAsia="es-ES"/>
              </w:rPr>
              <w:fldChar w:fldCharType="begin"/>
            </w:r>
            <w:r w:rsidR="005A155D" w:rsidRPr="007A4170">
              <w:rPr>
                <w:rFonts w:ascii="Century Gothic" w:hAnsi="Century Gothic"/>
                <w:color w:val="000000"/>
                <w:sz w:val="18"/>
                <w:szCs w:val="18"/>
                <w:lang w:val="es-ES" w:eastAsia="es-ES"/>
              </w:rPr>
              <w:instrText xml:space="preserve"> SEQ Tabla \* ARABIC </w:instrText>
            </w:r>
            <w:r w:rsidR="005A155D" w:rsidRPr="007A4170">
              <w:rPr>
                <w:rFonts w:ascii="Century Gothic" w:hAnsi="Century Gothic"/>
                <w:b/>
                <w:color w:val="000000"/>
                <w:sz w:val="18"/>
                <w:szCs w:val="18"/>
                <w:lang w:eastAsia="es-ES"/>
              </w:rPr>
              <w:fldChar w:fldCharType="separate"/>
            </w:r>
            <w:r w:rsidR="00764C39">
              <w:rPr>
                <w:rFonts w:ascii="Century Gothic" w:hAnsi="Century Gothic"/>
                <w:noProof/>
                <w:color w:val="000000"/>
                <w:sz w:val="18"/>
                <w:szCs w:val="18"/>
                <w:lang w:val="es-ES" w:eastAsia="es-ES"/>
              </w:rPr>
              <w:t>6</w:t>
            </w:r>
            <w:r w:rsidR="005A155D" w:rsidRPr="007A4170">
              <w:rPr>
                <w:rFonts w:ascii="Century Gothic" w:hAnsi="Century Gothic"/>
                <w:color w:val="000000"/>
                <w:sz w:val="18"/>
                <w:szCs w:val="18"/>
                <w:lang w:val="es-ES" w:eastAsia="es-ES"/>
              </w:rPr>
              <w:fldChar w:fldCharType="end"/>
            </w:r>
            <w:r w:rsidRPr="007A4170">
              <w:rPr>
                <w:rFonts w:ascii="Century Gothic" w:hAnsi="Century Gothic"/>
                <w:color w:val="000000"/>
                <w:sz w:val="18"/>
                <w:szCs w:val="18"/>
                <w:lang w:val="es-ES" w:eastAsia="es-ES"/>
              </w:rPr>
              <w:t>. PYME y grandes empresas: número de empresas, empleo y valor añadido en 2016 en UE28 en sectores no financieros.</w:t>
            </w:r>
            <w:bookmarkEnd w:id="15"/>
            <w:bookmarkEnd w:id="16"/>
          </w:p>
        </w:tc>
      </w:tr>
      <w:tr w:rsidR="002A5052" w:rsidRPr="007A4170" w14:paraId="6C7278DE" w14:textId="77777777" w:rsidTr="00001E97">
        <w:trPr>
          <w:trHeight w:val="270"/>
        </w:trPr>
        <w:tc>
          <w:tcPr>
            <w:tcW w:w="1716" w:type="dxa"/>
            <w:tcBorders>
              <w:top w:val="single" w:sz="4" w:space="0" w:color="FFFFFF"/>
              <w:left w:val="single" w:sz="4" w:space="0" w:color="FFFFFF"/>
              <w:bottom w:val="single" w:sz="4" w:space="0" w:color="FFFFFF"/>
              <w:right w:val="single" w:sz="4" w:space="0" w:color="FFFFFF"/>
            </w:tcBorders>
            <w:shd w:val="clear" w:color="000000" w:fill="E26B0A"/>
            <w:noWrap/>
            <w:vAlign w:val="bottom"/>
            <w:hideMark/>
          </w:tcPr>
          <w:p w14:paraId="2E0A90B3" w14:textId="77777777" w:rsidR="002A5052" w:rsidRPr="007A4170" w:rsidRDefault="002A5052" w:rsidP="002A5052">
            <w:pPr>
              <w:spacing w:after="0"/>
              <w:jc w:val="left"/>
              <w:rPr>
                <w:rFonts w:ascii="Century Gothic" w:hAnsi="Century Gothic"/>
                <w:color w:val="FFFFFF"/>
                <w:sz w:val="18"/>
                <w:szCs w:val="18"/>
                <w:lang w:val="es-ES" w:eastAsia="es-ES"/>
              </w:rPr>
            </w:pPr>
            <w:r w:rsidRPr="007A4170">
              <w:rPr>
                <w:rFonts w:ascii="Century Gothic" w:hAnsi="Century Gothic"/>
                <w:color w:val="FFFFFF"/>
                <w:sz w:val="18"/>
                <w:szCs w:val="18"/>
                <w:lang w:val="es-ES" w:eastAsia="es-ES"/>
              </w:rPr>
              <w:t> </w:t>
            </w:r>
          </w:p>
        </w:tc>
        <w:tc>
          <w:tcPr>
            <w:tcW w:w="1276" w:type="dxa"/>
            <w:tcBorders>
              <w:top w:val="single" w:sz="4" w:space="0" w:color="FFFFFF"/>
              <w:left w:val="nil"/>
              <w:bottom w:val="nil"/>
              <w:right w:val="single" w:sz="4" w:space="0" w:color="FFFFFF"/>
            </w:tcBorders>
            <w:shd w:val="clear" w:color="000000" w:fill="E26B0A"/>
            <w:noWrap/>
            <w:vAlign w:val="bottom"/>
            <w:hideMark/>
          </w:tcPr>
          <w:p w14:paraId="665DECD4" w14:textId="77777777" w:rsidR="002A5052" w:rsidRPr="007A4170" w:rsidRDefault="002A5052" w:rsidP="002A5052">
            <w:pPr>
              <w:spacing w:after="0"/>
              <w:jc w:val="center"/>
              <w:rPr>
                <w:rFonts w:ascii="Century Gothic" w:hAnsi="Century Gothic"/>
                <w:b/>
                <w:bCs/>
                <w:color w:val="FFFFFF"/>
                <w:sz w:val="18"/>
                <w:szCs w:val="18"/>
                <w:lang w:val="es-ES" w:eastAsia="es-ES"/>
              </w:rPr>
            </w:pPr>
            <w:r w:rsidRPr="007A4170">
              <w:rPr>
                <w:rFonts w:ascii="Century Gothic" w:hAnsi="Century Gothic"/>
                <w:b/>
                <w:bCs/>
                <w:color w:val="FFFFFF"/>
                <w:sz w:val="18"/>
                <w:szCs w:val="18"/>
                <w:lang w:val="es-ES" w:eastAsia="es-ES"/>
              </w:rPr>
              <w:t>Micro</w:t>
            </w:r>
          </w:p>
        </w:tc>
        <w:tc>
          <w:tcPr>
            <w:tcW w:w="1276" w:type="dxa"/>
            <w:tcBorders>
              <w:top w:val="single" w:sz="4" w:space="0" w:color="FFFFFF"/>
              <w:left w:val="nil"/>
              <w:bottom w:val="nil"/>
              <w:right w:val="single" w:sz="4" w:space="0" w:color="FFFFFF"/>
            </w:tcBorders>
            <w:shd w:val="clear" w:color="000000" w:fill="E26B0A"/>
            <w:noWrap/>
            <w:vAlign w:val="bottom"/>
            <w:hideMark/>
          </w:tcPr>
          <w:p w14:paraId="3C537DFF" w14:textId="77777777" w:rsidR="002A5052" w:rsidRPr="007A4170" w:rsidRDefault="002A5052" w:rsidP="002A5052">
            <w:pPr>
              <w:spacing w:after="0"/>
              <w:jc w:val="center"/>
              <w:rPr>
                <w:rFonts w:ascii="Century Gothic" w:hAnsi="Century Gothic"/>
                <w:b/>
                <w:bCs/>
                <w:color w:val="FFFFFF"/>
                <w:sz w:val="18"/>
                <w:szCs w:val="18"/>
                <w:lang w:val="es-ES" w:eastAsia="es-ES"/>
              </w:rPr>
            </w:pPr>
            <w:r w:rsidRPr="007A4170">
              <w:rPr>
                <w:rFonts w:ascii="Century Gothic" w:hAnsi="Century Gothic"/>
                <w:b/>
                <w:bCs/>
                <w:color w:val="FFFFFF"/>
                <w:sz w:val="18"/>
                <w:szCs w:val="18"/>
                <w:lang w:val="es-ES" w:eastAsia="es-ES"/>
              </w:rPr>
              <w:t xml:space="preserve">Pequeñas </w:t>
            </w:r>
          </w:p>
        </w:tc>
        <w:tc>
          <w:tcPr>
            <w:tcW w:w="1418" w:type="dxa"/>
            <w:tcBorders>
              <w:top w:val="nil"/>
              <w:left w:val="nil"/>
              <w:bottom w:val="nil"/>
              <w:right w:val="single" w:sz="4" w:space="0" w:color="FFFFFF"/>
            </w:tcBorders>
            <w:shd w:val="clear" w:color="000000" w:fill="E26B0A"/>
            <w:noWrap/>
            <w:vAlign w:val="bottom"/>
            <w:hideMark/>
          </w:tcPr>
          <w:p w14:paraId="6A157893" w14:textId="77777777" w:rsidR="002A5052" w:rsidRPr="007A4170" w:rsidRDefault="002A5052" w:rsidP="002A5052">
            <w:pPr>
              <w:spacing w:after="0"/>
              <w:jc w:val="center"/>
              <w:rPr>
                <w:rFonts w:ascii="Century Gothic" w:hAnsi="Century Gothic"/>
                <w:b/>
                <w:bCs/>
                <w:color w:val="FFFFFF"/>
                <w:sz w:val="18"/>
                <w:szCs w:val="18"/>
                <w:lang w:val="es-ES" w:eastAsia="es-ES"/>
              </w:rPr>
            </w:pPr>
            <w:r w:rsidRPr="007A4170">
              <w:rPr>
                <w:rFonts w:ascii="Century Gothic" w:hAnsi="Century Gothic"/>
                <w:b/>
                <w:bCs/>
                <w:color w:val="FFFFFF"/>
                <w:sz w:val="18"/>
                <w:szCs w:val="18"/>
                <w:lang w:val="es-ES" w:eastAsia="es-ES"/>
              </w:rPr>
              <w:t>Medianas</w:t>
            </w:r>
          </w:p>
        </w:tc>
        <w:tc>
          <w:tcPr>
            <w:tcW w:w="1275" w:type="dxa"/>
            <w:tcBorders>
              <w:top w:val="nil"/>
              <w:left w:val="nil"/>
              <w:bottom w:val="nil"/>
              <w:right w:val="single" w:sz="4" w:space="0" w:color="FFFFFF"/>
            </w:tcBorders>
            <w:shd w:val="clear" w:color="000000" w:fill="E26B0A"/>
            <w:noWrap/>
            <w:vAlign w:val="bottom"/>
            <w:hideMark/>
          </w:tcPr>
          <w:p w14:paraId="54BF908B" w14:textId="77777777" w:rsidR="002A5052" w:rsidRPr="007A4170" w:rsidRDefault="002A5052" w:rsidP="002A5052">
            <w:pPr>
              <w:spacing w:after="0"/>
              <w:jc w:val="center"/>
              <w:rPr>
                <w:rFonts w:ascii="Century Gothic" w:hAnsi="Century Gothic"/>
                <w:b/>
                <w:bCs/>
                <w:color w:val="FFFFFF"/>
                <w:sz w:val="18"/>
                <w:szCs w:val="18"/>
                <w:lang w:val="es-ES" w:eastAsia="es-ES"/>
              </w:rPr>
            </w:pPr>
            <w:r w:rsidRPr="007A4170">
              <w:rPr>
                <w:rFonts w:ascii="Century Gothic" w:hAnsi="Century Gothic"/>
                <w:b/>
                <w:bCs/>
                <w:color w:val="FFFFFF"/>
                <w:sz w:val="18"/>
                <w:szCs w:val="18"/>
                <w:lang w:val="es-ES" w:eastAsia="es-ES"/>
              </w:rPr>
              <w:t>PYME</w:t>
            </w:r>
          </w:p>
        </w:tc>
        <w:tc>
          <w:tcPr>
            <w:tcW w:w="1276" w:type="dxa"/>
            <w:tcBorders>
              <w:top w:val="nil"/>
              <w:left w:val="nil"/>
              <w:bottom w:val="nil"/>
              <w:right w:val="single" w:sz="4" w:space="0" w:color="FFFFFF"/>
            </w:tcBorders>
            <w:shd w:val="clear" w:color="000000" w:fill="E26B0A"/>
            <w:noWrap/>
            <w:vAlign w:val="bottom"/>
            <w:hideMark/>
          </w:tcPr>
          <w:p w14:paraId="541908F9" w14:textId="77777777" w:rsidR="002A5052" w:rsidRPr="007A4170" w:rsidRDefault="002A5052" w:rsidP="002A5052">
            <w:pPr>
              <w:spacing w:after="0"/>
              <w:jc w:val="center"/>
              <w:rPr>
                <w:rFonts w:ascii="Century Gothic" w:hAnsi="Century Gothic"/>
                <w:b/>
                <w:bCs/>
                <w:color w:val="FFFFFF"/>
                <w:sz w:val="18"/>
                <w:szCs w:val="18"/>
                <w:lang w:val="es-ES" w:eastAsia="es-ES"/>
              </w:rPr>
            </w:pPr>
            <w:r w:rsidRPr="007A4170">
              <w:rPr>
                <w:rFonts w:ascii="Century Gothic" w:hAnsi="Century Gothic"/>
                <w:b/>
                <w:bCs/>
                <w:color w:val="FFFFFF"/>
                <w:sz w:val="18"/>
                <w:szCs w:val="18"/>
                <w:lang w:val="es-ES" w:eastAsia="es-ES"/>
              </w:rPr>
              <w:t>Grandes</w:t>
            </w:r>
          </w:p>
        </w:tc>
        <w:tc>
          <w:tcPr>
            <w:tcW w:w="992" w:type="dxa"/>
            <w:tcBorders>
              <w:top w:val="nil"/>
              <w:left w:val="nil"/>
              <w:bottom w:val="nil"/>
              <w:right w:val="single" w:sz="4" w:space="0" w:color="FFFFFF"/>
            </w:tcBorders>
            <w:shd w:val="clear" w:color="000000" w:fill="E26B0A"/>
            <w:noWrap/>
            <w:vAlign w:val="bottom"/>
            <w:hideMark/>
          </w:tcPr>
          <w:p w14:paraId="5F7A288C" w14:textId="77777777" w:rsidR="002A5052" w:rsidRPr="007A4170" w:rsidRDefault="002A5052" w:rsidP="002A5052">
            <w:pPr>
              <w:spacing w:after="0"/>
              <w:jc w:val="center"/>
              <w:rPr>
                <w:rFonts w:ascii="Century Gothic" w:hAnsi="Century Gothic"/>
                <w:b/>
                <w:bCs/>
                <w:color w:val="FFFFFF"/>
                <w:sz w:val="18"/>
                <w:szCs w:val="18"/>
                <w:lang w:val="es-ES" w:eastAsia="es-ES"/>
              </w:rPr>
            </w:pPr>
            <w:r w:rsidRPr="007A4170">
              <w:rPr>
                <w:rFonts w:ascii="Century Gothic" w:hAnsi="Century Gothic"/>
                <w:b/>
                <w:bCs/>
                <w:color w:val="FFFFFF"/>
                <w:sz w:val="18"/>
                <w:szCs w:val="18"/>
                <w:lang w:val="es-ES" w:eastAsia="es-ES"/>
              </w:rPr>
              <w:t>Total</w:t>
            </w:r>
          </w:p>
        </w:tc>
      </w:tr>
      <w:tr w:rsidR="002A5052" w:rsidRPr="007A4170" w14:paraId="7073AF69" w14:textId="77777777" w:rsidTr="00001E97">
        <w:trPr>
          <w:trHeight w:val="270"/>
        </w:trPr>
        <w:tc>
          <w:tcPr>
            <w:tcW w:w="1716" w:type="dxa"/>
            <w:tcBorders>
              <w:top w:val="nil"/>
              <w:left w:val="single" w:sz="4" w:space="0" w:color="FFFFFF"/>
              <w:bottom w:val="single" w:sz="4" w:space="0" w:color="FFFFFF"/>
              <w:right w:val="single" w:sz="4" w:space="0" w:color="FFFFFF"/>
            </w:tcBorders>
            <w:shd w:val="clear" w:color="000000" w:fill="FABF8F"/>
            <w:noWrap/>
            <w:vAlign w:val="bottom"/>
            <w:hideMark/>
          </w:tcPr>
          <w:p w14:paraId="7E93E012"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 </w:t>
            </w:r>
          </w:p>
        </w:tc>
        <w:tc>
          <w:tcPr>
            <w:tcW w:w="7513" w:type="dxa"/>
            <w:gridSpan w:val="6"/>
            <w:tcBorders>
              <w:top w:val="single" w:sz="4" w:space="0" w:color="FFFFFF"/>
              <w:left w:val="nil"/>
              <w:bottom w:val="single" w:sz="4" w:space="0" w:color="FFFFFF"/>
              <w:right w:val="single" w:sz="4" w:space="0" w:color="FFFFFF"/>
            </w:tcBorders>
            <w:shd w:val="clear" w:color="000000" w:fill="FABF8F"/>
            <w:noWrap/>
            <w:vAlign w:val="bottom"/>
            <w:hideMark/>
          </w:tcPr>
          <w:p w14:paraId="0A08034F" w14:textId="77777777" w:rsidR="002A5052" w:rsidRPr="007A4170" w:rsidRDefault="002A5052" w:rsidP="002A5052">
            <w:pPr>
              <w:spacing w:after="0"/>
              <w:jc w:val="center"/>
              <w:rPr>
                <w:rFonts w:ascii="Century Gothic" w:hAnsi="Century Gothic"/>
                <w:b/>
                <w:color w:val="000000"/>
                <w:sz w:val="18"/>
                <w:szCs w:val="18"/>
                <w:lang w:val="es-ES" w:eastAsia="es-ES"/>
              </w:rPr>
            </w:pPr>
            <w:r w:rsidRPr="007A4170">
              <w:rPr>
                <w:rFonts w:ascii="Century Gothic" w:hAnsi="Century Gothic"/>
                <w:b/>
                <w:color w:val="000000"/>
                <w:sz w:val="18"/>
                <w:szCs w:val="18"/>
                <w:lang w:val="es-ES" w:eastAsia="es-ES"/>
              </w:rPr>
              <w:t>Número de empresas</w:t>
            </w:r>
          </w:p>
        </w:tc>
      </w:tr>
      <w:tr w:rsidR="002A5052" w:rsidRPr="007A4170" w14:paraId="4758A750" w14:textId="77777777" w:rsidTr="00001E97">
        <w:trPr>
          <w:trHeight w:val="270"/>
        </w:trPr>
        <w:tc>
          <w:tcPr>
            <w:tcW w:w="1716" w:type="dxa"/>
            <w:tcBorders>
              <w:top w:val="nil"/>
              <w:left w:val="single" w:sz="4" w:space="0" w:color="FFFFFF"/>
              <w:bottom w:val="single" w:sz="4" w:space="0" w:color="FFFFFF"/>
              <w:right w:val="single" w:sz="4" w:space="0" w:color="FFFFFF"/>
            </w:tcBorders>
            <w:shd w:val="clear" w:color="000000" w:fill="FABF8F"/>
            <w:noWrap/>
            <w:vAlign w:val="bottom"/>
            <w:hideMark/>
          </w:tcPr>
          <w:p w14:paraId="211D3473"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En miles</w:t>
            </w:r>
          </w:p>
        </w:tc>
        <w:tc>
          <w:tcPr>
            <w:tcW w:w="1276" w:type="dxa"/>
            <w:tcBorders>
              <w:top w:val="nil"/>
              <w:left w:val="nil"/>
              <w:bottom w:val="single" w:sz="4" w:space="0" w:color="FFFFFF"/>
              <w:right w:val="single" w:sz="4" w:space="0" w:color="FFFFFF"/>
            </w:tcBorders>
            <w:shd w:val="clear" w:color="000000" w:fill="FABF8F"/>
            <w:noWrap/>
            <w:vAlign w:val="center"/>
            <w:hideMark/>
          </w:tcPr>
          <w:p w14:paraId="7871E96E" w14:textId="5F587E80"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22.232</w:t>
            </w:r>
          </w:p>
        </w:tc>
        <w:tc>
          <w:tcPr>
            <w:tcW w:w="1276" w:type="dxa"/>
            <w:tcBorders>
              <w:top w:val="nil"/>
              <w:left w:val="nil"/>
              <w:bottom w:val="single" w:sz="4" w:space="0" w:color="FFFFFF"/>
              <w:right w:val="nil"/>
            </w:tcBorders>
            <w:shd w:val="clear" w:color="000000" w:fill="FABF8F"/>
            <w:noWrap/>
            <w:vAlign w:val="center"/>
            <w:hideMark/>
          </w:tcPr>
          <w:p w14:paraId="45151001" w14:textId="60F9CD23"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1.392</w:t>
            </w:r>
          </w:p>
        </w:tc>
        <w:tc>
          <w:tcPr>
            <w:tcW w:w="1418" w:type="dxa"/>
            <w:tcBorders>
              <w:top w:val="nil"/>
              <w:left w:val="single" w:sz="4" w:space="0" w:color="FFFFFF"/>
              <w:bottom w:val="single" w:sz="4" w:space="0" w:color="FFFFFF"/>
              <w:right w:val="single" w:sz="4" w:space="0" w:color="FFFFFF"/>
            </w:tcBorders>
            <w:shd w:val="clear" w:color="000000" w:fill="FABF8F"/>
            <w:noWrap/>
            <w:vAlign w:val="center"/>
            <w:hideMark/>
          </w:tcPr>
          <w:p w14:paraId="5413D78B" w14:textId="6A3FB358"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225</w:t>
            </w:r>
          </w:p>
        </w:tc>
        <w:tc>
          <w:tcPr>
            <w:tcW w:w="1275" w:type="dxa"/>
            <w:tcBorders>
              <w:top w:val="nil"/>
              <w:left w:val="nil"/>
              <w:bottom w:val="single" w:sz="4" w:space="0" w:color="FFFFFF"/>
              <w:right w:val="single" w:sz="4" w:space="0" w:color="FFFFFF"/>
            </w:tcBorders>
            <w:shd w:val="clear" w:color="000000" w:fill="FABF8F"/>
            <w:noWrap/>
            <w:vAlign w:val="center"/>
            <w:hideMark/>
          </w:tcPr>
          <w:p w14:paraId="1840DFE4" w14:textId="28D02BEF"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23.849</w:t>
            </w:r>
          </w:p>
        </w:tc>
        <w:tc>
          <w:tcPr>
            <w:tcW w:w="1276" w:type="dxa"/>
            <w:tcBorders>
              <w:top w:val="nil"/>
              <w:left w:val="nil"/>
              <w:bottom w:val="single" w:sz="4" w:space="0" w:color="FFFFFF"/>
              <w:right w:val="nil"/>
            </w:tcBorders>
            <w:shd w:val="clear" w:color="000000" w:fill="FABF8F"/>
            <w:noWrap/>
            <w:vAlign w:val="center"/>
            <w:hideMark/>
          </w:tcPr>
          <w:p w14:paraId="0BD9F2FE" w14:textId="5532380E"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45</w:t>
            </w:r>
          </w:p>
        </w:tc>
        <w:tc>
          <w:tcPr>
            <w:tcW w:w="992" w:type="dxa"/>
            <w:tcBorders>
              <w:top w:val="nil"/>
              <w:left w:val="single" w:sz="4" w:space="0" w:color="FFFFFF"/>
              <w:bottom w:val="single" w:sz="4" w:space="0" w:color="FFFFFF"/>
              <w:right w:val="single" w:sz="4" w:space="0" w:color="FFFFFF"/>
            </w:tcBorders>
            <w:shd w:val="clear" w:color="000000" w:fill="FABF8F"/>
            <w:noWrap/>
            <w:vAlign w:val="center"/>
            <w:hideMark/>
          </w:tcPr>
          <w:p w14:paraId="434BA07D" w14:textId="67E5B10B"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23.894</w:t>
            </w:r>
          </w:p>
        </w:tc>
      </w:tr>
      <w:tr w:rsidR="002A5052" w:rsidRPr="007A4170" w14:paraId="3583CB47" w14:textId="77777777" w:rsidTr="00001E97">
        <w:trPr>
          <w:trHeight w:val="270"/>
        </w:trPr>
        <w:tc>
          <w:tcPr>
            <w:tcW w:w="1716" w:type="dxa"/>
            <w:tcBorders>
              <w:top w:val="nil"/>
              <w:left w:val="single" w:sz="4" w:space="0" w:color="FFFFFF"/>
              <w:bottom w:val="single" w:sz="4" w:space="0" w:color="FFFFFF"/>
              <w:right w:val="single" w:sz="4" w:space="0" w:color="FFFFFF"/>
            </w:tcBorders>
            <w:shd w:val="clear" w:color="000000" w:fill="FABF8F"/>
            <w:noWrap/>
            <w:vAlign w:val="bottom"/>
            <w:hideMark/>
          </w:tcPr>
          <w:p w14:paraId="2F1781FA"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En % del total</w:t>
            </w:r>
          </w:p>
        </w:tc>
        <w:tc>
          <w:tcPr>
            <w:tcW w:w="1276" w:type="dxa"/>
            <w:tcBorders>
              <w:top w:val="nil"/>
              <w:left w:val="nil"/>
              <w:bottom w:val="single" w:sz="4" w:space="0" w:color="FFFFFF"/>
              <w:right w:val="single" w:sz="4" w:space="0" w:color="FFFFFF"/>
            </w:tcBorders>
            <w:shd w:val="clear" w:color="000000" w:fill="FABF8F"/>
            <w:noWrap/>
            <w:vAlign w:val="center"/>
            <w:hideMark/>
          </w:tcPr>
          <w:p w14:paraId="33E22C76"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93,0%</w:t>
            </w:r>
          </w:p>
        </w:tc>
        <w:tc>
          <w:tcPr>
            <w:tcW w:w="1276" w:type="dxa"/>
            <w:tcBorders>
              <w:top w:val="nil"/>
              <w:left w:val="nil"/>
              <w:bottom w:val="single" w:sz="4" w:space="0" w:color="FFFFFF"/>
              <w:right w:val="single" w:sz="4" w:space="0" w:color="FFFFFF"/>
            </w:tcBorders>
            <w:shd w:val="clear" w:color="000000" w:fill="FABF8F"/>
            <w:noWrap/>
            <w:vAlign w:val="center"/>
            <w:hideMark/>
          </w:tcPr>
          <w:p w14:paraId="06D08024"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5,8%</w:t>
            </w:r>
          </w:p>
        </w:tc>
        <w:tc>
          <w:tcPr>
            <w:tcW w:w="1418" w:type="dxa"/>
            <w:tcBorders>
              <w:top w:val="nil"/>
              <w:left w:val="nil"/>
              <w:bottom w:val="single" w:sz="4" w:space="0" w:color="FFFFFF"/>
              <w:right w:val="single" w:sz="4" w:space="0" w:color="FFFFFF"/>
            </w:tcBorders>
            <w:shd w:val="clear" w:color="000000" w:fill="FABF8F"/>
            <w:noWrap/>
            <w:vAlign w:val="center"/>
            <w:hideMark/>
          </w:tcPr>
          <w:p w14:paraId="07D08D52"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0,9%</w:t>
            </w:r>
          </w:p>
        </w:tc>
        <w:tc>
          <w:tcPr>
            <w:tcW w:w="1275" w:type="dxa"/>
            <w:tcBorders>
              <w:top w:val="nil"/>
              <w:left w:val="nil"/>
              <w:bottom w:val="single" w:sz="4" w:space="0" w:color="FFFFFF"/>
              <w:right w:val="single" w:sz="4" w:space="0" w:color="FFFFFF"/>
            </w:tcBorders>
            <w:shd w:val="clear" w:color="000000" w:fill="FABF8F"/>
            <w:noWrap/>
            <w:vAlign w:val="center"/>
            <w:hideMark/>
          </w:tcPr>
          <w:p w14:paraId="66CA24A8"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99,8%</w:t>
            </w:r>
          </w:p>
        </w:tc>
        <w:tc>
          <w:tcPr>
            <w:tcW w:w="1276" w:type="dxa"/>
            <w:tcBorders>
              <w:top w:val="nil"/>
              <w:left w:val="nil"/>
              <w:bottom w:val="single" w:sz="4" w:space="0" w:color="FFFFFF"/>
              <w:right w:val="single" w:sz="4" w:space="0" w:color="FFFFFF"/>
            </w:tcBorders>
            <w:shd w:val="clear" w:color="000000" w:fill="FABF8F"/>
            <w:noWrap/>
            <w:vAlign w:val="center"/>
            <w:hideMark/>
          </w:tcPr>
          <w:p w14:paraId="73ED1EC4"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0,2%</w:t>
            </w:r>
          </w:p>
        </w:tc>
        <w:tc>
          <w:tcPr>
            <w:tcW w:w="992" w:type="dxa"/>
            <w:tcBorders>
              <w:top w:val="nil"/>
              <w:left w:val="nil"/>
              <w:bottom w:val="single" w:sz="4" w:space="0" w:color="FFFFFF"/>
              <w:right w:val="single" w:sz="4" w:space="0" w:color="FFFFFF"/>
            </w:tcBorders>
            <w:shd w:val="clear" w:color="000000" w:fill="FABF8F"/>
            <w:noWrap/>
            <w:vAlign w:val="center"/>
            <w:hideMark/>
          </w:tcPr>
          <w:p w14:paraId="6AC227F5"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100%</w:t>
            </w:r>
          </w:p>
        </w:tc>
      </w:tr>
      <w:tr w:rsidR="002A5052" w:rsidRPr="007A4170" w14:paraId="66F13096" w14:textId="77777777" w:rsidTr="00001E97">
        <w:trPr>
          <w:trHeight w:val="270"/>
        </w:trPr>
        <w:tc>
          <w:tcPr>
            <w:tcW w:w="1716" w:type="dxa"/>
            <w:tcBorders>
              <w:top w:val="nil"/>
              <w:left w:val="single" w:sz="4" w:space="0" w:color="FFFFFF"/>
              <w:bottom w:val="single" w:sz="4" w:space="0" w:color="FFFFFF"/>
              <w:right w:val="single" w:sz="4" w:space="0" w:color="FFFFFF"/>
            </w:tcBorders>
            <w:shd w:val="clear" w:color="000000" w:fill="FDE9D9"/>
            <w:noWrap/>
            <w:vAlign w:val="bottom"/>
            <w:hideMark/>
          </w:tcPr>
          <w:p w14:paraId="1C1A4481"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 </w:t>
            </w:r>
          </w:p>
        </w:tc>
        <w:tc>
          <w:tcPr>
            <w:tcW w:w="7513" w:type="dxa"/>
            <w:gridSpan w:val="6"/>
            <w:tcBorders>
              <w:top w:val="single" w:sz="4" w:space="0" w:color="FFFFFF"/>
              <w:left w:val="nil"/>
              <w:bottom w:val="single" w:sz="4" w:space="0" w:color="FFFFFF"/>
              <w:right w:val="single" w:sz="4" w:space="0" w:color="FFFFFF" w:themeColor="background1"/>
            </w:tcBorders>
            <w:shd w:val="clear" w:color="000000" w:fill="FDE9D9"/>
            <w:noWrap/>
            <w:vAlign w:val="bottom"/>
            <w:hideMark/>
          </w:tcPr>
          <w:p w14:paraId="36C2B6F2" w14:textId="77777777" w:rsidR="002A5052" w:rsidRPr="007A4170" w:rsidRDefault="002A5052" w:rsidP="002A5052">
            <w:pPr>
              <w:spacing w:after="0"/>
              <w:jc w:val="center"/>
              <w:rPr>
                <w:rFonts w:ascii="Century Gothic" w:hAnsi="Century Gothic"/>
                <w:b/>
                <w:color w:val="000000"/>
                <w:sz w:val="18"/>
                <w:szCs w:val="18"/>
                <w:lang w:val="es-ES" w:eastAsia="es-ES"/>
              </w:rPr>
            </w:pPr>
            <w:r w:rsidRPr="007A4170">
              <w:rPr>
                <w:rFonts w:ascii="Century Gothic" w:hAnsi="Century Gothic"/>
                <w:b/>
                <w:color w:val="000000"/>
                <w:sz w:val="18"/>
                <w:szCs w:val="18"/>
                <w:lang w:val="es-ES" w:eastAsia="es-ES"/>
              </w:rPr>
              <w:t>Número de empleados</w:t>
            </w:r>
          </w:p>
        </w:tc>
      </w:tr>
      <w:tr w:rsidR="002A5052" w:rsidRPr="007A4170" w14:paraId="33D4484C" w14:textId="77777777" w:rsidTr="00001E97">
        <w:trPr>
          <w:trHeight w:val="270"/>
        </w:trPr>
        <w:tc>
          <w:tcPr>
            <w:tcW w:w="1716" w:type="dxa"/>
            <w:tcBorders>
              <w:top w:val="nil"/>
              <w:left w:val="single" w:sz="4" w:space="0" w:color="FFFFFF"/>
              <w:bottom w:val="single" w:sz="4" w:space="0" w:color="FFFFFF"/>
              <w:right w:val="single" w:sz="4" w:space="0" w:color="FFFFFF"/>
            </w:tcBorders>
            <w:shd w:val="clear" w:color="000000" w:fill="FDE9D9"/>
            <w:noWrap/>
            <w:vAlign w:val="bottom"/>
            <w:hideMark/>
          </w:tcPr>
          <w:p w14:paraId="4DE1E00E"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En miles</w:t>
            </w:r>
          </w:p>
        </w:tc>
        <w:tc>
          <w:tcPr>
            <w:tcW w:w="1276" w:type="dxa"/>
            <w:tcBorders>
              <w:top w:val="nil"/>
              <w:left w:val="nil"/>
              <w:bottom w:val="single" w:sz="4" w:space="0" w:color="FFFFFF"/>
              <w:right w:val="single" w:sz="4" w:space="0" w:color="FFFFFF"/>
            </w:tcBorders>
            <w:shd w:val="clear" w:color="000000" w:fill="FDE9D9"/>
            <w:noWrap/>
            <w:vAlign w:val="center"/>
            <w:hideMark/>
          </w:tcPr>
          <w:p w14:paraId="6D5D52B3" w14:textId="1E5A33F6"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41.669</w:t>
            </w:r>
          </w:p>
        </w:tc>
        <w:tc>
          <w:tcPr>
            <w:tcW w:w="1276" w:type="dxa"/>
            <w:tcBorders>
              <w:top w:val="nil"/>
              <w:left w:val="nil"/>
              <w:bottom w:val="single" w:sz="4" w:space="0" w:color="FFFFFF"/>
              <w:right w:val="single" w:sz="4" w:space="0" w:color="FFFFFF"/>
            </w:tcBorders>
            <w:shd w:val="clear" w:color="000000" w:fill="FDE9D9"/>
            <w:noWrap/>
            <w:vAlign w:val="center"/>
            <w:hideMark/>
          </w:tcPr>
          <w:p w14:paraId="303A8029" w14:textId="05882BA1"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27.982</w:t>
            </w:r>
          </w:p>
        </w:tc>
        <w:tc>
          <w:tcPr>
            <w:tcW w:w="1418" w:type="dxa"/>
            <w:tcBorders>
              <w:top w:val="nil"/>
              <w:left w:val="nil"/>
              <w:bottom w:val="single" w:sz="4" w:space="0" w:color="FFFFFF"/>
              <w:right w:val="single" w:sz="4" w:space="0" w:color="FFFFFF"/>
            </w:tcBorders>
            <w:shd w:val="clear" w:color="000000" w:fill="FDE9D9"/>
            <w:noWrap/>
            <w:vAlign w:val="center"/>
            <w:hideMark/>
          </w:tcPr>
          <w:p w14:paraId="4F53645C" w14:textId="53FE68FF"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23.398</w:t>
            </w:r>
          </w:p>
        </w:tc>
        <w:tc>
          <w:tcPr>
            <w:tcW w:w="1275" w:type="dxa"/>
            <w:tcBorders>
              <w:top w:val="nil"/>
              <w:left w:val="nil"/>
              <w:bottom w:val="single" w:sz="4" w:space="0" w:color="FFFFFF"/>
              <w:right w:val="single" w:sz="4" w:space="0" w:color="FFFFFF"/>
            </w:tcBorders>
            <w:shd w:val="clear" w:color="000000" w:fill="FDE9D9"/>
            <w:noWrap/>
            <w:vAlign w:val="center"/>
            <w:hideMark/>
          </w:tcPr>
          <w:p w14:paraId="4D3DF17E" w14:textId="620EF09A"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93.049</w:t>
            </w:r>
          </w:p>
        </w:tc>
        <w:tc>
          <w:tcPr>
            <w:tcW w:w="1276" w:type="dxa"/>
            <w:tcBorders>
              <w:top w:val="nil"/>
              <w:left w:val="nil"/>
              <w:bottom w:val="single" w:sz="4" w:space="0" w:color="FFFFFF"/>
              <w:right w:val="single" w:sz="4" w:space="0" w:color="FFFFFF"/>
            </w:tcBorders>
            <w:shd w:val="clear" w:color="000000" w:fill="FDE9D9"/>
            <w:noWrap/>
            <w:vAlign w:val="center"/>
            <w:hideMark/>
          </w:tcPr>
          <w:p w14:paraId="5C6640F8" w14:textId="72312859"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46.665</w:t>
            </w:r>
          </w:p>
        </w:tc>
        <w:tc>
          <w:tcPr>
            <w:tcW w:w="992" w:type="dxa"/>
            <w:tcBorders>
              <w:top w:val="single" w:sz="4" w:space="0" w:color="FFFFFF" w:themeColor="background1"/>
              <w:left w:val="nil"/>
              <w:bottom w:val="single" w:sz="4" w:space="0" w:color="FFFFFF"/>
              <w:right w:val="single" w:sz="4" w:space="0" w:color="FFFFFF"/>
            </w:tcBorders>
            <w:shd w:val="clear" w:color="000000" w:fill="FDE9D9"/>
            <w:noWrap/>
            <w:vAlign w:val="center"/>
            <w:hideMark/>
          </w:tcPr>
          <w:p w14:paraId="59D74DE6" w14:textId="2421A75A"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139.714</w:t>
            </w:r>
          </w:p>
        </w:tc>
      </w:tr>
      <w:tr w:rsidR="002A5052" w:rsidRPr="007A4170" w14:paraId="5BACE682" w14:textId="77777777" w:rsidTr="00001E97">
        <w:trPr>
          <w:trHeight w:val="270"/>
        </w:trPr>
        <w:tc>
          <w:tcPr>
            <w:tcW w:w="1716" w:type="dxa"/>
            <w:tcBorders>
              <w:top w:val="nil"/>
              <w:left w:val="single" w:sz="4" w:space="0" w:color="FFFFFF"/>
              <w:bottom w:val="single" w:sz="4" w:space="0" w:color="FFFFFF"/>
              <w:right w:val="single" w:sz="4" w:space="0" w:color="FFFFFF"/>
            </w:tcBorders>
            <w:shd w:val="clear" w:color="000000" w:fill="FDE9D9"/>
            <w:noWrap/>
            <w:vAlign w:val="bottom"/>
            <w:hideMark/>
          </w:tcPr>
          <w:p w14:paraId="71E659FB"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En % del total</w:t>
            </w:r>
          </w:p>
        </w:tc>
        <w:tc>
          <w:tcPr>
            <w:tcW w:w="1276" w:type="dxa"/>
            <w:tcBorders>
              <w:top w:val="nil"/>
              <w:left w:val="nil"/>
              <w:bottom w:val="single" w:sz="4" w:space="0" w:color="FFFFFF"/>
              <w:right w:val="single" w:sz="4" w:space="0" w:color="FFFFFF"/>
            </w:tcBorders>
            <w:shd w:val="clear" w:color="000000" w:fill="FDE9D9"/>
            <w:noWrap/>
            <w:vAlign w:val="center"/>
            <w:hideMark/>
          </w:tcPr>
          <w:p w14:paraId="2D16F23D"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29,8%</w:t>
            </w:r>
          </w:p>
        </w:tc>
        <w:tc>
          <w:tcPr>
            <w:tcW w:w="1276" w:type="dxa"/>
            <w:tcBorders>
              <w:top w:val="nil"/>
              <w:left w:val="nil"/>
              <w:bottom w:val="single" w:sz="4" w:space="0" w:color="FFFFFF"/>
              <w:right w:val="single" w:sz="4" w:space="0" w:color="FFFFFF"/>
            </w:tcBorders>
            <w:shd w:val="clear" w:color="000000" w:fill="FDE9D9"/>
            <w:noWrap/>
            <w:vAlign w:val="center"/>
            <w:hideMark/>
          </w:tcPr>
          <w:p w14:paraId="6457D1F8"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20,0%</w:t>
            </w:r>
          </w:p>
        </w:tc>
        <w:tc>
          <w:tcPr>
            <w:tcW w:w="1418" w:type="dxa"/>
            <w:tcBorders>
              <w:top w:val="nil"/>
              <w:left w:val="nil"/>
              <w:bottom w:val="single" w:sz="4" w:space="0" w:color="FFFFFF"/>
              <w:right w:val="single" w:sz="4" w:space="0" w:color="FFFFFF"/>
            </w:tcBorders>
            <w:shd w:val="clear" w:color="000000" w:fill="FDE9D9"/>
            <w:noWrap/>
            <w:vAlign w:val="center"/>
            <w:hideMark/>
          </w:tcPr>
          <w:p w14:paraId="181EFFB2"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16,7%</w:t>
            </w:r>
          </w:p>
        </w:tc>
        <w:tc>
          <w:tcPr>
            <w:tcW w:w="1275" w:type="dxa"/>
            <w:tcBorders>
              <w:top w:val="nil"/>
              <w:left w:val="nil"/>
              <w:bottom w:val="single" w:sz="4" w:space="0" w:color="FFFFFF"/>
              <w:right w:val="single" w:sz="4" w:space="0" w:color="FFFFFF"/>
            </w:tcBorders>
            <w:shd w:val="clear" w:color="000000" w:fill="FDE9D9"/>
            <w:noWrap/>
            <w:vAlign w:val="center"/>
            <w:hideMark/>
          </w:tcPr>
          <w:p w14:paraId="78441904"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66,6%</w:t>
            </w:r>
          </w:p>
        </w:tc>
        <w:tc>
          <w:tcPr>
            <w:tcW w:w="1276" w:type="dxa"/>
            <w:tcBorders>
              <w:top w:val="nil"/>
              <w:left w:val="nil"/>
              <w:bottom w:val="single" w:sz="4" w:space="0" w:color="FFFFFF"/>
              <w:right w:val="single" w:sz="4" w:space="0" w:color="FFFFFF"/>
            </w:tcBorders>
            <w:shd w:val="clear" w:color="000000" w:fill="FDE9D9"/>
            <w:noWrap/>
            <w:vAlign w:val="center"/>
            <w:hideMark/>
          </w:tcPr>
          <w:p w14:paraId="6780A7FC"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33,4%</w:t>
            </w:r>
          </w:p>
        </w:tc>
        <w:tc>
          <w:tcPr>
            <w:tcW w:w="992" w:type="dxa"/>
            <w:tcBorders>
              <w:top w:val="nil"/>
              <w:left w:val="nil"/>
              <w:bottom w:val="single" w:sz="4" w:space="0" w:color="FFFFFF"/>
              <w:right w:val="single" w:sz="4" w:space="0" w:color="FFFFFF"/>
            </w:tcBorders>
            <w:shd w:val="clear" w:color="000000" w:fill="FDE9D9"/>
            <w:noWrap/>
            <w:vAlign w:val="center"/>
            <w:hideMark/>
          </w:tcPr>
          <w:p w14:paraId="4DB96036"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100,0%</w:t>
            </w:r>
          </w:p>
        </w:tc>
      </w:tr>
      <w:tr w:rsidR="002A5052" w:rsidRPr="007A4170" w14:paraId="6263C3DC" w14:textId="77777777" w:rsidTr="00001E97">
        <w:trPr>
          <w:trHeight w:val="270"/>
        </w:trPr>
        <w:tc>
          <w:tcPr>
            <w:tcW w:w="1716" w:type="dxa"/>
            <w:tcBorders>
              <w:top w:val="nil"/>
              <w:left w:val="single" w:sz="4" w:space="0" w:color="FFFFFF"/>
              <w:bottom w:val="single" w:sz="4" w:space="0" w:color="FFFFFF"/>
              <w:right w:val="single" w:sz="4" w:space="0" w:color="FFFFFF"/>
            </w:tcBorders>
            <w:shd w:val="clear" w:color="000000" w:fill="FABF8F"/>
            <w:noWrap/>
            <w:vAlign w:val="bottom"/>
            <w:hideMark/>
          </w:tcPr>
          <w:p w14:paraId="131402D7"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 </w:t>
            </w:r>
          </w:p>
        </w:tc>
        <w:tc>
          <w:tcPr>
            <w:tcW w:w="7513" w:type="dxa"/>
            <w:gridSpan w:val="6"/>
            <w:tcBorders>
              <w:top w:val="single" w:sz="4" w:space="0" w:color="FFFFFF"/>
              <w:left w:val="nil"/>
              <w:bottom w:val="single" w:sz="4" w:space="0" w:color="FFFFFF"/>
              <w:right w:val="single" w:sz="4" w:space="0" w:color="FFFFFF"/>
            </w:tcBorders>
            <w:shd w:val="clear" w:color="000000" w:fill="FABF8F"/>
            <w:noWrap/>
            <w:vAlign w:val="bottom"/>
            <w:hideMark/>
          </w:tcPr>
          <w:p w14:paraId="01BD9E05" w14:textId="77777777" w:rsidR="002A5052" w:rsidRPr="007A4170" w:rsidRDefault="002A5052" w:rsidP="002A5052">
            <w:pPr>
              <w:spacing w:after="0"/>
              <w:jc w:val="center"/>
              <w:rPr>
                <w:rFonts w:ascii="Century Gothic" w:hAnsi="Century Gothic"/>
                <w:b/>
                <w:color w:val="000000"/>
                <w:sz w:val="18"/>
                <w:szCs w:val="18"/>
                <w:lang w:val="es-ES" w:eastAsia="es-ES"/>
              </w:rPr>
            </w:pPr>
            <w:r w:rsidRPr="007A4170">
              <w:rPr>
                <w:rFonts w:ascii="Century Gothic" w:hAnsi="Century Gothic"/>
                <w:b/>
                <w:color w:val="000000"/>
                <w:sz w:val="18"/>
                <w:szCs w:val="18"/>
                <w:lang w:val="es-ES" w:eastAsia="es-ES"/>
              </w:rPr>
              <w:t>Valor añadido</w:t>
            </w:r>
          </w:p>
        </w:tc>
      </w:tr>
      <w:tr w:rsidR="002A5052" w:rsidRPr="007A4170" w14:paraId="105A69D6" w14:textId="77777777" w:rsidTr="00001E97">
        <w:trPr>
          <w:trHeight w:val="270"/>
        </w:trPr>
        <w:tc>
          <w:tcPr>
            <w:tcW w:w="1716" w:type="dxa"/>
            <w:tcBorders>
              <w:top w:val="nil"/>
              <w:left w:val="single" w:sz="4" w:space="0" w:color="FFFFFF"/>
              <w:bottom w:val="single" w:sz="4" w:space="0" w:color="FFFFFF" w:themeColor="background1"/>
              <w:right w:val="single" w:sz="4" w:space="0" w:color="FFFFFF"/>
            </w:tcBorders>
            <w:shd w:val="clear" w:color="000000" w:fill="FABF8F"/>
            <w:noWrap/>
            <w:vAlign w:val="bottom"/>
            <w:hideMark/>
          </w:tcPr>
          <w:p w14:paraId="285DC8E9"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En billones (EUR)</w:t>
            </w:r>
          </w:p>
        </w:tc>
        <w:tc>
          <w:tcPr>
            <w:tcW w:w="1276" w:type="dxa"/>
            <w:tcBorders>
              <w:top w:val="nil"/>
              <w:left w:val="nil"/>
              <w:bottom w:val="single" w:sz="4" w:space="0" w:color="FFFFFF" w:themeColor="background1"/>
              <w:right w:val="single" w:sz="4" w:space="0" w:color="FFFFFF"/>
            </w:tcBorders>
            <w:shd w:val="clear" w:color="000000" w:fill="FABF8F"/>
            <w:noWrap/>
            <w:vAlign w:val="center"/>
            <w:hideMark/>
          </w:tcPr>
          <w:p w14:paraId="30F15209" w14:textId="71C5DC45"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1.482</w:t>
            </w:r>
          </w:p>
        </w:tc>
        <w:tc>
          <w:tcPr>
            <w:tcW w:w="1276" w:type="dxa"/>
            <w:tcBorders>
              <w:top w:val="nil"/>
              <w:left w:val="nil"/>
              <w:bottom w:val="single" w:sz="4" w:space="0" w:color="FFFFFF" w:themeColor="background1"/>
              <w:right w:val="single" w:sz="4" w:space="0" w:color="FFFFFF"/>
            </w:tcBorders>
            <w:shd w:val="clear" w:color="000000" w:fill="FABF8F"/>
            <w:noWrap/>
            <w:vAlign w:val="center"/>
            <w:hideMark/>
          </w:tcPr>
          <w:p w14:paraId="34E4F05F" w14:textId="4EA03BC6"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1.260</w:t>
            </w:r>
          </w:p>
        </w:tc>
        <w:tc>
          <w:tcPr>
            <w:tcW w:w="1418" w:type="dxa"/>
            <w:tcBorders>
              <w:top w:val="nil"/>
              <w:left w:val="nil"/>
              <w:bottom w:val="single" w:sz="4" w:space="0" w:color="FFFFFF" w:themeColor="background1"/>
              <w:right w:val="nil"/>
            </w:tcBorders>
            <w:shd w:val="clear" w:color="000000" w:fill="FABF8F"/>
            <w:noWrap/>
            <w:vAlign w:val="center"/>
            <w:hideMark/>
          </w:tcPr>
          <w:p w14:paraId="4DE642D4" w14:textId="594FD1DA"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1.288</w:t>
            </w:r>
          </w:p>
        </w:tc>
        <w:tc>
          <w:tcPr>
            <w:tcW w:w="1275" w:type="dxa"/>
            <w:tcBorders>
              <w:top w:val="nil"/>
              <w:left w:val="single" w:sz="4" w:space="0" w:color="FFFFFF"/>
              <w:bottom w:val="single" w:sz="4" w:space="0" w:color="FFFFFF" w:themeColor="background1"/>
              <w:right w:val="nil"/>
            </w:tcBorders>
            <w:shd w:val="clear" w:color="000000" w:fill="FABF8F"/>
            <w:noWrap/>
            <w:vAlign w:val="center"/>
            <w:hideMark/>
          </w:tcPr>
          <w:p w14:paraId="159EA273" w14:textId="6632898F"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4.030</w:t>
            </w:r>
          </w:p>
        </w:tc>
        <w:tc>
          <w:tcPr>
            <w:tcW w:w="1276" w:type="dxa"/>
            <w:tcBorders>
              <w:top w:val="nil"/>
              <w:left w:val="single" w:sz="4" w:space="0" w:color="FFFFFF"/>
              <w:bottom w:val="single" w:sz="4" w:space="0" w:color="FFFFFF" w:themeColor="background1"/>
              <w:right w:val="nil"/>
            </w:tcBorders>
            <w:shd w:val="clear" w:color="000000" w:fill="FABF8F"/>
            <w:noWrap/>
            <w:vAlign w:val="center"/>
            <w:hideMark/>
          </w:tcPr>
          <w:p w14:paraId="01CACAAE" w14:textId="55B59C9C"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3.065</w:t>
            </w:r>
          </w:p>
        </w:tc>
        <w:tc>
          <w:tcPr>
            <w:tcW w:w="992" w:type="dxa"/>
            <w:tcBorders>
              <w:top w:val="nil"/>
              <w:left w:val="single" w:sz="4" w:space="0" w:color="FFFFFF"/>
              <w:bottom w:val="single" w:sz="4" w:space="0" w:color="FFFFFF"/>
              <w:right w:val="single" w:sz="4" w:space="0" w:color="FFFFFF"/>
            </w:tcBorders>
            <w:shd w:val="clear" w:color="000000" w:fill="FABF8F"/>
            <w:noWrap/>
            <w:vAlign w:val="center"/>
            <w:hideMark/>
          </w:tcPr>
          <w:p w14:paraId="5BCE31D4" w14:textId="1A4D30EA" w:rsidR="002A5052" w:rsidRPr="007A4170" w:rsidRDefault="002A5052" w:rsidP="009B73B5">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7.095</w:t>
            </w:r>
          </w:p>
        </w:tc>
      </w:tr>
      <w:tr w:rsidR="002A5052" w:rsidRPr="007A4170" w14:paraId="4072C6EA" w14:textId="77777777" w:rsidTr="00001E97">
        <w:trPr>
          <w:trHeight w:val="360"/>
        </w:trPr>
        <w:tc>
          <w:tcPr>
            <w:tcW w:w="1716" w:type="dxa"/>
            <w:tcBorders>
              <w:top w:val="single" w:sz="4" w:space="0" w:color="FFFFFF" w:themeColor="background1"/>
              <w:left w:val="single" w:sz="4" w:space="0" w:color="FFFFFF"/>
              <w:bottom w:val="single" w:sz="4" w:space="0" w:color="FFFFFF" w:themeColor="background1"/>
              <w:right w:val="single" w:sz="4" w:space="0" w:color="FFFFFF"/>
            </w:tcBorders>
            <w:shd w:val="clear" w:color="000000" w:fill="FABF8F"/>
            <w:noWrap/>
            <w:vAlign w:val="bottom"/>
            <w:hideMark/>
          </w:tcPr>
          <w:p w14:paraId="779AFCB9" w14:textId="77777777" w:rsidR="002A5052" w:rsidRPr="007A4170" w:rsidRDefault="002A5052" w:rsidP="002A5052">
            <w:pPr>
              <w:spacing w:after="0"/>
              <w:jc w:val="left"/>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En % del total</w:t>
            </w:r>
          </w:p>
        </w:tc>
        <w:tc>
          <w:tcPr>
            <w:tcW w:w="1276" w:type="dxa"/>
            <w:tcBorders>
              <w:top w:val="single" w:sz="4" w:space="0" w:color="FFFFFF" w:themeColor="background1"/>
              <w:left w:val="nil"/>
              <w:bottom w:val="single" w:sz="4" w:space="0" w:color="FFFFFF" w:themeColor="background1"/>
              <w:right w:val="nil"/>
            </w:tcBorders>
            <w:shd w:val="clear" w:color="000000" w:fill="FABF8F"/>
            <w:noWrap/>
            <w:vAlign w:val="center"/>
            <w:hideMark/>
          </w:tcPr>
          <w:p w14:paraId="0FDE3813"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20,9%</w:t>
            </w:r>
          </w:p>
        </w:tc>
        <w:tc>
          <w:tcPr>
            <w:tcW w:w="1276" w:type="dxa"/>
            <w:tcBorders>
              <w:top w:val="single" w:sz="4" w:space="0" w:color="FFFFFF" w:themeColor="background1"/>
              <w:left w:val="single" w:sz="4" w:space="0" w:color="FFFFFF"/>
              <w:bottom w:val="single" w:sz="4" w:space="0" w:color="FFFFFF" w:themeColor="background1"/>
              <w:right w:val="single" w:sz="4" w:space="0" w:color="FFFFFF"/>
            </w:tcBorders>
            <w:shd w:val="clear" w:color="000000" w:fill="FABF8F"/>
            <w:noWrap/>
            <w:vAlign w:val="center"/>
            <w:hideMark/>
          </w:tcPr>
          <w:p w14:paraId="5B19F5E9"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17,8%</w:t>
            </w:r>
          </w:p>
        </w:tc>
        <w:tc>
          <w:tcPr>
            <w:tcW w:w="1418" w:type="dxa"/>
            <w:tcBorders>
              <w:top w:val="single" w:sz="4" w:space="0" w:color="FFFFFF" w:themeColor="background1"/>
              <w:left w:val="nil"/>
              <w:bottom w:val="single" w:sz="4" w:space="0" w:color="FFFFFF" w:themeColor="background1"/>
              <w:right w:val="single" w:sz="4" w:space="0" w:color="FFFFFF"/>
            </w:tcBorders>
            <w:shd w:val="clear" w:color="000000" w:fill="FABF8F"/>
            <w:noWrap/>
            <w:vAlign w:val="center"/>
            <w:hideMark/>
          </w:tcPr>
          <w:p w14:paraId="0DFBD0A7"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18,2%</w:t>
            </w:r>
          </w:p>
        </w:tc>
        <w:tc>
          <w:tcPr>
            <w:tcW w:w="1275" w:type="dxa"/>
            <w:tcBorders>
              <w:top w:val="single" w:sz="4" w:space="0" w:color="FFFFFF" w:themeColor="background1"/>
              <w:left w:val="nil"/>
              <w:bottom w:val="single" w:sz="4" w:space="0" w:color="FFFFFF" w:themeColor="background1"/>
              <w:right w:val="single" w:sz="4" w:space="0" w:color="FFFFFF" w:themeColor="background1"/>
            </w:tcBorders>
            <w:shd w:val="clear" w:color="000000" w:fill="FABF8F"/>
            <w:noWrap/>
            <w:vAlign w:val="center"/>
            <w:hideMark/>
          </w:tcPr>
          <w:p w14:paraId="10804474"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56,8%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ABF8F"/>
            <w:noWrap/>
            <w:vAlign w:val="center"/>
            <w:hideMark/>
          </w:tcPr>
          <w:p w14:paraId="23CEC8F2"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43,2%</w:t>
            </w:r>
          </w:p>
        </w:tc>
        <w:tc>
          <w:tcPr>
            <w:tcW w:w="992" w:type="dxa"/>
            <w:tcBorders>
              <w:top w:val="nil"/>
              <w:left w:val="single" w:sz="4" w:space="0" w:color="FFFFFF" w:themeColor="background1"/>
              <w:bottom w:val="single" w:sz="4" w:space="0" w:color="FFFFFF" w:themeColor="background1"/>
              <w:right w:val="single" w:sz="4" w:space="0" w:color="FFFFFF"/>
            </w:tcBorders>
            <w:shd w:val="clear" w:color="000000" w:fill="FABF8F"/>
            <w:noWrap/>
            <w:vAlign w:val="center"/>
            <w:hideMark/>
          </w:tcPr>
          <w:p w14:paraId="4EFFA53C" w14:textId="77777777" w:rsidR="002A5052" w:rsidRPr="007A4170" w:rsidRDefault="002A5052" w:rsidP="002A5052">
            <w:pPr>
              <w:spacing w:after="0"/>
              <w:jc w:val="center"/>
              <w:rPr>
                <w:rFonts w:ascii="Century Gothic" w:hAnsi="Century Gothic"/>
                <w:color w:val="000000"/>
                <w:sz w:val="18"/>
                <w:szCs w:val="18"/>
                <w:lang w:val="es-ES" w:eastAsia="es-ES"/>
              </w:rPr>
            </w:pPr>
            <w:r w:rsidRPr="007A4170">
              <w:rPr>
                <w:rFonts w:ascii="Century Gothic" w:hAnsi="Century Gothic"/>
                <w:color w:val="000000"/>
                <w:sz w:val="18"/>
                <w:szCs w:val="18"/>
                <w:lang w:val="es-ES" w:eastAsia="es-ES"/>
              </w:rPr>
              <w:t>100,0%</w:t>
            </w:r>
          </w:p>
        </w:tc>
      </w:tr>
      <w:tr w:rsidR="009B73B5" w:rsidRPr="007916CD" w14:paraId="20494DE3" w14:textId="77777777" w:rsidTr="00001E97">
        <w:trPr>
          <w:trHeight w:val="329"/>
        </w:trPr>
        <w:tc>
          <w:tcPr>
            <w:tcW w:w="922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noWrap/>
            <w:vAlign w:val="bottom"/>
            <w:hideMark/>
          </w:tcPr>
          <w:p w14:paraId="55389B9B" w14:textId="77777777" w:rsidR="005A155D" w:rsidRPr="007A4170" w:rsidRDefault="005A155D" w:rsidP="005A155D">
            <w:pPr>
              <w:spacing w:after="0"/>
              <w:jc w:val="left"/>
              <w:rPr>
                <w:rFonts w:ascii="Century Gothic" w:hAnsi="Century Gothic"/>
                <w:i/>
                <w:iCs/>
                <w:color w:val="000000"/>
                <w:sz w:val="16"/>
                <w:szCs w:val="16"/>
                <w:lang w:val="es-ES" w:eastAsia="es-ES"/>
              </w:rPr>
            </w:pPr>
            <w:r w:rsidRPr="007A4170">
              <w:rPr>
                <w:rFonts w:ascii="Century Gothic" w:hAnsi="Century Gothic"/>
                <w:i/>
                <w:iCs/>
                <w:color w:val="000000"/>
                <w:sz w:val="16"/>
                <w:szCs w:val="16"/>
                <w:lang w:val="es-ES" w:eastAsia="es-ES"/>
              </w:rPr>
              <w:t>Fuente: Eurostat, National Statistical Offices, y DIW Econ</w:t>
            </w:r>
          </w:p>
          <w:p w14:paraId="3D5C7D8D" w14:textId="77B6701B" w:rsidR="009B73B5" w:rsidRPr="007A4170" w:rsidRDefault="005A155D" w:rsidP="005A155D">
            <w:pPr>
              <w:spacing w:after="0"/>
              <w:jc w:val="left"/>
              <w:rPr>
                <w:rFonts w:ascii="Century Gothic" w:hAnsi="Century Gothic"/>
                <w:color w:val="000000"/>
                <w:sz w:val="18"/>
                <w:szCs w:val="18"/>
                <w:lang w:val="es-ES" w:eastAsia="es-ES"/>
              </w:rPr>
            </w:pPr>
            <w:r w:rsidRPr="007A4170">
              <w:rPr>
                <w:rFonts w:ascii="Century Gothic" w:hAnsi="Century Gothic"/>
                <w:i/>
                <w:iCs/>
                <w:color w:val="000000"/>
                <w:sz w:val="16"/>
                <w:szCs w:val="16"/>
                <w:lang w:val="es-ES" w:eastAsia="es-ES"/>
              </w:rPr>
              <w:t>Nota: Fecha del 30 de junio de 2017. Los totales pueden diferir de la suma de los componentes debido al redondeo</w:t>
            </w:r>
          </w:p>
        </w:tc>
      </w:tr>
    </w:tbl>
    <w:p w14:paraId="56418D93" w14:textId="77777777" w:rsidR="00725461" w:rsidRPr="005A155D" w:rsidRDefault="00725461" w:rsidP="007D2EC5">
      <w:pPr>
        <w:pStyle w:val="Body"/>
        <w:spacing w:after="0"/>
      </w:pPr>
    </w:p>
    <w:p w14:paraId="20C69A58" w14:textId="42638F0D" w:rsidR="0001353D" w:rsidRDefault="00C719B5" w:rsidP="00556A94">
      <w:pPr>
        <w:pStyle w:val="Body"/>
        <w:spacing w:after="0"/>
      </w:pPr>
      <w:r>
        <w:t xml:space="preserve">Ahora bien, el análisis </w:t>
      </w:r>
      <w:r w:rsidR="00DA4918">
        <w:t xml:space="preserve">por país </w:t>
      </w:r>
      <w:r>
        <w:t>según micros, pequeñas y medianas nos indica mayores diferencias: Alemania destaca con un menor número de microempresas y mayor número de pequeñas y medianas (8</w:t>
      </w:r>
      <w:r w:rsidR="009D553C">
        <w:t>4</w:t>
      </w:r>
      <w:r>
        <w:t>% de micros, 1</w:t>
      </w:r>
      <w:r w:rsidR="00317B76">
        <w:t>4</w:t>
      </w:r>
      <w:r>
        <w:t>% de pequeñas y 2,</w:t>
      </w:r>
      <w:r w:rsidR="00317B76">
        <w:t>2</w:t>
      </w:r>
      <w:r>
        <w:t>% de medianas), en el otro extremo se encuentra</w:t>
      </w:r>
      <w:r w:rsidR="00EA74E0">
        <w:t>n</w:t>
      </w:r>
      <w:r>
        <w:t xml:space="preserve"> Eslovaquia y Grecia con más del 96% de microempresas y por debajo del 0,5% de empresas medianas</w:t>
      </w:r>
      <w:r w:rsidR="00041806">
        <w:t xml:space="preserve"> (véase </w:t>
      </w:r>
      <w:r w:rsidR="00DF01EB">
        <w:t>a</w:t>
      </w:r>
      <w:r w:rsidR="00041806" w:rsidRPr="00041806">
        <w:rPr>
          <w:highlight w:val="yellow"/>
        </w:rPr>
        <w:t>nexo II</w:t>
      </w:r>
      <w:r w:rsidR="00041806">
        <w:t>)</w:t>
      </w:r>
      <w:r w:rsidR="0001353D">
        <w:t>.</w:t>
      </w:r>
    </w:p>
    <w:p w14:paraId="0E7BF535" w14:textId="77777777" w:rsidR="0001353D" w:rsidRDefault="0001353D" w:rsidP="00556A94">
      <w:pPr>
        <w:pStyle w:val="Body"/>
        <w:spacing w:after="0"/>
      </w:pPr>
    </w:p>
    <w:p w14:paraId="2D837672" w14:textId="52C04552" w:rsidR="00C719B5" w:rsidRDefault="007A31F4" w:rsidP="00041806">
      <w:pPr>
        <w:pStyle w:val="Body"/>
        <w:spacing w:after="120"/>
      </w:pPr>
      <w:r>
        <w:t xml:space="preserve">La contribución de las PYME al empleo generado </w:t>
      </w:r>
      <w:r w:rsidR="00DA5377">
        <w:t xml:space="preserve">en </w:t>
      </w:r>
      <w:r>
        <w:t xml:space="preserve">el sector empresarial no financiero es particularmente importante en Bulgaria, Chipre, Estonia, Grecia, Italia, Letonia, Lituania, Malta y Portugal, donde las PYME representaron más de las tres cuartas partes del empleo total. Del mismo modo, desde una perspectiva de valor añadido, las PYME son especialmente importantes en Luxemburgo, en varios Estados miembros del sur de Europa (Chipre, Grecia, Italia, Malta y Portugal) y </w:t>
      </w:r>
      <w:r w:rsidR="00D25C5E">
        <w:t xml:space="preserve">en </w:t>
      </w:r>
      <w:r>
        <w:t xml:space="preserve">los Estados más pequeños de Europa </w:t>
      </w:r>
      <w:r w:rsidR="009D553C">
        <w:t xml:space="preserve">del Este </w:t>
      </w:r>
      <w:r>
        <w:t>(Bulgaria, Estonia, Letonia y Lituania). En estos países, las PYME representaron más de dos tercios del valor agregado total del sector empresarial no financiero en 2016</w:t>
      </w:r>
      <w:r w:rsidR="00C719B5">
        <w:t xml:space="preserve"> (</w:t>
      </w:r>
      <w:r w:rsidR="00C719B5" w:rsidRPr="00924DDA">
        <w:rPr>
          <w:highlight w:val="yellow"/>
        </w:rPr>
        <w:t xml:space="preserve">gráfico </w:t>
      </w:r>
      <w:r w:rsidR="00E40DE4">
        <w:t>5</w:t>
      </w:r>
      <w:r w:rsidR="00C719B5">
        <w:t>).</w:t>
      </w:r>
    </w:p>
    <w:tbl>
      <w:tblPr>
        <w:tblStyle w:val="Style1"/>
        <w:tblW w:w="9323" w:type="dxa"/>
        <w:tblLook w:val="04A0" w:firstRow="1" w:lastRow="0" w:firstColumn="1" w:lastColumn="0" w:noHBand="0" w:noVBand="1"/>
      </w:tblPr>
      <w:tblGrid>
        <w:gridCol w:w="9323"/>
      </w:tblGrid>
      <w:tr w:rsidR="00DD297C" w:rsidRPr="007F062F" w14:paraId="13106A9F" w14:textId="77777777" w:rsidTr="007C13A1">
        <w:tc>
          <w:tcPr>
            <w:tcW w:w="9323" w:type="dxa"/>
          </w:tcPr>
          <w:p w14:paraId="5630393B" w14:textId="19DD9691" w:rsidR="00DD297C" w:rsidRPr="007F062F" w:rsidRDefault="00DD297C" w:rsidP="003258A8">
            <w:pPr>
              <w:pStyle w:val="Descripcin1"/>
              <w:jc w:val="center"/>
              <w:rPr>
                <w:b w:val="0"/>
              </w:rPr>
            </w:pPr>
            <w:bookmarkStart w:id="17" w:name="_Toc526942113"/>
            <w:r w:rsidRPr="008B6C6C">
              <w:rPr>
                <w:b w:val="0"/>
              </w:rPr>
              <w:lastRenderedPageBreak/>
              <w:t xml:space="preserve">Gráfico </w:t>
            </w:r>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5</w:t>
            </w:r>
            <w:r w:rsidRPr="008B6C6C">
              <w:rPr>
                <w:b w:val="0"/>
              </w:rPr>
              <w:fldChar w:fldCharType="end"/>
            </w:r>
            <w:r w:rsidRPr="008B6C6C">
              <w:rPr>
                <w:b w:val="0"/>
              </w:rPr>
              <w:t xml:space="preserve">. </w:t>
            </w:r>
            <w:r w:rsidRPr="007F062F">
              <w:rPr>
                <w:b w:val="0"/>
              </w:rPr>
              <w:t>Número de empresas del sector empresarial no fina</w:t>
            </w:r>
            <w:r w:rsidR="007B3717">
              <w:rPr>
                <w:b w:val="0"/>
              </w:rPr>
              <w:t>nciero. Distribución por países</w:t>
            </w:r>
            <w:r w:rsidRPr="008B6C6C">
              <w:rPr>
                <w:b w:val="0"/>
              </w:rPr>
              <w:t>, 201</w:t>
            </w:r>
            <w:r>
              <w:rPr>
                <w:b w:val="0"/>
              </w:rPr>
              <w:t>6</w:t>
            </w:r>
            <w:bookmarkEnd w:id="17"/>
          </w:p>
        </w:tc>
      </w:tr>
      <w:tr w:rsidR="00DD297C" w:rsidRPr="007F062F" w14:paraId="1164857F" w14:textId="77777777" w:rsidTr="007C13A1">
        <w:tblPrEx>
          <w:tblCellMar>
            <w:left w:w="70" w:type="dxa"/>
            <w:right w:w="70" w:type="dxa"/>
          </w:tblCellMar>
        </w:tblPrEx>
        <w:tc>
          <w:tcPr>
            <w:tcW w:w="9323" w:type="dxa"/>
          </w:tcPr>
          <w:p w14:paraId="77D71599" w14:textId="77777777" w:rsidR="00DD297C" w:rsidRDefault="00DD297C" w:rsidP="007B3717">
            <w:pPr>
              <w:pStyle w:val="Body"/>
              <w:spacing w:after="120"/>
            </w:pPr>
            <w:r>
              <w:rPr>
                <w:noProof/>
                <w:lang w:eastAsia="es-ES"/>
              </w:rPr>
              <w:drawing>
                <wp:inline distT="0" distB="0" distL="0" distR="0" wp14:anchorId="2DAB9E46" wp14:editId="7B5FD543">
                  <wp:extent cx="5820520" cy="34290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3138" cy="3430542"/>
                          </a:xfrm>
                          <a:prstGeom prst="rect">
                            <a:avLst/>
                          </a:prstGeom>
                          <a:noFill/>
                        </pic:spPr>
                      </pic:pic>
                    </a:graphicData>
                  </a:graphic>
                </wp:inline>
              </w:drawing>
            </w:r>
          </w:p>
        </w:tc>
      </w:tr>
      <w:tr w:rsidR="00DD297C" w:rsidRPr="007916CD" w14:paraId="4611A31E" w14:textId="77777777" w:rsidTr="007C13A1">
        <w:tc>
          <w:tcPr>
            <w:tcW w:w="9323" w:type="dxa"/>
            <w:vAlign w:val="center"/>
          </w:tcPr>
          <w:p w14:paraId="586216CD" w14:textId="77777777" w:rsidR="00DD297C" w:rsidRPr="00D64E44" w:rsidRDefault="00DD297C" w:rsidP="000A338B">
            <w:pPr>
              <w:spacing w:after="120"/>
              <w:jc w:val="left"/>
              <w:rPr>
                <w:i/>
                <w:iCs/>
                <w:sz w:val="16"/>
                <w:szCs w:val="16"/>
                <w:lang w:val="es-ES"/>
              </w:rPr>
            </w:pPr>
            <w:r w:rsidRPr="00D64E44">
              <w:rPr>
                <w:i/>
                <w:iCs/>
                <w:sz w:val="16"/>
                <w:szCs w:val="16"/>
                <w:lang w:val="es-ES"/>
              </w:rPr>
              <w:t>Fuente: Comisión Europea, 201</w:t>
            </w:r>
            <w:r>
              <w:rPr>
                <w:i/>
                <w:iCs/>
                <w:sz w:val="16"/>
                <w:szCs w:val="16"/>
                <w:lang w:val="es-ES"/>
              </w:rPr>
              <w:t>7</w:t>
            </w:r>
            <w:r w:rsidRPr="00D64E44">
              <w:rPr>
                <w:i/>
                <w:iCs/>
                <w:sz w:val="16"/>
                <w:szCs w:val="16"/>
                <w:lang w:val="es-ES"/>
              </w:rPr>
              <w:t xml:space="preserve"> </w:t>
            </w:r>
            <w:r w:rsidRPr="002E468C">
              <w:rPr>
                <w:i/>
                <w:iCs/>
                <w:sz w:val="16"/>
                <w:szCs w:val="16"/>
                <w:lang w:val="es-ES"/>
              </w:rPr>
              <w:t>SME Performance Review</w:t>
            </w:r>
            <w:r w:rsidRPr="00D64E44">
              <w:rPr>
                <w:i/>
                <w:iCs/>
                <w:sz w:val="16"/>
                <w:szCs w:val="16"/>
                <w:lang w:val="es-ES"/>
              </w:rPr>
              <w:t>.</w:t>
            </w:r>
          </w:p>
        </w:tc>
      </w:tr>
    </w:tbl>
    <w:p w14:paraId="043CE896" w14:textId="77777777" w:rsidR="00DD297C" w:rsidRDefault="00DD297C" w:rsidP="00556A94">
      <w:pPr>
        <w:pStyle w:val="Body"/>
        <w:spacing w:after="0"/>
        <w:rPr>
          <w:sz w:val="18"/>
          <w:szCs w:val="18"/>
        </w:rPr>
      </w:pPr>
    </w:p>
    <w:p w14:paraId="09399AE1" w14:textId="23E79058" w:rsidR="00536D49" w:rsidRDefault="00AC4D20" w:rsidP="00A700D7">
      <w:pPr>
        <w:pStyle w:val="Body"/>
      </w:pPr>
      <w:r>
        <w:t>Si observamos</w:t>
      </w:r>
      <w:r w:rsidR="00536D49">
        <w:t xml:space="preserve"> la distribución sectorial (</w:t>
      </w:r>
      <w:r w:rsidR="00536D49" w:rsidRPr="00536D49">
        <w:t>no financiero</w:t>
      </w:r>
      <w:r w:rsidR="00536D49">
        <w:t>)</w:t>
      </w:r>
      <w:r w:rsidR="00536D49" w:rsidRPr="00536D49">
        <w:t>, los cinco sectores más importantes de la PYME en términos de empleo en la UE28 fueron «alojamiento y alimentación», «servicios empresariales», «construcción», «fabricación» y «comercio al por mayor / al por menor».</w:t>
      </w:r>
      <w:r w:rsidR="00FA5CE5">
        <w:t xml:space="preserve"> </w:t>
      </w:r>
      <w:r w:rsidR="00EA74E0" w:rsidRPr="00EA74E0">
        <w:t xml:space="preserve">En general, en 2016, la contribución de las pymes en estos </w:t>
      </w:r>
      <w:r w:rsidR="009A025D">
        <w:t>cinco</w:t>
      </w:r>
      <w:r w:rsidR="009A025D" w:rsidRPr="00EA74E0">
        <w:t xml:space="preserve"> </w:t>
      </w:r>
      <w:r w:rsidR="00EA74E0" w:rsidRPr="00EA74E0">
        <w:t xml:space="preserve">sectores varió del 70% al 88% en términos de empleo, y del 66% al 80% en términos de valor </w:t>
      </w:r>
      <w:r w:rsidR="00EA74E0">
        <w:t>añadido</w:t>
      </w:r>
      <w:r w:rsidR="00EA74E0" w:rsidRPr="00EA74E0">
        <w:t>.</w:t>
      </w:r>
    </w:p>
    <w:p w14:paraId="3B57F6E5" w14:textId="17FA3BA0" w:rsidR="000661AF" w:rsidRDefault="000661AF" w:rsidP="000661AF">
      <w:pPr>
        <w:pStyle w:val="Body"/>
      </w:pPr>
      <w:r>
        <w:t>Destacar que, según los datos más recientes (2012-2014), la gran mayoría de las empresas de nueva creación en la UE-28 nacieron en sectores no TIC. El sector de las TIC (fabricación, servicios y comercio mayorista y minorista en línea) representó solo el 7,9% de todos los nacimientos de la UE-28 durante este período.</w:t>
      </w:r>
    </w:p>
    <w:p w14:paraId="401D696C" w14:textId="6BDA0C31" w:rsidR="000661AF" w:rsidRDefault="000661AF" w:rsidP="000661AF">
      <w:pPr>
        <w:pStyle w:val="Body"/>
      </w:pPr>
      <w:r>
        <w:t xml:space="preserve">La tasa media de </w:t>
      </w:r>
      <w:r w:rsidR="00E43E51">
        <w:t>creación de</w:t>
      </w:r>
      <w:r>
        <w:t xml:space="preserve"> empresas se situó en torno al 10% durante el período comprendido entre 2010 y 2014 (últimos años para los que se disponía de datos armonizados), y alrededor del 70% de las empresas de nueva creación no tenían empleados. Las empresas recién creadas (menos de un año de edad) representaron entre el 6% y el 15% de todas las empresas de la economía empresarial de la UE-28 en todos los sectores. Destacaron los sectores 'comercio mayorista y minorista', 'actividades profesionales, científicas y técnicas' y 'construcción'. En conjunto, estos tres sectores representaron el 58% de todos los nacimientos empresariales durante el período 2012-2014.</w:t>
      </w:r>
    </w:p>
    <w:p w14:paraId="56883BE8" w14:textId="4F552498" w:rsidR="002F3274" w:rsidRDefault="000661AF" w:rsidP="002F3274">
      <w:pPr>
        <w:pStyle w:val="Body"/>
      </w:pPr>
      <w:r>
        <w:t>Por último, señalar que e</w:t>
      </w:r>
      <w:r w:rsidR="002F3274">
        <w:t xml:space="preserve">l año 2016 marcó el tercer año consecutivo de </w:t>
      </w:r>
      <w:r w:rsidR="00122163">
        <w:t>incrementos</w:t>
      </w:r>
      <w:r w:rsidR="002F3274">
        <w:t xml:space="preserve"> constantes en el empleo y valor añadido</w:t>
      </w:r>
      <w:r w:rsidRPr="000661AF">
        <w:t xml:space="preserve"> </w:t>
      </w:r>
      <w:r>
        <w:t>de las PYME UE-28</w:t>
      </w:r>
      <w:r w:rsidR="002F3274">
        <w:t xml:space="preserve">. En total, el empleo de las PYME aumentó anualmente un 1,6% en 2015 y 2016 y el valor añadido generado </w:t>
      </w:r>
      <w:r w:rsidR="00122163">
        <w:t>se elevó</w:t>
      </w:r>
      <w:r w:rsidR="002F3274">
        <w:t xml:space="preserve"> un 1,4% en 2016 tras un aumento del 5,8% en 2015. </w:t>
      </w:r>
      <w:r w:rsidR="00FA64E0">
        <w:t>E</w:t>
      </w:r>
      <w:r w:rsidR="002F3274">
        <w:t xml:space="preserve">ste </w:t>
      </w:r>
      <w:r w:rsidR="00122163">
        <w:t>crecimiento</w:t>
      </w:r>
      <w:r w:rsidR="002F3274">
        <w:t xml:space="preserve"> del valor añadido refleja en gran medida un aumento a largo plazo del volumen de actividad económica de las PYME en 2015 y 2016. Como resultado de la reciente recuperación, el empleo de las PYME finalmente se </w:t>
      </w:r>
      <w:r w:rsidR="00122163">
        <w:lastRenderedPageBreak/>
        <w:t>restableció</w:t>
      </w:r>
      <w:r w:rsidR="002F3274">
        <w:t xml:space="preserve"> desde </w:t>
      </w:r>
      <w:r w:rsidR="00FA64E0">
        <w:t>la</w:t>
      </w:r>
      <w:r w:rsidR="002F3274">
        <w:t xml:space="preserve"> crisis económica y financiera de 2008/2009 e incluso superó ligeramente el nivel de 2008 en 2016. El nivel de valor añadido generado por las PYME de la UE-28 mostró una recuperación aún mayor, un 11% más que en 2008</w:t>
      </w:r>
      <w:r w:rsidR="006B5618">
        <w:rPr>
          <w:rStyle w:val="Refdenotaalpie"/>
        </w:rPr>
        <w:footnoteReference w:id="6"/>
      </w:r>
      <w:r w:rsidR="002F3274">
        <w:t>.</w:t>
      </w:r>
    </w:p>
    <w:p w14:paraId="468A1CF9" w14:textId="51A2E3C7" w:rsidR="00540303" w:rsidRDefault="00C719B5" w:rsidP="000F1FC8">
      <w:pPr>
        <w:pStyle w:val="Ttulo1"/>
        <w:pageBreakBefore/>
        <w:numPr>
          <w:ilvl w:val="0"/>
          <w:numId w:val="28"/>
        </w:numPr>
        <w:tabs>
          <w:tab w:val="num" w:pos="432"/>
        </w:tabs>
        <w:spacing w:before="0" w:line="276" w:lineRule="auto"/>
        <w:ind w:left="720" w:hanging="720"/>
        <w:rPr>
          <w:rFonts w:cs="Arial"/>
          <w:color w:val="003399"/>
          <w:sz w:val="28"/>
          <w:szCs w:val="22"/>
          <w:lang w:val="es-ES"/>
        </w:rPr>
      </w:pPr>
      <w:bookmarkStart w:id="18" w:name="_Toc527630334"/>
      <w:r>
        <w:rPr>
          <w:rFonts w:cs="Arial"/>
          <w:color w:val="003399"/>
          <w:sz w:val="28"/>
          <w:szCs w:val="22"/>
          <w:lang w:val="es-ES"/>
        </w:rPr>
        <w:lastRenderedPageBreak/>
        <w:t>BASES DEL MARCO ESTRATÉGICO</w:t>
      </w:r>
      <w:bookmarkEnd w:id="18"/>
    </w:p>
    <w:p w14:paraId="728E756C" w14:textId="77777777" w:rsidR="00C719B5" w:rsidRDefault="00C719B5" w:rsidP="00C719B5">
      <w:pPr>
        <w:pStyle w:val="Body"/>
      </w:pPr>
      <w:r>
        <w:t>Esta Estrategia toma como punto de partida:</w:t>
      </w:r>
    </w:p>
    <w:p w14:paraId="5E3B96E2" w14:textId="77777777" w:rsidR="00C719B5" w:rsidRDefault="00C719B5" w:rsidP="00757E55">
      <w:pPr>
        <w:pStyle w:val="Body"/>
        <w:numPr>
          <w:ilvl w:val="0"/>
          <w:numId w:val="46"/>
        </w:numPr>
      </w:pPr>
      <w:r>
        <w:t>La política de la Administración General del Estado en materia de PYME.</w:t>
      </w:r>
    </w:p>
    <w:p w14:paraId="2F185676" w14:textId="77777777" w:rsidR="00C719B5" w:rsidRDefault="00C719B5" w:rsidP="00757E55">
      <w:pPr>
        <w:pStyle w:val="Body"/>
        <w:numPr>
          <w:ilvl w:val="0"/>
          <w:numId w:val="46"/>
        </w:numPr>
      </w:pPr>
      <w:r>
        <w:t>El marco europeo en política de pequeña y mediana empresa: La Recomendación “Small Business Act” y el Programa de Acción Europeo para la PYME.</w:t>
      </w:r>
    </w:p>
    <w:p w14:paraId="16D858A6" w14:textId="77777777" w:rsidR="00C719B5" w:rsidRPr="004C6137" w:rsidRDefault="00C719B5" w:rsidP="00C719B5">
      <w:pPr>
        <w:pStyle w:val="Ttulo2"/>
        <w:keepLines/>
        <w:numPr>
          <w:ilvl w:val="1"/>
          <w:numId w:val="28"/>
        </w:numPr>
        <w:spacing w:after="120" w:line="276" w:lineRule="auto"/>
        <w:rPr>
          <w:rFonts w:cs="Arial"/>
          <w:color w:val="003399"/>
          <w:sz w:val="24"/>
          <w:lang w:val="es-ES"/>
        </w:rPr>
      </w:pPr>
      <w:bookmarkStart w:id="19" w:name="_Toc500783317"/>
      <w:bookmarkStart w:id="20" w:name="_Toc527630335"/>
      <w:r w:rsidRPr="004C6137">
        <w:rPr>
          <w:rFonts w:cs="Arial"/>
          <w:color w:val="003399"/>
          <w:sz w:val="24"/>
          <w:lang w:val="es-ES"/>
        </w:rPr>
        <w:t>La política de la Administración General del Estado</w:t>
      </w:r>
      <w:bookmarkEnd w:id="19"/>
      <w:bookmarkEnd w:id="20"/>
    </w:p>
    <w:p w14:paraId="5C196D98" w14:textId="3A58A0A7" w:rsidR="00C719B5" w:rsidRDefault="00C719B5" w:rsidP="00C719B5">
      <w:pPr>
        <w:pStyle w:val="Body"/>
      </w:pPr>
      <w:r>
        <w:t xml:space="preserve">La política en materia de PYME de la Administración General del Estado ha venido formulándose a través de actuaciones puntuales y de planes interministeriales de los diferentes gobiernos, </w:t>
      </w:r>
      <w:r w:rsidR="00FB4949">
        <w:t>siendo los últimos emprendidos,</w:t>
      </w:r>
      <w:r>
        <w:t xml:space="preserve"> el Plan de Fomento Empresarial (2006)</w:t>
      </w:r>
      <w:r w:rsidR="00103869">
        <w:t xml:space="preserve"> y</w:t>
      </w:r>
      <w:r>
        <w:t xml:space="preserve"> </w:t>
      </w:r>
      <w:r w:rsidRPr="00FB4949">
        <w:t>el Plan de Estímulo Económico y Apoyo al Emprendedor</w:t>
      </w:r>
      <w:r>
        <w:rPr>
          <w:b/>
        </w:rPr>
        <w:t xml:space="preserve"> </w:t>
      </w:r>
      <w:r>
        <w:t xml:space="preserve">(2013). </w:t>
      </w:r>
    </w:p>
    <w:p w14:paraId="56763B3A" w14:textId="420D040C" w:rsidR="007D00BA" w:rsidRDefault="00122163" w:rsidP="001D59C1">
      <w:pPr>
        <w:pStyle w:val="Body"/>
      </w:pPr>
      <w:r>
        <w:t>E</w:t>
      </w:r>
      <w:r w:rsidR="00041499">
        <w:t>ste</w:t>
      </w:r>
      <w:r>
        <w:t xml:space="preserve"> último</w:t>
      </w:r>
      <w:r w:rsidR="00041499">
        <w:t xml:space="preserve"> Plan</w:t>
      </w:r>
      <w:r w:rsidR="007D00BA">
        <w:t xml:space="preserve"> </w:t>
      </w:r>
      <w:r w:rsidR="00BC26A6">
        <w:t>ten</w:t>
      </w:r>
      <w:r w:rsidR="00FB4949">
        <w:t>ía</w:t>
      </w:r>
      <w:r w:rsidR="00BC26A6">
        <w:t xml:space="preserve"> </w:t>
      </w:r>
      <w:r w:rsidR="007D00BA">
        <w:t xml:space="preserve">como objetivo </w:t>
      </w:r>
      <w:r w:rsidR="00183528">
        <w:t>impulsar</w:t>
      </w:r>
      <w:r w:rsidR="007D00BA">
        <w:t xml:space="preserve"> el crecimiento y la creación de empleo</w:t>
      </w:r>
      <w:r w:rsidR="00BC26A6">
        <w:t xml:space="preserve"> </w:t>
      </w:r>
      <w:r w:rsidR="009E20B6">
        <w:t>con una serie de</w:t>
      </w:r>
      <w:r w:rsidR="007D00BA">
        <w:t xml:space="preserve"> medidas</w:t>
      </w:r>
      <w:r w:rsidR="00FB4949">
        <w:t xml:space="preserve"> que se agrupaban</w:t>
      </w:r>
      <w:r w:rsidR="007D00BA">
        <w:t xml:space="preserve"> en distintos ámbitos</w:t>
      </w:r>
      <w:r w:rsidR="001D59C1">
        <w:t>, desde a</w:t>
      </w:r>
      <w:r w:rsidR="007D00BA">
        <w:t>poyos fiscales al crecimiento</w:t>
      </w:r>
      <w:r w:rsidR="001D59C1">
        <w:t xml:space="preserve"> y a la iniciativa emprendedora hasta medidas </w:t>
      </w:r>
      <w:r w:rsidR="009E20B6">
        <w:t xml:space="preserve">de mejora de la competitividad o la empleabilidad, </w:t>
      </w:r>
      <w:r w:rsidR="001D59C1">
        <w:t>pasando por el f</w:t>
      </w:r>
      <w:r w:rsidR="007D00BA">
        <w:t>omento de la actividad emprendedora</w:t>
      </w:r>
      <w:r w:rsidR="009E20B6">
        <w:t xml:space="preserve"> o el</w:t>
      </w:r>
      <w:r w:rsidR="001D59C1">
        <w:t xml:space="preserve"> acceso a la financiación</w:t>
      </w:r>
      <w:r w:rsidR="007D00BA">
        <w:t>.</w:t>
      </w:r>
    </w:p>
    <w:p w14:paraId="17476812" w14:textId="57165EEC" w:rsidR="0089495B" w:rsidRDefault="0089495B" w:rsidP="0089495B">
      <w:pPr>
        <w:pStyle w:val="Body"/>
      </w:pPr>
      <w:r>
        <w:t xml:space="preserve">La mayoría de </w:t>
      </w:r>
      <w:r w:rsidR="00FB4949">
        <w:t>las</w:t>
      </w:r>
      <w:r>
        <w:t xml:space="preserve"> medidas</w:t>
      </w:r>
      <w:r w:rsidR="00FB4949">
        <w:t xml:space="preserve"> incluidas en </w:t>
      </w:r>
      <w:r w:rsidR="00122163">
        <w:t>este</w:t>
      </w:r>
      <w:r w:rsidR="00FB4949">
        <w:t xml:space="preserve"> Plan</w:t>
      </w:r>
      <w:r>
        <w:t xml:space="preserve"> se han desarrollado a través de la aprobación de </w:t>
      </w:r>
      <w:r w:rsidR="00FB4949">
        <w:t>las</w:t>
      </w:r>
      <w:r>
        <w:t xml:space="preserve"> correspondiente Leyes y de medidas sectoriales concretas de los distintos </w:t>
      </w:r>
      <w:r w:rsidR="00DF4A41">
        <w:t>Departamentos ministeriales</w:t>
      </w:r>
      <w:r>
        <w:t xml:space="preserve"> de la Administración General del Estado. </w:t>
      </w:r>
    </w:p>
    <w:p w14:paraId="5090872B" w14:textId="1BA402D9" w:rsidR="0089495B" w:rsidRDefault="004C5F21" w:rsidP="0089495B">
      <w:pPr>
        <w:pStyle w:val="Body"/>
      </w:pPr>
      <w:r>
        <w:t>En concreto</w:t>
      </w:r>
      <w:r w:rsidR="0089495B">
        <w:t xml:space="preserve">, se </w:t>
      </w:r>
      <w:r w:rsidR="007927EB">
        <w:t>aprobaron</w:t>
      </w:r>
      <w:r w:rsidR="0089495B">
        <w:t xml:space="preserve"> dos ley</w:t>
      </w:r>
      <w:r w:rsidR="00355096">
        <w:t>es de carácter más transversal,</w:t>
      </w:r>
      <w:r w:rsidR="007927EB">
        <w:t xml:space="preserve"> </w:t>
      </w:r>
      <w:r w:rsidR="0089495B">
        <w:t>la Ley 11/2013, de 26 de julio, de medidas de apoyo al emprendedor y de estímulo del crecimiento y de la creación de empleo y</w:t>
      </w:r>
      <w:r w:rsidR="00041499">
        <w:t xml:space="preserve"> </w:t>
      </w:r>
      <w:r w:rsidR="0089495B">
        <w:t>la Ley 14/2013, de 27 de septiembre, de apoyo a los emprendedores y su internacionalización.</w:t>
      </w:r>
      <w:r w:rsidR="007927EB">
        <w:t xml:space="preserve"> </w:t>
      </w:r>
    </w:p>
    <w:p w14:paraId="672058E6" w14:textId="15A3CB57" w:rsidR="0014731C" w:rsidRDefault="00103869" w:rsidP="002637BA">
      <w:pPr>
        <w:pStyle w:val="Body"/>
      </w:pPr>
      <w:r>
        <w:t xml:space="preserve">Como órgano encargado de la política del Gobierno en materia de PYME vamos a centrarnos en las medidas que viene desarrollando </w:t>
      </w:r>
      <w:r w:rsidR="0027093E">
        <w:t>l</w:t>
      </w:r>
      <w:r w:rsidR="0014731C">
        <w:t>a Secretaría General de Industria y de la PYME</w:t>
      </w:r>
      <w:r w:rsidR="002D6EBD">
        <w:t xml:space="preserve"> (SGIPYME</w:t>
      </w:r>
      <w:r w:rsidR="009570C1">
        <w:t>)</w:t>
      </w:r>
      <w:r w:rsidR="00322EC0">
        <w:t xml:space="preserve"> al </w:t>
      </w:r>
      <w:r w:rsidR="00122163">
        <w:t>estar</w:t>
      </w:r>
      <w:r w:rsidR="00322EC0">
        <w:t xml:space="preserve"> dirigidas a todas las PYME con carácter general</w:t>
      </w:r>
      <w:r w:rsidR="00122163">
        <w:t xml:space="preserve"> y</w:t>
      </w:r>
      <w:r>
        <w:t xml:space="preserve"> que se pueden agrupar </w:t>
      </w:r>
      <w:r w:rsidR="0014731C">
        <w:t xml:space="preserve">en </w:t>
      </w:r>
      <w:r w:rsidR="00355096">
        <w:t xml:space="preserve">los siguientes </w:t>
      </w:r>
      <w:r w:rsidR="0014731C">
        <w:t>ámbitos:</w:t>
      </w:r>
    </w:p>
    <w:p w14:paraId="5EFF583A" w14:textId="49D12E87" w:rsidR="0014731C" w:rsidRDefault="005D548E" w:rsidP="00757E55">
      <w:pPr>
        <w:pStyle w:val="Body"/>
        <w:numPr>
          <w:ilvl w:val="0"/>
          <w:numId w:val="39"/>
        </w:numPr>
      </w:pPr>
      <w:r>
        <w:rPr>
          <w:b/>
        </w:rPr>
        <w:t>Estímulo a la actividad emprendedora</w:t>
      </w:r>
      <w:r w:rsidR="0014731C" w:rsidRPr="0014731C">
        <w:t xml:space="preserve">, </w:t>
      </w:r>
      <w:r w:rsidR="00BC26A6">
        <w:t>para</w:t>
      </w:r>
      <w:r w:rsidR="0014731C" w:rsidRPr="0014731C">
        <w:t xml:space="preserve"> impulsar y facilitar la creación de empresas.</w:t>
      </w:r>
      <w:r w:rsidR="009E20B6" w:rsidRPr="009E20B6">
        <w:t xml:space="preserve"> Para ello, la SGIPYME </w:t>
      </w:r>
      <w:r w:rsidR="001761B4">
        <w:t>ha venido realizando</w:t>
      </w:r>
      <w:r w:rsidR="009E20B6" w:rsidRPr="009E20B6">
        <w:t xml:space="preserve"> actuaciones en el fomento del emprendimiento en el ámbito universitario (programa de Emprendimiento Universitario y Tour del Emprendimiento), y en la creación de empresas mediante los Puntos de Atención al Emprendedor (PAE) y el desarrollo del sistema CIRCE, posibilitando una red de ventanillas únicas que ofrecen servicios de información, asesoramiento y tramitación electrónica a emprendedores y empresas.</w:t>
      </w:r>
      <w:r w:rsidR="001761B4">
        <w:t xml:space="preserve"> </w:t>
      </w:r>
    </w:p>
    <w:p w14:paraId="78F2C2A3" w14:textId="7DF7AA3A" w:rsidR="001761B4" w:rsidRPr="0014731C" w:rsidRDefault="001761B4" w:rsidP="001761B4">
      <w:pPr>
        <w:pStyle w:val="Body"/>
        <w:ind w:left="720"/>
      </w:pPr>
      <w:r>
        <w:t xml:space="preserve">En éste ámbito también ha propuesto medidas para que la constitución de empresas sea más rápida y </w:t>
      </w:r>
      <w:r w:rsidR="00041499">
        <w:t>económica,</w:t>
      </w:r>
      <w:r>
        <w:t xml:space="preserve"> así como </w:t>
      </w:r>
      <w:r w:rsidR="00122163">
        <w:t>ha llevado a cabo</w:t>
      </w:r>
      <w:r>
        <w:t xml:space="preserve"> medidas para el fomento de la transmisión de empresas y de la segunda oportunidad.</w:t>
      </w:r>
    </w:p>
    <w:p w14:paraId="6F92DEDD" w14:textId="443417A9" w:rsidR="001761B4" w:rsidRDefault="005D548E" w:rsidP="00757E55">
      <w:pPr>
        <w:pStyle w:val="Body"/>
        <w:numPr>
          <w:ilvl w:val="0"/>
          <w:numId w:val="39"/>
        </w:numPr>
      </w:pPr>
      <w:r w:rsidRPr="005D548E">
        <w:rPr>
          <w:b/>
        </w:rPr>
        <w:t xml:space="preserve">En el ámbito de la competitividad </w:t>
      </w:r>
      <w:r w:rsidRPr="006D6F2C">
        <w:t>con la m</w:t>
      </w:r>
      <w:r w:rsidR="0014731C" w:rsidRPr="006D6F2C">
        <w:t xml:space="preserve">ejora del acceso de la PYME a la I+D+i mediante el </w:t>
      </w:r>
      <w:r w:rsidR="00FB4949">
        <w:t>desarrollo</w:t>
      </w:r>
      <w:r w:rsidR="0014731C" w:rsidRPr="006D6F2C">
        <w:t xml:space="preserve"> de una red de </w:t>
      </w:r>
      <w:r w:rsidR="00E3491A">
        <w:t xml:space="preserve">agrupaciones empresariales innovadoras (AEI) o </w:t>
      </w:r>
      <w:r w:rsidR="0014731C" w:rsidRPr="006D6F2C">
        <w:lastRenderedPageBreak/>
        <w:t>clusters</w:t>
      </w:r>
      <w:r w:rsidRPr="006D6F2C">
        <w:t>, así como el f</w:t>
      </w:r>
      <w:r w:rsidR="0014731C" w:rsidRPr="006D6F2C">
        <w:t xml:space="preserve">omento </w:t>
      </w:r>
      <w:r w:rsidR="009E20B6">
        <w:t xml:space="preserve">de </w:t>
      </w:r>
      <w:r w:rsidR="0014731C" w:rsidRPr="006D6F2C">
        <w:t>la eliminación de obstáculos a la actividad y competitividad de las empresas</w:t>
      </w:r>
      <w:r w:rsidR="00BC26A6" w:rsidRPr="006D6F2C">
        <w:t xml:space="preserve">. </w:t>
      </w:r>
    </w:p>
    <w:p w14:paraId="4F1AE190" w14:textId="28AC28AD" w:rsidR="001761B4" w:rsidRDefault="001761B4" w:rsidP="001761B4">
      <w:pPr>
        <w:pStyle w:val="Body"/>
        <w:ind w:left="720"/>
      </w:pPr>
      <w:r>
        <w:t xml:space="preserve">El programa de </w:t>
      </w:r>
      <w:r w:rsidR="00E3491A">
        <w:t>AEI ofrece apoyo a los clusters</w:t>
      </w:r>
      <w:r>
        <w:t xml:space="preserve"> y </w:t>
      </w:r>
      <w:r w:rsidR="00E3491A">
        <w:t>al desarrollo de actividades innovadoras</w:t>
      </w:r>
      <w:r>
        <w:t>. Para ello, concede anualmente subvenciones en régimen de concurrencia competitiva para la financiación de gastos de estructura y proyectos de innovación de las AEIs registradas como tales por la Secretaría General de Industria y PYME.</w:t>
      </w:r>
    </w:p>
    <w:p w14:paraId="6B45A486" w14:textId="464E90EE" w:rsidR="0014731C" w:rsidRPr="006D6F2C" w:rsidRDefault="0027093E" w:rsidP="001761B4">
      <w:pPr>
        <w:pStyle w:val="Body"/>
        <w:ind w:left="720"/>
      </w:pPr>
      <w:r w:rsidRPr="006D6F2C">
        <w:t>Además,</w:t>
      </w:r>
      <w:r w:rsidR="00BC26A6" w:rsidRPr="006D6F2C">
        <w:t xml:space="preserve"> promueve</w:t>
      </w:r>
      <w:r w:rsidR="0014731C" w:rsidRPr="006D6F2C">
        <w:t xml:space="preserve"> la coordinación entre Administraciones y agentes sociales en estas materias mediante </w:t>
      </w:r>
      <w:r w:rsidR="00FB4949">
        <w:t>e</w:t>
      </w:r>
      <w:r w:rsidR="0014731C" w:rsidRPr="006D6F2C">
        <w:t>l Consejo Estatal de la PYME.</w:t>
      </w:r>
    </w:p>
    <w:p w14:paraId="6454B751" w14:textId="58227A65" w:rsidR="00C719B5" w:rsidRPr="00656444" w:rsidRDefault="00122163" w:rsidP="00757E55">
      <w:pPr>
        <w:pStyle w:val="Body"/>
        <w:numPr>
          <w:ilvl w:val="0"/>
          <w:numId w:val="39"/>
        </w:numPr>
      </w:pPr>
      <w:r>
        <w:t>P</w:t>
      </w:r>
      <w:r w:rsidR="0014731C" w:rsidRPr="006D6F2C">
        <w:t xml:space="preserve">or último, garantizar un </w:t>
      </w:r>
      <w:r w:rsidR="0014731C" w:rsidRPr="0014731C">
        <w:rPr>
          <w:b/>
        </w:rPr>
        <w:t>mejor acceso a la financiación</w:t>
      </w:r>
      <w:r w:rsidR="00C205C4">
        <w:t>. Para ello</w:t>
      </w:r>
      <w:r w:rsidR="00F45A4D">
        <w:t>, l</w:t>
      </w:r>
      <w:r w:rsidR="00C719B5" w:rsidRPr="00656444">
        <w:t>a SGIPYME cuenta con un conjunto de instrumentos que operan en distintas áreas de la financiación empresarial:</w:t>
      </w:r>
    </w:p>
    <w:p w14:paraId="21098169" w14:textId="66E77346" w:rsidR="00C719B5" w:rsidRPr="00467420" w:rsidRDefault="00C719B5" w:rsidP="00757E55">
      <w:pPr>
        <w:pStyle w:val="Body"/>
        <w:numPr>
          <w:ilvl w:val="0"/>
          <w:numId w:val="40"/>
        </w:numPr>
      </w:pPr>
      <w:r w:rsidRPr="00467420">
        <w:t>ENISA que actúa directamente en el mercado de la financiación no bancaria</w:t>
      </w:r>
      <w:r w:rsidR="00C205C4">
        <w:t xml:space="preserve"> para PYME y emprendedores mediante el</w:t>
      </w:r>
      <w:r w:rsidRPr="00467420">
        <w:t xml:space="preserve"> préstamo participativo</w:t>
      </w:r>
      <w:r w:rsidR="00C205C4">
        <w:t>. Su</w:t>
      </w:r>
      <w:r w:rsidRPr="00467420">
        <w:t xml:space="preserve"> cartera acumulada supera los 5.200 préstamos por un importe de 900 millones de euros.</w:t>
      </w:r>
    </w:p>
    <w:p w14:paraId="04B64A9A" w14:textId="3AA39760" w:rsidR="00C719B5" w:rsidRPr="00656444" w:rsidRDefault="00C719B5" w:rsidP="00757E55">
      <w:pPr>
        <w:pStyle w:val="Body"/>
        <w:numPr>
          <w:ilvl w:val="0"/>
          <w:numId w:val="40"/>
        </w:numPr>
      </w:pPr>
      <w:r w:rsidRPr="002D6EBD">
        <w:t>CERSA</w:t>
      </w:r>
      <w:r w:rsidRPr="00656444">
        <w:t>, la Compañía Española de Reafianzamiento, que reavala los avales de las Sociedades de Garantía Recíproca (SGR)</w:t>
      </w:r>
      <w:r w:rsidR="00D3679E">
        <w:t xml:space="preserve"> </w:t>
      </w:r>
      <w:r w:rsidR="00D3679E" w:rsidRPr="009200E1">
        <w:t xml:space="preserve">a favor de PYME que les permiten la obtención de financiación de entidades bancarias y </w:t>
      </w:r>
      <w:r w:rsidR="00F45A4D" w:rsidRPr="009200E1">
        <w:t>otros financiadores</w:t>
      </w:r>
      <w:r w:rsidR="00C205C4">
        <w:t xml:space="preserve"> </w:t>
      </w:r>
      <w:r w:rsidR="00D3679E" w:rsidRPr="009200E1">
        <w:t>no bancario</w:t>
      </w:r>
      <w:r w:rsidR="00C205C4">
        <w:t>s</w:t>
      </w:r>
      <w:r w:rsidR="00D3679E" w:rsidRPr="009200E1">
        <w:t>. Actualmente la cartera de CERSA se sitúa en 1.900 millones de euros a favor de 35.000 pequeñas y mediana</w:t>
      </w:r>
      <w:r w:rsidR="00AF0E85">
        <w:t>s</w:t>
      </w:r>
      <w:r w:rsidR="00D3679E" w:rsidRPr="009200E1">
        <w:t xml:space="preserve"> empresas y autónomos. </w:t>
      </w:r>
    </w:p>
    <w:p w14:paraId="1C5FD4D6" w14:textId="1D2C78BF" w:rsidR="00D57086" w:rsidRDefault="00C205C4" w:rsidP="00757E55">
      <w:pPr>
        <w:pStyle w:val="Body"/>
        <w:numPr>
          <w:ilvl w:val="0"/>
          <w:numId w:val="40"/>
        </w:numPr>
      </w:pPr>
      <w:r>
        <w:t>S</w:t>
      </w:r>
      <w:r w:rsidR="00C719B5">
        <w:t xml:space="preserve">e ha venido reforzando el crédito bancario a las PYME mediante </w:t>
      </w:r>
      <w:r w:rsidR="00C719B5" w:rsidRPr="00656444">
        <w:t>avales</w:t>
      </w:r>
      <w:r w:rsidR="00C719B5">
        <w:t xml:space="preserve"> a</w:t>
      </w:r>
      <w:r w:rsidR="00C719B5" w:rsidRPr="00656444">
        <w:t xml:space="preserve"> las </w:t>
      </w:r>
      <w:r w:rsidRPr="00656444">
        <w:t xml:space="preserve">titulizaciones </w:t>
      </w:r>
      <w:r>
        <w:t xml:space="preserve">de las </w:t>
      </w:r>
      <w:r w:rsidR="00C719B5" w:rsidRPr="00656444">
        <w:t>entidades financieras</w:t>
      </w:r>
      <w:r>
        <w:t xml:space="preserve"> (</w:t>
      </w:r>
      <w:r w:rsidR="00C719B5" w:rsidRPr="00656444">
        <w:t xml:space="preserve">convenios </w:t>
      </w:r>
      <w:r w:rsidR="00C719B5" w:rsidRPr="002D6EBD">
        <w:t>FTPYME</w:t>
      </w:r>
      <w:r>
        <w:t>)</w:t>
      </w:r>
      <w:r w:rsidR="00C719B5">
        <w:t xml:space="preserve"> </w:t>
      </w:r>
      <w:r w:rsidR="0027093E">
        <w:t>y se</w:t>
      </w:r>
      <w:r w:rsidR="00C719B5">
        <w:t xml:space="preserve"> ha contribuido a desarrollar la figura del </w:t>
      </w:r>
      <w:r>
        <w:t>inversor informal</w:t>
      </w:r>
      <w:r w:rsidR="00C719B5">
        <w:t xml:space="preserve"> mediante el programa de </w:t>
      </w:r>
      <w:r w:rsidR="00C719B5" w:rsidRPr="002D6EBD">
        <w:t>Impulso a las redes de business angels</w:t>
      </w:r>
      <w:r w:rsidR="00C719B5" w:rsidRPr="00656444">
        <w:t>.</w:t>
      </w:r>
    </w:p>
    <w:p w14:paraId="4F2371C2" w14:textId="121CAC91" w:rsidR="00D57086" w:rsidRPr="00656444" w:rsidRDefault="009E5AA2" w:rsidP="004167C7">
      <w:pPr>
        <w:pStyle w:val="Body"/>
      </w:pPr>
      <w:r>
        <w:t xml:space="preserve">A estas medidas habría que añadir el resto de actuaciones de otros Ministerios dirigidas a </w:t>
      </w:r>
      <w:r w:rsidR="00AF0E85">
        <w:t xml:space="preserve">la </w:t>
      </w:r>
      <w:r>
        <w:t>PYME</w:t>
      </w:r>
      <w:r w:rsidR="00B719BA">
        <w:t xml:space="preserve">, que no se van a enumerar aquí por su </w:t>
      </w:r>
      <w:r w:rsidR="004167C7">
        <w:t>extensión</w:t>
      </w:r>
      <w:r w:rsidR="00103869">
        <w:t xml:space="preserve">, pero que </w:t>
      </w:r>
      <w:r w:rsidR="00C205C4">
        <w:t>se vienen recogiendo en el seno d</w:t>
      </w:r>
      <w:r w:rsidR="00103869">
        <w:t xml:space="preserve">el Consejo Estatal de la PYME, </w:t>
      </w:r>
      <w:r w:rsidR="00C205C4">
        <w:t>tanto</w:t>
      </w:r>
      <w:r w:rsidR="00103869">
        <w:t xml:space="preserve"> a nivel del</w:t>
      </w:r>
      <w:r w:rsidR="00C205C4">
        <w:t xml:space="preserve"> </w:t>
      </w:r>
      <w:r w:rsidR="00103869">
        <w:t xml:space="preserve">Estado </w:t>
      </w:r>
      <w:r w:rsidR="00C205C4">
        <w:t>como</w:t>
      </w:r>
      <w:r w:rsidR="00103869">
        <w:t xml:space="preserve"> de las CCAA</w:t>
      </w:r>
      <w:r w:rsidR="00B719BA">
        <w:t>.</w:t>
      </w:r>
    </w:p>
    <w:p w14:paraId="68230447" w14:textId="755D0604" w:rsidR="00C719B5" w:rsidRPr="004C6137" w:rsidRDefault="00C719B5" w:rsidP="00C719B5">
      <w:pPr>
        <w:pStyle w:val="Ttulo2"/>
        <w:keepLines/>
        <w:numPr>
          <w:ilvl w:val="1"/>
          <w:numId w:val="28"/>
        </w:numPr>
        <w:spacing w:after="120" w:line="276" w:lineRule="auto"/>
        <w:rPr>
          <w:rFonts w:cs="Arial"/>
          <w:color w:val="003399"/>
          <w:sz w:val="24"/>
          <w:lang w:val="es-ES"/>
        </w:rPr>
      </w:pPr>
      <w:bookmarkStart w:id="21" w:name="_Toc500783318"/>
      <w:bookmarkStart w:id="22" w:name="_Toc527630336"/>
      <w:r w:rsidRPr="004C6137">
        <w:rPr>
          <w:rFonts w:cs="Arial"/>
          <w:color w:val="003399"/>
          <w:sz w:val="24"/>
          <w:lang w:val="es-ES"/>
        </w:rPr>
        <w:t>El Marco de la Unión Europea en materia de PYME</w:t>
      </w:r>
      <w:bookmarkEnd w:id="21"/>
      <w:bookmarkEnd w:id="22"/>
      <w:r w:rsidRPr="004C6137">
        <w:rPr>
          <w:rFonts w:cs="Arial"/>
          <w:color w:val="003399"/>
          <w:sz w:val="24"/>
          <w:lang w:val="es-ES"/>
        </w:rPr>
        <w:t xml:space="preserve"> </w:t>
      </w:r>
    </w:p>
    <w:p w14:paraId="312991D9" w14:textId="77F94BEE" w:rsidR="000C666C" w:rsidRDefault="000C666C" w:rsidP="000C666C">
      <w:pPr>
        <w:pStyle w:val="Body"/>
      </w:pPr>
      <w:r>
        <w:t>La creación de un entorno favorable para las PYME es uno de los principales objetivos de la UE. La Comisión Europea lleva años colaborando estrechamente con los Estados Miembro</w:t>
      </w:r>
      <w:r w:rsidR="00114BAF">
        <w:t>s</w:t>
      </w:r>
      <w:r>
        <w:t xml:space="preserve"> en el desarrollo de políticas favorables a las PYME, supervisando los avances en su aplicación y compartiendo las mejores prácticas.</w:t>
      </w:r>
    </w:p>
    <w:p w14:paraId="22CD072D" w14:textId="5D466A1D" w:rsidR="000C666C" w:rsidRDefault="000C666C" w:rsidP="000C666C">
      <w:pPr>
        <w:pStyle w:val="Body"/>
      </w:pPr>
      <w:r>
        <w:t xml:space="preserve">Una de las iniciativas más relevantes en este ámbito es la Small Business Act (SBA), Recomendación lanzada por la Comisión Europea en el año 2008 y respaldada por el Consejo y el Parlamento Europeo. </w:t>
      </w:r>
    </w:p>
    <w:p w14:paraId="4B5CB84B" w14:textId="2B0EE86A" w:rsidR="00922B27" w:rsidRDefault="000C666C" w:rsidP="005B3967">
      <w:pPr>
        <w:pStyle w:val="Body"/>
        <w:spacing w:after="120"/>
      </w:pPr>
      <w:r>
        <w:t>La SBA está definida como el marco político de actuación en materia de pequeña y mediana empresa por parte de la Comisión Europea y está conformada por 10 principios de actuación</w:t>
      </w:r>
      <w:r w:rsidR="00650395">
        <w:t xml:space="preserve"> (</w:t>
      </w:r>
      <w:r w:rsidR="00C205C4" w:rsidRPr="00C205C4">
        <w:rPr>
          <w:highlight w:val="yellow"/>
        </w:rPr>
        <w:t>tabla 7</w:t>
      </w:r>
      <w:r w:rsidR="00650395">
        <w:t>)</w:t>
      </w:r>
      <w:r>
        <w:t>. Su lema, “pensar primero en pequeño” fija su principal objetivo: mejorar el entorno en favor de las PYME, simplificando el marco normativo y eliminando todos aquellos obstáculos que no permitan su desarrollo.</w:t>
      </w:r>
    </w:p>
    <w:tbl>
      <w:tblPr>
        <w:tblW w:w="9156" w:type="dxa"/>
        <w:tblInd w:w="55" w:type="dxa"/>
        <w:tblCellMar>
          <w:left w:w="70" w:type="dxa"/>
          <w:right w:w="70" w:type="dxa"/>
        </w:tblCellMar>
        <w:tblLook w:val="04A0" w:firstRow="1" w:lastRow="0" w:firstColumn="1" w:lastColumn="0" w:noHBand="0" w:noVBand="1"/>
      </w:tblPr>
      <w:tblGrid>
        <w:gridCol w:w="9157"/>
      </w:tblGrid>
      <w:tr w:rsidR="003A2F59" w:rsidRPr="007916CD" w14:paraId="1897E6C9" w14:textId="77777777" w:rsidTr="00125E00">
        <w:trPr>
          <w:trHeight w:val="285"/>
        </w:trPr>
        <w:tc>
          <w:tcPr>
            <w:tcW w:w="9156"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62E5FA11" w14:textId="19FE9C96" w:rsidR="003A2F59" w:rsidRDefault="003A2F59" w:rsidP="00244B12">
            <w:pPr>
              <w:spacing w:after="120"/>
              <w:jc w:val="left"/>
              <w:rPr>
                <w:rFonts w:ascii="Century Gothic" w:hAnsi="Century Gothic"/>
                <w:color w:val="000000"/>
                <w:sz w:val="18"/>
                <w:szCs w:val="18"/>
                <w:lang w:val="es-ES" w:eastAsia="es-ES"/>
              </w:rPr>
            </w:pPr>
            <w:bookmarkStart w:id="23" w:name="_Toc526515597"/>
            <w:r w:rsidRPr="002A5052">
              <w:rPr>
                <w:rFonts w:ascii="Century Gothic" w:hAnsi="Century Gothic"/>
                <w:color w:val="000000"/>
                <w:sz w:val="18"/>
                <w:szCs w:val="18"/>
                <w:lang w:val="es-ES" w:eastAsia="es-ES"/>
              </w:rPr>
              <w:lastRenderedPageBreak/>
              <w:t xml:space="preserve">Tabla </w:t>
            </w:r>
            <w:r w:rsidRPr="005A155D">
              <w:rPr>
                <w:rFonts w:ascii="Century Gothic" w:hAnsi="Century Gothic"/>
                <w:b/>
                <w:color w:val="000000"/>
                <w:sz w:val="18"/>
                <w:szCs w:val="18"/>
                <w:lang w:eastAsia="es-ES"/>
              </w:rPr>
              <w:fldChar w:fldCharType="begin"/>
            </w:r>
            <w:r w:rsidRPr="001877D5">
              <w:rPr>
                <w:rFonts w:ascii="Century Gothic" w:hAnsi="Century Gothic"/>
                <w:color w:val="000000"/>
                <w:sz w:val="18"/>
                <w:szCs w:val="18"/>
                <w:lang w:val="es-ES" w:eastAsia="es-ES"/>
              </w:rPr>
              <w:instrText xml:space="preserve"> SEQ Tabla \* ARABIC </w:instrText>
            </w:r>
            <w:r w:rsidRPr="005A155D">
              <w:rPr>
                <w:rFonts w:ascii="Century Gothic" w:hAnsi="Century Gothic"/>
                <w:b/>
                <w:color w:val="000000"/>
                <w:sz w:val="18"/>
                <w:szCs w:val="18"/>
                <w:lang w:eastAsia="es-ES"/>
              </w:rPr>
              <w:fldChar w:fldCharType="separate"/>
            </w:r>
            <w:r w:rsidR="00764C39">
              <w:rPr>
                <w:rFonts w:ascii="Century Gothic" w:hAnsi="Century Gothic"/>
                <w:noProof/>
                <w:color w:val="000000"/>
                <w:sz w:val="18"/>
                <w:szCs w:val="18"/>
                <w:lang w:val="es-ES" w:eastAsia="es-ES"/>
              </w:rPr>
              <w:t>7</w:t>
            </w:r>
            <w:r w:rsidRPr="005A155D">
              <w:rPr>
                <w:rFonts w:ascii="Century Gothic" w:hAnsi="Century Gothic"/>
                <w:color w:val="000000"/>
                <w:sz w:val="18"/>
                <w:szCs w:val="18"/>
                <w:lang w:val="es-ES" w:eastAsia="es-ES"/>
              </w:rPr>
              <w:fldChar w:fldCharType="end"/>
            </w:r>
            <w:r w:rsidRPr="002A5052">
              <w:rPr>
                <w:rFonts w:ascii="Century Gothic" w:hAnsi="Century Gothic"/>
                <w:color w:val="000000"/>
                <w:sz w:val="18"/>
                <w:szCs w:val="18"/>
                <w:lang w:val="es-ES" w:eastAsia="es-ES"/>
              </w:rPr>
              <w:t xml:space="preserve">. </w:t>
            </w:r>
            <w:r w:rsidRPr="003A2F59">
              <w:rPr>
                <w:rFonts w:ascii="Century Gothic" w:hAnsi="Century Gothic"/>
                <w:color w:val="000000"/>
                <w:sz w:val="18"/>
                <w:szCs w:val="18"/>
                <w:lang w:val="es-ES" w:eastAsia="es-ES"/>
              </w:rPr>
              <w:t>Resumen de los 10 principios de la Small Business Act</w:t>
            </w:r>
            <w:bookmarkEnd w:id="23"/>
          </w:p>
          <w:tbl>
            <w:tblPr>
              <w:tblStyle w:val="Sombreadoclaro"/>
              <w:tblW w:w="9017" w:type="dxa"/>
              <w:tblLook w:val="04A0" w:firstRow="1" w:lastRow="0" w:firstColumn="1" w:lastColumn="0" w:noHBand="0" w:noVBand="1"/>
            </w:tblPr>
            <w:tblGrid>
              <w:gridCol w:w="2927"/>
              <w:gridCol w:w="6090"/>
            </w:tblGrid>
            <w:tr w:rsidR="003A2F59" w14:paraId="65E29890" w14:textId="77777777" w:rsidTr="007C13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right w:val="none" w:sz="0" w:space="0" w:color="auto"/>
                  </w:tcBorders>
                </w:tcPr>
                <w:p w14:paraId="293B00A2" w14:textId="63BC78F0" w:rsidR="003A2F59" w:rsidRDefault="003A2F59" w:rsidP="003A2F59">
                  <w:pPr>
                    <w:spacing w:after="0"/>
                    <w:jc w:val="center"/>
                    <w:rPr>
                      <w:rFonts w:ascii="Century Gothic" w:hAnsi="Century Gothic"/>
                      <w:color w:val="000000"/>
                      <w:sz w:val="18"/>
                      <w:szCs w:val="18"/>
                      <w:lang w:val="es-ES" w:eastAsia="es-ES"/>
                    </w:rPr>
                  </w:pPr>
                  <w:r>
                    <w:rPr>
                      <w:rFonts w:ascii="Century Gothic" w:hAnsi="Century Gothic"/>
                      <w:color w:val="000000"/>
                      <w:sz w:val="18"/>
                      <w:szCs w:val="18"/>
                      <w:lang w:val="es-ES" w:eastAsia="es-ES"/>
                    </w:rPr>
                    <w:t>Principio</w:t>
                  </w:r>
                </w:p>
              </w:tc>
              <w:tc>
                <w:tcPr>
                  <w:tcW w:w="6090" w:type="dxa"/>
                  <w:tcBorders>
                    <w:top w:val="none" w:sz="0" w:space="0" w:color="auto"/>
                    <w:left w:val="none" w:sz="0" w:space="0" w:color="auto"/>
                    <w:bottom w:val="none" w:sz="0" w:space="0" w:color="auto"/>
                    <w:right w:val="none" w:sz="0" w:space="0" w:color="auto"/>
                  </w:tcBorders>
                </w:tcPr>
                <w:p w14:paraId="57940DCF" w14:textId="388FAA20" w:rsidR="003A2F59" w:rsidRDefault="003A2F59" w:rsidP="003A2F59">
                  <w:pPr>
                    <w:spacing w:after="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Descripción</w:t>
                  </w:r>
                </w:p>
              </w:tc>
            </w:tr>
            <w:tr w:rsidR="003A2F59" w:rsidRPr="007916CD" w14:paraId="39B63537" w14:textId="77777777" w:rsidTr="00C20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left w:val="none" w:sz="0" w:space="0" w:color="auto"/>
                    <w:right w:val="none" w:sz="0" w:space="0" w:color="auto"/>
                  </w:tcBorders>
                  <w:vAlign w:val="center"/>
                </w:tcPr>
                <w:p w14:paraId="4103A866" w14:textId="17271400" w:rsidR="003A2F59" w:rsidRPr="00125E00" w:rsidRDefault="003A2F59"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Promoción del espíritu empresarial</w:t>
                  </w:r>
                </w:p>
              </w:tc>
              <w:tc>
                <w:tcPr>
                  <w:tcW w:w="6090" w:type="dxa"/>
                  <w:tcBorders>
                    <w:left w:val="none" w:sz="0" w:space="0" w:color="auto"/>
                    <w:right w:val="none" w:sz="0" w:space="0" w:color="auto"/>
                  </w:tcBorders>
                </w:tcPr>
                <w:p w14:paraId="446033F6" w14:textId="0821D7F5" w:rsidR="003A2F59" w:rsidRDefault="00125E00" w:rsidP="00F115EF">
                  <w:pPr>
                    <w:spacing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Establecer un marco en el que los empresarios y las empresas familiares puedan prosperar y en el que se recompense el espíritu empresarial.</w:t>
                  </w:r>
                </w:p>
              </w:tc>
            </w:tr>
            <w:tr w:rsidR="003A2F59" w:rsidRPr="007916CD" w14:paraId="0D3F424F" w14:textId="77777777" w:rsidTr="00C205C4">
              <w:tc>
                <w:tcPr>
                  <w:cnfStyle w:val="001000000000" w:firstRow="0" w:lastRow="0" w:firstColumn="1" w:lastColumn="0" w:oddVBand="0" w:evenVBand="0" w:oddHBand="0" w:evenHBand="0" w:firstRowFirstColumn="0" w:firstRowLastColumn="0" w:lastRowFirstColumn="0" w:lastRowLastColumn="0"/>
                  <w:tcW w:w="2927" w:type="dxa"/>
                  <w:vAlign w:val="center"/>
                </w:tcPr>
                <w:p w14:paraId="1E245872" w14:textId="51370855" w:rsidR="003A2F59" w:rsidRPr="00125E00" w:rsidRDefault="003A2F59"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Segunda oportunidad</w:t>
                  </w:r>
                </w:p>
              </w:tc>
              <w:tc>
                <w:tcPr>
                  <w:tcW w:w="6090" w:type="dxa"/>
                </w:tcPr>
                <w:p w14:paraId="7361E29B" w14:textId="5EA03B21" w:rsidR="003A2F59" w:rsidRDefault="00125E00" w:rsidP="00F115EF">
                  <w:pPr>
                    <w:spacing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Garantizar que los empresarios que hayan hecho frente a una quiebra tengan rápidamente una segunda oportunidad.</w:t>
                  </w:r>
                </w:p>
              </w:tc>
            </w:tr>
            <w:tr w:rsidR="003A2F59" w:rsidRPr="007916CD" w14:paraId="3CF918E3" w14:textId="77777777" w:rsidTr="00C20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left w:val="none" w:sz="0" w:space="0" w:color="auto"/>
                    <w:right w:val="none" w:sz="0" w:space="0" w:color="auto"/>
                  </w:tcBorders>
                  <w:vAlign w:val="center"/>
                </w:tcPr>
                <w:p w14:paraId="4EDF76B0" w14:textId="7899DF5D" w:rsidR="003A2F59" w:rsidRPr="00125E00" w:rsidRDefault="003A2F59"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Pensar a pequeña escala</w:t>
                  </w:r>
                </w:p>
              </w:tc>
              <w:tc>
                <w:tcPr>
                  <w:tcW w:w="6090" w:type="dxa"/>
                  <w:tcBorders>
                    <w:left w:val="none" w:sz="0" w:space="0" w:color="auto"/>
                    <w:right w:val="none" w:sz="0" w:space="0" w:color="auto"/>
                  </w:tcBorders>
                </w:tcPr>
                <w:p w14:paraId="6DD91B4C" w14:textId="5693BAFA" w:rsidR="003A2F59" w:rsidRDefault="00125E00" w:rsidP="00F115EF">
                  <w:pPr>
                    <w:spacing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Elaborar normas conforme al principio de “pensar primero a pequeña escala”.</w:t>
                  </w:r>
                </w:p>
              </w:tc>
            </w:tr>
            <w:tr w:rsidR="003A2F59" w:rsidRPr="007916CD" w14:paraId="3AE335FD" w14:textId="77777777" w:rsidTr="00C205C4">
              <w:tc>
                <w:tcPr>
                  <w:cnfStyle w:val="001000000000" w:firstRow="0" w:lastRow="0" w:firstColumn="1" w:lastColumn="0" w:oddVBand="0" w:evenVBand="0" w:oddHBand="0" w:evenHBand="0" w:firstRowFirstColumn="0" w:firstRowLastColumn="0" w:lastRowFirstColumn="0" w:lastRowLastColumn="0"/>
                  <w:tcW w:w="2927" w:type="dxa"/>
                  <w:vAlign w:val="center"/>
                </w:tcPr>
                <w:p w14:paraId="7B63B952" w14:textId="09C1BA8E" w:rsidR="003A2F59" w:rsidRPr="00125E00" w:rsidRDefault="003A2F59"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Administración con capacidad de respuesta</w:t>
                  </w:r>
                </w:p>
              </w:tc>
              <w:tc>
                <w:tcPr>
                  <w:tcW w:w="6090" w:type="dxa"/>
                </w:tcPr>
                <w:p w14:paraId="3BC976E6" w14:textId="46AD2745" w:rsidR="003A2F59" w:rsidRDefault="00125E00" w:rsidP="00F115EF">
                  <w:pPr>
                    <w:spacing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Hacer a las administraciones públicas permeables a las necesidades de las PYME.</w:t>
                  </w:r>
                </w:p>
              </w:tc>
            </w:tr>
            <w:tr w:rsidR="003A2F59" w:rsidRPr="007916CD" w14:paraId="7716ACFF" w14:textId="77777777" w:rsidTr="00C20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left w:val="none" w:sz="0" w:space="0" w:color="auto"/>
                    <w:right w:val="none" w:sz="0" w:space="0" w:color="auto"/>
                  </w:tcBorders>
                  <w:vAlign w:val="center"/>
                </w:tcPr>
                <w:p w14:paraId="774A0146" w14:textId="3ADC48D4" w:rsidR="003A2F59" w:rsidRPr="00125E00" w:rsidRDefault="00125E00" w:rsidP="00757E55">
                  <w:pPr>
                    <w:pStyle w:val="Prrafodelista"/>
                    <w:numPr>
                      <w:ilvl w:val="0"/>
                      <w:numId w:val="51"/>
                    </w:numPr>
                    <w:spacing w:after="0"/>
                    <w:ind w:left="404"/>
                    <w:jc w:val="left"/>
                    <w:rPr>
                      <w:rFonts w:ascii="Century Gothic" w:hAnsi="Century Gothic"/>
                      <w:color w:val="000000"/>
                      <w:sz w:val="18"/>
                      <w:szCs w:val="18"/>
                      <w:lang w:val="es-ES" w:eastAsia="es-ES"/>
                    </w:rPr>
                  </w:pPr>
                  <w:r>
                    <w:rPr>
                      <w:rFonts w:ascii="Century Gothic" w:hAnsi="Century Gothic"/>
                      <w:color w:val="000000"/>
                      <w:sz w:val="18"/>
                      <w:szCs w:val="18"/>
                      <w:lang w:val="es-ES" w:eastAsia="es-ES"/>
                    </w:rPr>
                    <w:t>Ayudas y contratación pública</w:t>
                  </w:r>
                </w:p>
              </w:tc>
              <w:tc>
                <w:tcPr>
                  <w:tcW w:w="6090" w:type="dxa"/>
                  <w:tcBorders>
                    <w:left w:val="none" w:sz="0" w:space="0" w:color="auto"/>
                    <w:right w:val="none" w:sz="0" w:space="0" w:color="auto"/>
                  </w:tcBorders>
                </w:tcPr>
                <w:p w14:paraId="6D1FC6B3" w14:textId="3691361F" w:rsidR="003A2F59" w:rsidRDefault="00125E00" w:rsidP="00F115EF">
                  <w:pPr>
                    <w:spacing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Adaptar los instrumentos de los poderes públicos a las necesidades de las PYME: facilitar la participación de la PYME en la contratación pública y utilizar mejor las posibilidades de ayuda estatal ofrecida a la PYME.</w:t>
                  </w:r>
                </w:p>
              </w:tc>
            </w:tr>
            <w:tr w:rsidR="003A2F59" w:rsidRPr="007916CD" w14:paraId="3C2847F6" w14:textId="77777777" w:rsidTr="00C205C4">
              <w:tc>
                <w:tcPr>
                  <w:cnfStyle w:val="001000000000" w:firstRow="0" w:lastRow="0" w:firstColumn="1" w:lastColumn="0" w:oddVBand="0" w:evenVBand="0" w:oddHBand="0" w:evenHBand="0" w:firstRowFirstColumn="0" w:firstRowLastColumn="0" w:lastRowFirstColumn="0" w:lastRowLastColumn="0"/>
                  <w:tcW w:w="2927" w:type="dxa"/>
                  <w:vAlign w:val="center"/>
                </w:tcPr>
                <w:p w14:paraId="5280C388" w14:textId="4BFA7837" w:rsidR="003A2F59" w:rsidRPr="00125E00" w:rsidRDefault="003A2F59"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Acceso a la financiación</w:t>
                  </w:r>
                </w:p>
              </w:tc>
              <w:tc>
                <w:tcPr>
                  <w:tcW w:w="6090" w:type="dxa"/>
                </w:tcPr>
                <w:p w14:paraId="30DA2774" w14:textId="6E7E8A0C" w:rsidR="003A2F59" w:rsidRDefault="00125E00" w:rsidP="00F115EF">
                  <w:pPr>
                    <w:spacing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Facilitar el acceso de la PYME a la financiación y desarrollar un marco jurídico y empresarial que propicie la puntualidad de los pagos en las transacciones comerciales.</w:t>
                  </w:r>
                </w:p>
              </w:tc>
            </w:tr>
            <w:tr w:rsidR="003A2F59" w:rsidRPr="007916CD" w14:paraId="14CF4634" w14:textId="77777777" w:rsidTr="00C20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left w:val="none" w:sz="0" w:space="0" w:color="auto"/>
                    <w:right w:val="none" w:sz="0" w:space="0" w:color="auto"/>
                  </w:tcBorders>
                  <w:vAlign w:val="center"/>
                </w:tcPr>
                <w:p w14:paraId="4CE3D600" w14:textId="14A6B892" w:rsidR="003A2F59" w:rsidRPr="00125E00" w:rsidRDefault="003A2F59"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Mercado único</w:t>
                  </w:r>
                </w:p>
              </w:tc>
              <w:tc>
                <w:tcPr>
                  <w:tcW w:w="6090" w:type="dxa"/>
                  <w:tcBorders>
                    <w:left w:val="none" w:sz="0" w:space="0" w:color="auto"/>
                    <w:right w:val="none" w:sz="0" w:space="0" w:color="auto"/>
                  </w:tcBorders>
                </w:tcPr>
                <w:p w14:paraId="5B959703" w14:textId="24F02769" w:rsidR="003A2F59" w:rsidRDefault="00125E00" w:rsidP="00F115EF">
                  <w:pPr>
                    <w:spacing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Ayudar a la PYME a beneficiarse más de las oportunidades que ofrece el mercado único.</w:t>
                  </w:r>
                </w:p>
              </w:tc>
            </w:tr>
            <w:tr w:rsidR="003A2F59" w:rsidRPr="007916CD" w14:paraId="0C9EA23C" w14:textId="77777777" w:rsidTr="00C205C4">
              <w:tc>
                <w:tcPr>
                  <w:cnfStyle w:val="001000000000" w:firstRow="0" w:lastRow="0" w:firstColumn="1" w:lastColumn="0" w:oddVBand="0" w:evenVBand="0" w:oddHBand="0" w:evenHBand="0" w:firstRowFirstColumn="0" w:firstRowLastColumn="0" w:lastRowFirstColumn="0" w:lastRowLastColumn="0"/>
                  <w:tcW w:w="2927" w:type="dxa"/>
                  <w:vAlign w:val="center"/>
                </w:tcPr>
                <w:p w14:paraId="03E2B470" w14:textId="07E9B8DD" w:rsidR="003A2F59" w:rsidRPr="00125E00" w:rsidRDefault="003A2F59"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Cualificaciones e innovación</w:t>
                  </w:r>
                </w:p>
              </w:tc>
              <w:tc>
                <w:tcPr>
                  <w:tcW w:w="6090" w:type="dxa"/>
                </w:tcPr>
                <w:p w14:paraId="2B30DD18" w14:textId="280E0EA0" w:rsidR="003A2F59" w:rsidRDefault="00125E00" w:rsidP="00F115EF">
                  <w:pPr>
                    <w:spacing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Promover la actualización de las cualificaciones en las PYME y toda forma de innovación.</w:t>
                  </w:r>
                </w:p>
              </w:tc>
            </w:tr>
            <w:tr w:rsidR="003A2F59" w:rsidRPr="007916CD" w14:paraId="272EF9B2" w14:textId="77777777" w:rsidTr="00C20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left w:val="none" w:sz="0" w:space="0" w:color="auto"/>
                    <w:right w:val="none" w:sz="0" w:space="0" w:color="auto"/>
                  </w:tcBorders>
                  <w:vAlign w:val="center"/>
                </w:tcPr>
                <w:p w14:paraId="439CD501" w14:textId="14152F52" w:rsidR="003A2F59" w:rsidRPr="00125E00" w:rsidRDefault="00125E00" w:rsidP="00757E55">
                  <w:pPr>
                    <w:pStyle w:val="Prrafodelista"/>
                    <w:numPr>
                      <w:ilvl w:val="0"/>
                      <w:numId w:val="51"/>
                    </w:numPr>
                    <w:spacing w:after="0"/>
                    <w:ind w:left="404"/>
                    <w:jc w:val="left"/>
                    <w:rPr>
                      <w:rFonts w:ascii="Century Gothic" w:hAnsi="Century Gothic"/>
                      <w:color w:val="000000"/>
                      <w:sz w:val="18"/>
                      <w:szCs w:val="18"/>
                      <w:lang w:val="es-ES" w:eastAsia="es-ES"/>
                    </w:rPr>
                  </w:pPr>
                  <w:r>
                    <w:rPr>
                      <w:rFonts w:ascii="Century Gothic" w:hAnsi="Century Gothic"/>
                      <w:color w:val="000000"/>
                      <w:sz w:val="18"/>
                      <w:szCs w:val="18"/>
                      <w:lang w:val="es-ES" w:eastAsia="es-ES"/>
                    </w:rPr>
                    <w:t>Medioambiente</w:t>
                  </w:r>
                </w:p>
              </w:tc>
              <w:tc>
                <w:tcPr>
                  <w:tcW w:w="6090" w:type="dxa"/>
                  <w:tcBorders>
                    <w:left w:val="none" w:sz="0" w:space="0" w:color="auto"/>
                    <w:right w:val="none" w:sz="0" w:space="0" w:color="auto"/>
                  </w:tcBorders>
                </w:tcPr>
                <w:p w14:paraId="72A46120" w14:textId="28770224" w:rsidR="003A2F59" w:rsidRDefault="00125E00" w:rsidP="00F115EF">
                  <w:pPr>
                    <w:spacing w:after="0"/>
                    <w:jc w:val="lef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eastAsia="es-ES"/>
                    </w:rPr>
                  </w:pPr>
                  <w:r>
                    <w:rPr>
                      <w:rFonts w:ascii="Century Gothic" w:hAnsi="Century Gothic"/>
                      <w:color w:val="000000"/>
                      <w:sz w:val="18"/>
                      <w:szCs w:val="18"/>
                      <w:lang w:val="es-ES" w:eastAsia="es-ES"/>
                    </w:rPr>
                    <w:t xml:space="preserve">Permitir que las PYME conviertan </w:t>
                  </w:r>
                  <w:r w:rsidRPr="00125E00">
                    <w:rPr>
                      <w:rFonts w:ascii="Century Gothic" w:hAnsi="Century Gothic"/>
                      <w:color w:val="000000"/>
                      <w:sz w:val="18"/>
                      <w:szCs w:val="18"/>
                      <w:lang w:val="es-ES" w:eastAsia="es-ES"/>
                    </w:rPr>
                    <w:t>los desafíos medioambientales en oportunidades</w:t>
                  </w:r>
                </w:p>
              </w:tc>
            </w:tr>
            <w:tr w:rsidR="00125E00" w:rsidRPr="007916CD" w14:paraId="47608CD8" w14:textId="77777777" w:rsidTr="00C205C4">
              <w:tc>
                <w:tcPr>
                  <w:cnfStyle w:val="001000000000" w:firstRow="0" w:lastRow="0" w:firstColumn="1" w:lastColumn="0" w:oddVBand="0" w:evenVBand="0" w:oddHBand="0" w:evenHBand="0" w:firstRowFirstColumn="0" w:firstRowLastColumn="0" w:lastRowFirstColumn="0" w:lastRowLastColumn="0"/>
                  <w:tcW w:w="2927" w:type="dxa"/>
                  <w:vAlign w:val="center"/>
                </w:tcPr>
                <w:p w14:paraId="012A6154" w14:textId="75539FA3" w:rsidR="00125E00" w:rsidRPr="00125E00" w:rsidRDefault="00125E00" w:rsidP="00757E55">
                  <w:pPr>
                    <w:pStyle w:val="Prrafodelista"/>
                    <w:numPr>
                      <w:ilvl w:val="0"/>
                      <w:numId w:val="51"/>
                    </w:numPr>
                    <w:spacing w:after="0"/>
                    <w:ind w:left="404"/>
                    <w:jc w:val="left"/>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Apoyo a la internacionalización</w:t>
                  </w:r>
                </w:p>
              </w:tc>
              <w:tc>
                <w:tcPr>
                  <w:tcW w:w="6090" w:type="dxa"/>
                </w:tcPr>
                <w:p w14:paraId="51E488CA" w14:textId="0A3F379C" w:rsidR="00125E00" w:rsidRDefault="00125E00" w:rsidP="00F115EF">
                  <w:pPr>
                    <w:spacing w:after="0"/>
                    <w:jc w:val="lef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eastAsia="es-ES"/>
                    </w:rPr>
                  </w:pPr>
                  <w:r w:rsidRPr="00125E00">
                    <w:rPr>
                      <w:rFonts w:ascii="Century Gothic" w:hAnsi="Century Gothic"/>
                      <w:color w:val="000000"/>
                      <w:sz w:val="18"/>
                      <w:szCs w:val="18"/>
                      <w:lang w:val="es-ES" w:eastAsia="es-ES"/>
                    </w:rPr>
                    <w:t>Animar y ayudar a las PYME a beneficiarse del crecimiento de los mercados</w:t>
                  </w:r>
                </w:p>
              </w:tc>
            </w:tr>
          </w:tbl>
          <w:p w14:paraId="65982387" w14:textId="77777777" w:rsidR="003A2F59" w:rsidRPr="002A5052" w:rsidRDefault="003A2F59" w:rsidP="00F115EF">
            <w:pPr>
              <w:spacing w:after="0"/>
              <w:jc w:val="left"/>
              <w:rPr>
                <w:rFonts w:ascii="Century Gothic" w:hAnsi="Century Gothic"/>
                <w:color w:val="000000"/>
                <w:lang w:val="es-ES" w:eastAsia="es-ES"/>
              </w:rPr>
            </w:pPr>
          </w:p>
        </w:tc>
      </w:tr>
    </w:tbl>
    <w:p w14:paraId="12175A93" w14:textId="302800DF" w:rsidR="00922B27" w:rsidRPr="0057568A" w:rsidRDefault="00125E00" w:rsidP="00244B12">
      <w:pPr>
        <w:pStyle w:val="Body"/>
        <w:spacing w:before="240"/>
        <w:rPr>
          <w:b/>
          <w:color w:val="C00000"/>
        </w:rPr>
      </w:pPr>
      <w:r>
        <w:t>E</w:t>
      </w:r>
      <w:r w:rsidR="00922B27" w:rsidRPr="00D725A8">
        <w:t xml:space="preserve">n el año 2011 </w:t>
      </w:r>
      <w:r w:rsidR="00922B27">
        <w:t xml:space="preserve">se publicó una </w:t>
      </w:r>
      <w:r w:rsidR="00922B27" w:rsidRPr="00D725A8">
        <w:t xml:space="preserve">revisión que </w:t>
      </w:r>
      <w:r w:rsidR="007249CB">
        <w:t>concluía</w:t>
      </w:r>
      <w:r w:rsidR="00922B27" w:rsidRPr="00D725A8">
        <w:t xml:space="preserve"> que</w:t>
      </w:r>
      <w:r w:rsidR="00103869">
        <w:t xml:space="preserve"> </w:t>
      </w:r>
      <w:r w:rsidR="00922B27" w:rsidRPr="00D725A8">
        <w:t>la mayoría de las in</w:t>
      </w:r>
      <w:r w:rsidR="00103869">
        <w:t xml:space="preserve">iciativas habían sido </w:t>
      </w:r>
      <w:r w:rsidR="007C13A1">
        <w:t>adoptadas,</w:t>
      </w:r>
      <w:r w:rsidR="00103869">
        <w:t xml:space="preserve"> aunque con distinto grado de implantación </w:t>
      </w:r>
      <w:r w:rsidR="007249CB">
        <w:t xml:space="preserve">en los EEMM, además de </w:t>
      </w:r>
      <w:r w:rsidR="00922B27" w:rsidRPr="00D725A8">
        <w:t xml:space="preserve">nuevas </w:t>
      </w:r>
      <w:r w:rsidR="00922B27">
        <w:rPr>
          <w:b/>
        </w:rPr>
        <w:t>líneas de actuación</w:t>
      </w:r>
      <w:r w:rsidR="00922B27">
        <w:t xml:space="preserve"> con el reto de integrar la </w:t>
      </w:r>
      <w:r w:rsidR="00922B27" w:rsidRPr="00D725A8">
        <w:t xml:space="preserve">SBA dentro de la Estrategia Europa 2020. </w:t>
      </w:r>
      <w:r w:rsidR="00922B27" w:rsidRPr="00C80FFA">
        <w:t xml:space="preserve">Dentro de estas </w:t>
      </w:r>
      <w:r w:rsidR="00122163">
        <w:t>acciones</w:t>
      </w:r>
      <w:r w:rsidR="00922B27" w:rsidRPr="00C80FFA">
        <w:t xml:space="preserve"> se </w:t>
      </w:r>
      <w:r w:rsidR="00922B27">
        <w:t>incluyeron</w:t>
      </w:r>
      <w:r w:rsidR="00922B27" w:rsidRPr="00C80FFA">
        <w:t>:</w:t>
      </w:r>
    </w:p>
    <w:p w14:paraId="24FA719A" w14:textId="23FC2C5B" w:rsidR="00922B27" w:rsidRPr="00D725A8" w:rsidRDefault="00122163" w:rsidP="00757E55">
      <w:pPr>
        <w:pStyle w:val="Body"/>
        <w:numPr>
          <w:ilvl w:val="0"/>
          <w:numId w:val="31"/>
        </w:numPr>
      </w:pPr>
      <w:r>
        <w:t>f</w:t>
      </w:r>
      <w:r w:rsidR="00922B27" w:rsidRPr="00D725A8">
        <w:t>omentar el principio de “solo una vez” en</w:t>
      </w:r>
      <w:r w:rsidR="00AF0E85">
        <w:t xml:space="preserve"> los organismos administrativos;</w:t>
      </w:r>
    </w:p>
    <w:p w14:paraId="36E4DD43" w14:textId="77777777" w:rsidR="00922B27" w:rsidRPr="00D725A8" w:rsidRDefault="00922B27" w:rsidP="00757E55">
      <w:pPr>
        <w:pStyle w:val="Body"/>
        <w:numPr>
          <w:ilvl w:val="0"/>
          <w:numId w:val="31"/>
        </w:numPr>
      </w:pPr>
      <w:r w:rsidRPr="00D725A8">
        <w:t>la mejora del acceso a la financiación con el objetivo de afrontar los retos de la globalización y el cambio climático;</w:t>
      </w:r>
    </w:p>
    <w:p w14:paraId="050935A6" w14:textId="3254DF3B" w:rsidR="00922B27" w:rsidRPr="00D725A8" w:rsidRDefault="00922B27" w:rsidP="00757E55">
      <w:pPr>
        <w:pStyle w:val="Body"/>
        <w:numPr>
          <w:ilvl w:val="0"/>
          <w:numId w:val="31"/>
        </w:numPr>
      </w:pPr>
      <w:r w:rsidRPr="00D725A8">
        <w:t>la definición de una base consolidada común del impuesto de sociedades</w:t>
      </w:r>
      <w:r w:rsidR="00AF0E85">
        <w:t>.</w:t>
      </w:r>
    </w:p>
    <w:p w14:paraId="1A5665B2" w14:textId="2298463E" w:rsidR="00244B12" w:rsidRDefault="00CB3226" w:rsidP="007B3717">
      <w:pPr>
        <w:pStyle w:val="Body"/>
        <w:spacing w:after="120"/>
      </w:pPr>
      <w:r>
        <w:t xml:space="preserve">La Comisión Europea ha puesto en marcha distintos mecanismos para hacer el seguimiento de la implantación de la SBA en Europa. Por un lado, realiza un análisis anual, la SBA Fact Sheet, </w:t>
      </w:r>
      <w:r w:rsidR="00244B12">
        <w:t xml:space="preserve">consistente en </w:t>
      </w:r>
      <w:r>
        <w:t xml:space="preserve">un </w:t>
      </w:r>
      <w:r w:rsidRPr="00CB3226">
        <w:t>seguimiento por país (</w:t>
      </w:r>
      <w:r>
        <w:t xml:space="preserve">véase el </w:t>
      </w:r>
      <w:r w:rsidRPr="0081163A">
        <w:rPr>
          <w:highlight w:val="yellow"/>
        </w:rPr>
        <w:t xml:space="preserve">gráfico </w:t>
      </w:r>
      <w:r w:rsidR="00244B12">
        <w:t>6</w:t>
      </w:r>
      <w:r w:rsidRPr="00CB3226">
        <w:t>).</w:t>
      </w:r>
      <w:r>
        <w:t xml:space="preserve"> Por otro lado,</w:t>
      </w:r>
      <w:r w:rsidR="009E163E">
        <w:t xml:space="preserve"> se realiza</w:t>
      </w:r>
      <w:r>
        <w:t xml:space="preserve"> la gobernanza de la SBA </w:t>
      </w:r>
      <w:r w:rsidR="009E163E">
        <w:t>a través de</w:t>
      </w:r>
      <w:r>
        <w:t xml:space="preserve"> l</w:t>
      </w:r>
      <w:r w:rsidR="00D30545" w:rsidRPr="00D30545">
        <w:t xml:space="preserve">a Red de SME Envoys </w:t>
      </w:r>
      <w:r w:rsidR="00D30545">
        <w:t xml:space="preserve">(Enviados </w:t>
      </w:r>
      <w:r w:rsidR="00E5216D">
        <w:t xml:space="preserve">o representantes nacionales </w:t>
      </w:r>
      <w:r w:rsidR="00D30545">
        <w:t>de las PYME)</w:t>
      </w:r>
      <w:r>
        <w:t xml:space="preserve"> que</w:t>
      </w:r>
      <w:r w:rsidR="00D30545" w:rsidRPr="00D30545">
        <w:t xml:space="preserve"> tienen entre sus funciones la coordinación de los temas de PYME en el ámbito nacional</w:t>
      </w:r>
      <w:r w:rsidR="00E5216D">
        <w:t xml:space="preserve"> </w:t>
      </w:r>
      <w:r w:rsidR="00D30545" w:rsidRPr="00D30545">
        <w:t>para hacer el seguimiento de la aplicación de la SBA e informar a la Comisión de las medidas adoptadas</w:t>
      </w:r>
      <w:r w:rsidR="00E5216D">
        <w:t xml:space="preserve"> en sus respectivos países</w:t>
      </w:r>
      <w:r w:rsidR="00D30545" w:rsidRPr="00D30545">
        <w:t>.</w:t>
      </w:r>
    </w:p>
    <w:p w14:paraId="46CB8420" w14:textId="365E00E7" w:rsidR="00E3491A" w:rsidRDefault="00E3491A" w:rsidP="007B3717">
      <w:pPr>
        <w:pStyle w:val="Body"/>
        <w:spacing w:after="120"/>
      </w:pPr>
    </w:p>
    <w:p w14:paraId="4F557CA0" w14:textId="22BB24D0" w:rsidR="00E3491A" w:rsidRDefault="00E3491A" w:rsidP="007B3717">
      <w:pPr>
        <w:pStyle w:val="Body"/>
        <w:spacing w:after="120"/>
      </w:pPr>
    </w:p>
    <w:p w14:paraId="007FFCB5" w14:textId="17711821" w:rsidR="00E3491A" w:rsidRDefault="00E3491A" w:rsidP="007B3717">
      <w:pPr>
        <w:pStyle w:val="Body"/>
        <w:spacing w:after="120"/>
      </w:pPr>
    </w:p>
    <w:p w14:paraId="68B77105" w14:textId="77777777" w:rsidR="00E3491A" w:rsidRPr="00C205C4" w:rsidRDefault="00E3491A" w:rsidP="007B3717">
      <w:pPr>
        <w:pStyle w:val="Body"/>
        <w:spacing w:after="120"/>
      </w:pPr>
    </w:p>
    <w:tbl>
      <w:tblPr>
        <w:tblStyle w:val="Listamedia2"/>
        <w:tblW w:w="5000" w:type="pct"/>
        <w:tblBorders>
          <w:top w:val="none" w:sz="0" w:space="0" w:color="auto"/>
          <w:left w:val="none" w:sz="0" w:space="0" w:color="auto"/>
          <w:bottom w:val="none" w:sz="0" w:space="0" w:color="auto"/>
          <w:right w:val="none" w:sz="0" w:space="0" w:color="auto"/>
        </w:tblBorders>
        <w:tblCellMar>
          <w:top w:w="108" w:type="dxa"/>
          <w:bottom w:w="108" w:type="dxa"/>
        </w:tblCellMar>
        <w:tblLook w:val="04A0" w:firstRow="1" w:lastRow="0" w:firstColumn="1" w:lastColumn="0" w:noHBand="0" w:noVBand="1"/>
      </w:tblPr>
      <w:tblGrid>
        <w:gridCol w:w="6191"/>
        <w:gridCol w:w="2880"/>
      </w:tblGrid>
      <w:tr w:rsidR="000A338B" w:rsidRPr="007916CD" w14:paraId="70C8C7DF" w14:textId="77777777" w:rsidTr="000A338B">
        <w:trPr>
          <w:cnfStyle w:val="100000000000" w:firstRow="1" w:lastRow="0" w:firstColumn="0" w:lastColumn="0" w:oddVBand="0" w:evenVBand="0" w:oddHBand="0" w:evenHBand="0" w:firstRowFirstColumn="0" w:firstRowLastColumn="0" w:lastRowFirstColumn="0" w:lastRowLastColumn="0"/>
          <w:trHeight w:val="228"/>
        </w:trPr>
        <w:tc>
          <w:tcPr>
            <w:cnfStyle w:val="001000000100" w:firstRow="0" w:lastRow="0" w:firstColumn="1" w:lastColumn="0" w:oddVBand="0" w:evenVBand="0" w:oddHBand="0" w:evenHBand="0" w:firstRowFirstColumn="1"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tcPr>
          <w:p w14:paraId="00F276EB" w14:textId="467AC8A6" w:rsidR="000A338B" w:rsidRPr="000A338B" w:rsidRDefault="000A338B" w:rsidP="00244B12">
            <w:pPr>
              <w:pStyle w:val="Body"/>
              <w:spacing w:after="0"/>
              <w:jc w:val="center"/>
              <w:rPr>
                <w:sz w:val="18"/>
                <w:szCs w:val="18"/>
              </w:rPr>
            </w:pPr>
            <w:bookmarkStart w:id="24" w:name="_Toc526942114"/>
            <w:r w:rsidRPr="000A338B">
              <w:rPr>
                <w:sz w:val="18"/>
                <w:szCs w:val="18"/>
              </w:rPr>
              <w:lastRenderedPageBreak/>
              <w:t xml:space="preserve">Gráfico </w:t>
            </w:r>
            <w:r w:rsidRPr="000A338B">
              <w:rPr>
                <w:sz w:val="18"/>
                <w:szCs w:val="18"/>
              </w:rPr>
              <w:fldChar w:fldCharType="begin"/>
            </w:r>
            <w:r w:rsidRPr="000A338B">
              <w:rPr>
                <w:sz w:val="18"/>
                <w:szCs w:val="18"/>
              </w:rPr>
              <w:instrText xml:space="preserve"> SEQ Gráfico \* ARABIC </w:instrText>
            </w:r>
            <w:r w:rsidRPr="000A338B">
              <w:rPr>
                <w:sz w:val="18"/>
                <w:szCs w:val="18"/>
              </w:rPr>
              <w:fldChar w:fldCharType="separate"/>
            </w:r>
            <w:r w:rsidR="00764C39">
              <w:rPr>
                <w:noProof/>
                <w:sz w:val="18"/>
                <w:szCs w:val="18"/>
              </w:rPr>
              <w:t>6</w:t>
            </w:r>
            <w:r w:rsidRPr="000A338B">
              <w:rPr>
                <w:sz w:val="18"/>
                <w:szCs w:val="18"/>
              </w:rPr>
              <w:fldChar w:fldCharType="end"/>
            </w:r>
            <w:r w:rsidRPr="000A338B">
              <w:rPr>
                <w:sz w:val="18"/>
                <w:szCs w:val="18"/>
              </w:rPr>
              <w:t xml:space="preserve">. </w:t>
            </w:r>
            <w:r w:rsidR="00244B12">
              <w:rPr>
                <w:sz w:val="18"/>
                <w:szCs w:val="18"/>
              </w:rPr>
              <w:t xml:space="preserve">Ficha de </w:t>
            </w:r>
            <w:r w:rsidRPr="000A338B">
              <w:rPr>
                <w:sz w:val="18"/>
                <w:szCs w:val="18"/>
              </w:rPr>
              <w:t>España en la Small Business Act 2017</w:t>
            </w:r>
            <w:bookmarkEnd w:id="24"/>
          </w:p>
        </w:tc>
      </w:tr>
      <w:tr w:rsidR="00B700B2" w:rsidRPr="007916CD" w14:paraId="72041059" w14:textId="77777777" w:rsidTr="000A338B">
        <w:trPr>
          <w:cnfStyle w:val="000000100000" w:firstRow="0" w:lastRow="0" w:firstColumn="0" w:lastColumn="0" w:oddVBand="0" w:evenVBand="0" w:oddHBand="1" w:evenHBand="0" w:firstRowFirstColumn="0" w:firstRowLastColumn="0" w:lastRowFirstColumn="0" w:lastRowLastColumn="0"/>
          <w:trHeight w:val="3481"/>
        </w:trPr>
        <w:tc>
          <w:tcPr>
            <w:cnfStyle w:val="001000000000" w:firstRow="0" w:lastRow="0" w:firstColumn="1" w:lastColumn="0" w:oddVBand="0" w:evenVBand="0" w:oddHBand="0" w:evenHBand="0" w:firstRowFirstColumn="0" w:firstRowLastColumn="0" w:lastRowFirstColumn="0" w:lastRowLastColumn="0"/>
            <w:tcW w:w="2882" w:type="pct"/>
            <w:tcBorders>
              <w:top w:val="none" w:sz="0" w:space="0" w:color="auto"/>
              <w:left w:val="none" w:sz="0" w:space="0" w:color="auto"/>
              <w:bottom w:val="none" w:sz="0" w:space="0" w:color="auto"/>
              <w:right w:val="none" w:sz="0" w:space="0" w:color="auto"/>
            </w:tcBorders>
          </w:tcPr>
          <w:p w14:paraId="07E68C6F" w14:textId="0A9DA540" w:rsidR="00B700B2" w:rsidRPr="00E246D2" w:rsidRDefault="00F6171E" w:rsidP="00782F72">
            <w:pPr>
              <w:ind w:left="142"/>
              <w:contextualSpacing/>
              <w:jc w:val="left"/>
              <w:rPr>
                <w:rFonts w:ascii="Century Gothic" w:hAnsi="Century Gothic" w:cs="Arial"/>
                <w:color w:val="000000"/>
                <w:sz w:val="18"/>
                <w:szCs w:val="18"/>
                <w:lang w:val="es-ES"/>
              </w:rPr>
            </w:pPr>
            <w:r>
              <w:rPr>
                <w:rFonts w:eastAsia="Times New Roman" w:cs="Times New Roman"/>
                <w:color w:val="auto"/>
              </w:rPr>
              <w:object w:dxaOrig="10125" w:dyaOrig="6900" w14:anchorId="32EBAC0F">
                <v:shape id="_x0000_i1027" type="#_x0000_t75" style="width:291.6pt;height:199.75pt" o:ole="">
                  <v:imagedata r:id="rId27" o:title=""/>
                </v:shape>
                <o:OLEObject Type="Embed" ProgID="PBrush" ShapeID="_x0000_i1027" DrawAspect="Content" ObjectID="_1602306097" r:id="rId28"/>
              </w:object>
            </w:r>
          </w:p>
        </w:tc>
        <w:tc>
          <w:tcPr>
            <w:tcW w:w="2118" w:type="pct"/>
            <w:tcBorders>
              <w:top w:val="none" w:sz="0" w:space="0" w:color="auto"/>
              <w:left w:val="none" w:sz="0" w:space="0" w:color="auto"/>
              <w:bottom w:val="none" w:sz="0" w:space="0" w:color="auto"/>
            </w:tcBorders>
            <w:shd w:val="clear" w:color="auto" w:fill="auto"/>
            <w:vAlign w:val="center"/>
          </w:tcPr>
          <w:p w14:paraId="592D7BDF" w14:textId="2346861A" w:rsidR="000C666C" w:rsidRPr="000C666C" w:rsidRDefault="000C666C" w:rsidP="000C666C">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r w:rsidRPr="000C666C">
              <w:rPr>
                <w:rFonts w:ascii="Century Gothic" w:hAnsi="Century Gothic" w:cs="Arial"/>
                <w:color w:val="000000"/>
                <w:sz w:val="18"/>
                <w:szCs w:val="18"/>
                <w:lang w:val="es-ES" w:eastAsia="nl-BE"/>
              </w:rPr>
              <w:t xml:space="preserve">España puntúa por debajo de la media europea en cinco de los nueve ejes de actuación de la SBA. Hay </w:t>
            </w:r>
            <w:r w:rsidR="00F6171E">
              <w:rPr>
                <w:rFonts w:ascii="Century Gothic" w:hAnsi="Century Gothic" w:cs="Arial"/>
                <w:color w:val="000000"/>
                <w:sz w:val="18"/>
                <w:szCs w:val="18"/>
                <w:lang w:val="es-ES" w:eastAsia="nl-BE"/>
              </w:rPr>
              <w:t>cuatro</w:t>
            </w:r>
            <w:r w:rsidRPr="000C666C">
              <w:rPr>
                <w:rFonts w:ascii="Century Gothic" w:hAnsi="Century Gothic" w:cs="Arial"/>
                <w:color w:val="000000"/>
                <w:sz w:val="18"/>
                <w:szCs w:val="18"/>
                <w:lang w:val="es-ES" w:eastAsia="nl-BE"/>
              </w:rPr>
              <w:t xml:space="preserve"> áreas en l</w:t>
            </w:r>
            <w:r w:rsidR="00507688">
              <w:rPr>
                <w:rFonts w:ascii="Century Gothic" w:hAnsi="Century Gothic" w:cs="Arial"/>
                <w:color w:val="000000"/>
                <w:sz w:val="18"/>
                <w:szCs w:val="18"/>
                <w:lang w:val="es-ES" w:eastAsia="nl-BE"/>
              </w:rPr>
              <w:t>a</w:t>
            </w:r>
            <w:r w:rsidRPr="000C666C">
              <w:rPr>
                <w:rFonts w:ascii="Century Gothic" w:hAnsi="Century Gothic" w:cs="Arial"/>
                <w:color w:val="000000"/>
                <w:sz w:val="18"/>
                <w:szCs w:val="18"/>
                <w:lang w:val="es-ES" w:eastAsia="nl-BE"/>
              </w:rPr>
              <w:t>s cuales España se mantiene en la media europea:</w:t>
            </w:r>
            <w:r w:rsidR="00F6171E">
              <w:rPr>
                <w:rFonts w:ascii="Century Gothic" w:hAnsi="Century Gothic" w:cs="Arial"/>
                <w:color w:val="000000"/>
                <w:sz w:val="18"/>
                <w:szCs w:val="18"/>
                <w:lang w:val="es-ES" w:eastAsia="nl-BE"/>
              </w:rPr>
              <w:t xml:space="preserve"> ‘segunda oportunidad’,</w:t>
            </w:r>
            <w:r w:rsidRPr="000C666C">
              <w:rPr>
                <w:rFonts w:ascii="Century Gothic" w:hAnsi="Century Gothic" w:cs="Arial"/>
                <w:color w:val="000000"/>
                <w:sz w:val="18"/>
                <w:szCs w:val="18"/>
                <w:lang w:val="es-ES" w:eastAsia="nl-BE"/>
              </w:rPr>
              <w:t xml:space="preserve"> ‘cualificaciones e innovación</w:t>
            </w:r>
            <w:r w:rsidR="00B719BA" w:rsidRPr="000C666C">
              <w:rPr>
                <w:rFonts w:ascii="Century Gothic" w:hAnsi="Century Gothic" w:cs="Arial"/>
                <w:color w:val="000000"/>
                <w:sz w:val="18"/>
                <w:szCs w:val="18"/>
                <w:lang w:val="es-ES" w:eastAsia="nl-BE"/>
              </w:rPr>
              <w:t>’, ‘</w:t>
            </w:r>
            <w:r w:rsidRPr="000C666C">
              <w:rPr>
                <w:rFonts w:ascii="Century Gothic" w:hAnsi="Century Gothic" w:cs="Arial"/>
                <w:color w:val="000000"/>
                <w:sz w:val="18"/>
                <w:szCs w:val="18"/>
                <w:lang w:val="es-ES" w:eastAsia="nl-BE"/>
              </w:rPr>
              <w:t xml:space="preserve">administración responsable’ e ‘Internacionalización’. </w:t>
            </w:r>
          </w:p>
          <w:p w14:paraId="40F60D54" w14:textId="77777777" w:rsidR="000C666C" w:rsidRPr="000C666C" w:rsidRDefault="000C666C" w:rsidP="000C666C">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p>
          <w:p w14:paraId="3A6A17E6" w14:textId="2EA267FE" w:rsidR="000C666C" w:rsidRDefault="000C666C" w:rsidP="000C666C">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r w:rsidRPr="000C666C">
              <w:rPr>
                <w:rFonts w:ascii="Century Gothic" w:hAnsi="Century Gothic" w:cs="Arial"/>
                <w:color w:val="000000"/>
                <w:sz w:val="18"/>
                <w:szCs w:val="18"/>
                <w:lang w:val="es-ES" w:eastAsia="nl-BE"/>
              </w:rPr>
              <w:t>Las puntuaciones más bajas para España están en ‘Ayudas y contratación pública’</w:t>
            </w:r>
            <w:r w:rsidR="00F6171E">
              <w:rPr>
                <w:rFonts w:ascii="Century Gothic" w:hAnsi="Century Gothic" w:cs="Arial"/>
                <w:color w:val="000000"/>
                <w:sz w:val="18"/>
                <w:szCs w:val="18"/>
                <w:lang w:val="es-ES" w:eastAsia="nl-BE"/>
              </w:rPr>
              <w:t>, ‘emprendimiento</w:t>
            </w:r>
            <w:r w:rsidRPr="000C666C">
              <w:rPr>
                <w:rFonts w:ascii="Century Gothic" w:hAnsi="Century Gothic" w:cs="Arial"/>
                <w:color w:val="000000"/>
                <w:sz w:val="18"/>
                <w:szCs w:val="18"/>
                <w:lang w:val="es-ES" w:eastAsia="nl-BE"/>
              </w:rPr>
              <w:t>’</w:t>
            </w:r>
            <w:r w:rsidR="00F6171E">
              <w:rPr>
                <w:rFonts w:ascii="Century Gothic" w:hAnsi="Century Gothic" w:cs="Arial"/>
                <w:color w:val="000000"/>
                <w:sz w:val="18"/>
                <w:szCs w:val="18"/>
                <w:lang w:val="es-ES" w:eastAsia="nl-BE"/>
              </w:rPr>
              <w:t xml:space="preserve"> y ‘mercado único’</w:t>
            </w:r>
            <w:r w:rsidRPr="000C666C">
              <w:rPr>
                <w:rFonts w:ascii="Century Gothic" w:hAnsi="Century Gothic" w:cs="Arial"/>
                <w:color w:val="000000"/>
                <w:sz w:val="18"/>
                <w:szCs w:val="18"/>
                <w:lang w:val="es-ES" w:eastAsia="nl-BE"/>
              </w:rPr>
              <w:t>.</w:t>
            </w:r>
          </w:p>
          <w:p w14:paraId="378FCEE8" w14:textId="77777777" w:rsidR="005A286E" w:rsidRDefault="005A286E" w:rsidP="000C666C">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p>
          <w:p w14:paraId="33FC52DF" w14:textId="1D516DDD" w:rsidR="00B700B2" w:rsidRPr="00E246D2" w:rsidRDefault="005A286E" w:rsidP="005B3967">
            <w:pPr>
              <w:ind w:left="10"/>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eastAsia="nl-BE"/>
              </w:rPr>
              <w:t xml:space="preserve">Para información de las medidas </w:t>
            </w:r>
            <w:r w:rsidR="005B3967">
              <w:rPr>
                <w:rFonts w:ascii="Century Gothic" w:hAnsi="Century Gothic" w:cs="Arial"/>
                <w:color w:val="000000"/>
                <w:sz w:val="18"/>
                <w:szCs w:val="18"/>
                <w:lang w:val="es-ES" w:eastAsia="nl-BE"/>
              </w:rPr>
              <w:t xml:space="preserve">implementadas </w:t>
            </w:r>
            <w:r>
              <w:rPr>
                <w:rFonts w:ascii="Century Gothic" w:hAnsi="Century Gothic" w:cs="Arial"/>
                <w:color w:val="000000"/>
                <w:sz w:val="18"/>
                <w:szCs w:val="18"/>
                <w:lang w:val="es-ES" w:eastAsia="nl-BE"/>
              </w:rPr>
              <w:t>por España en el ámbito de la SBA, véase www.todoemprende.es.</w:t>
            </w:r>
          </w:p>
        </w:tc>
      </w:tr>
    </w:tbl>
    <w:p w14:paraId="111F0A01" w14:textId="77777777" w:rsidR="00463934" w:rsidRPr="00BA5E0D" w:rsidRDefault="00463934" w:rsidP="00F45999">
      <w:pPr>
        <w:pStyle w:val="Body"/>
        <w:spacing w:after="0"/>
      </w:pPr>
    </w:p>
    <w:p w14:paraId="6ECF7EC2" w14:textId="09B59EA4" w:rsidR="00D30545" w:rsidRDefault="00D30545" w:rsidP="00D30545">
      <w:pPr>
        <w:pStyle w:val="Body"/>
      </w:pPr>
      <w:r>
        <w:t xml:space="preserve">En esa función de gobernanza, la Red de SME Envoys decidió </w:t>
      </w:r>
      <w:r w:rsidR="00CB3226">
        <w:t xml:space="preserve">en los últimos años </w:t>
      </w:r>
      <w:r>
        <w:t xml:space="preserve">complementar la SBA con un Programa de Acción </w:t>
      </w:r>
      <w:r w:rsidR="007B3717">
        <w:t xml:space="preserve">como documento de trabajo, el cual </w:t>
      </w:r>
      <w:r>
        <w:t xml:space="preserve">refleja el conocimiento de esta red de </w:t>
      </w:r>
      <w:r w:rsidR="007B3717">
        <w:t xml:space="preserve">partes interesadas en </w:t>
      </w:r>
      <w:r>
        <w:t>política de PYME.</w:t>
      </w:r>
    </w:p>
    <w:p w14:paraId="293ED3BC" w14:textId="77777777" w:rsidR="00D30545" w:rsidRDefault="00D30545" w:rsidP="00D30545">
      <w:pPr>
        <w:pStyle w:val="Body"/>
      </w:pPr>
      <w:r>
        <w:t>El Programa de Acción proporciona un análisis de la situación actual y de los principales desafíos para las PYME europeas, incluidos nuevos temas como la digitalización o la economía compartida que deben abordarse en las políticas actuales de las PYME.</w:t>
      </w:r>
    </w:p>
    <w:p w14:paraId="3FD2B694" w14:textId="639C0E03" w:rsidR="00D30545" w:rsidRDefault="00D30545" w:rsidP="00D30545">
      <w:pPr>
        <w:pStyle w:val="Body"/>
      </w:pPr>
      <w:r>
        <w:t xml:space="preserve">Es un llamamiento a la Comisión Europea y a los Estados </w:t>
      </w:r>
      <w:r w:rsidR="00AF0E85">
        <w:t>M</w:t>
      </w:r>
      <w:r>
        <w:t xml:space="preserve">iembros para que se comprometan claramente con el principio de "pensar primero a pequeña escala" y para ayudar a las PYME con una agenda de políticas dedicadas a </w:t>
      </w:r>
      <w:r w:rsidR="00EF30DA">
        <w:t>l</w:t>
      </w:r>
      <w:r>
        <w:t xml:space="preserve">as </w:t>
      </w:r>
      <w:r w:rsidR="00EF30DA">
        <w:t>mismas</w:t>
      </w:r>
      <w:r>
        <w:t>.</w:t>
      </w:r>
    </w:p>
    <w:p w14:paraId="713DB2C9" w14:textId="2475F89C" w:rsidR="002C5314" w:rsidRDefault="007249CB" w:rsidP="007249CB">
      <w:pPr>
        <w:pStyle w:val="Body"/>
      </w:pPr>
      <w:r>
        <w:t>Dicho</w:t>
      </w:r>
      <w:r w:rsidR="00D30545">
        <w:t xml:space="preserve"> Programa </w:t>
      </w:r>
      <w:r>
        <w:t>cubre siete áreas: mejora de la regulación; i</w:t>
      </w:r>
      <w:r w:rsidR="005F37AF">
        <w:t>nternacion</w:t>
      </w:r>
      <w:r>
        <w:t>alización; acceso a la financiación; e</w:t>
      </w:r>
      <w:r w:rsidR="00466D7F" w:rsidRPr="002C5314">
        <w:t>mprendimiento</w:t>
      </w:r>
      <w:r>
        <w:t>; ha</w:t>
      </w:r>
      <w:r w:rsidR="002C5314" w:rsidRPr="002C5314">
        <w:t>bilidades y formación</w:t>
      </w:r>
      <w:r>
        <w:t xml:space="preserve"> y digitalización.</w:t>
      </w:r>
    </w:p>
    <w:p w14:paraId="0D2A85C5" w14:textId="77777777" w:rsidR="00C05786" w:rsidRPr="00322EC0" w:rsidRDefault="00C05786" w:rsidP="005856E3">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25" w:name="_Toc527630337"/>
      <w:r w:rsidRPr="00322EC0">
        <w:rPr>
          <w:rFonts w:cs="Arial"/>
          <w:color w:val="003399"/>
          <w:sz w:val="28"/>
          <w:szCs w:val="22"/>
          <w:lang w:val="es-ES"/>
        </w:rPr>
        <w:lastRenderedPageBreak/>
        <w:t>Marco Estratégico</w:t>
      </w:r>
      <w:bookmarkEnd w:id="25"/>
    </w:p>
    <w:p w14:paraId="193DAF70" w14:textId="640AAA01" w:rsidR="00B700B2" w:rsidRDefault="00B700B2" w:rsidP="00B700B2">
      <w:pPr>
        <w:pStyle w:val="Body"/>
      </w:pPr>
      <w:r>
        <w:t xml:space="preserve">El objetivo de definir un marco estratégico en materia de PYME es establecer una serie de actuaciones que permitan mejorar la capacidad competitiva de las </w:t>
      </w:r>
      <w:r w:rsidR="001B28DA">
        <w:t>empresas,</w:t>
      </w:r>
      <w:r>
        <w:t xml:space="preserve"> así como contribuir a crear un clima adecuado para favorecer su crecimiento. Para ello, el marco establece una serie de ámbitos de actuación o palancas. </w:t>
      </w:r>
    </w:p>
    <w:p w14:paraId="6E80147B" w14:textId="12467528" w:rsidR="00B700B2" w:rsidRPr="00111CEC" w:rsidRDefault="00B700B2" w:rsidP="00B700B2">
      <w:pPr>
        <w:pStyle w:val="Body"/>
      </w:pPr>
      <w:r>
        <w:t>Las</w:t>
      </w:r>
      <w:r w:rsidRPr="00111CEC">
        <w:t xml:space="preserve"> palancas </w:t>
      </w:r>
      <w:r>
        <w:t xml:space="preserve">identificadas </w:t>
      </w:r>
      <w:r w:rsidRPr="00111CEC">
        <w:t>han sido resultado de</w:t>
      </w:r>
      <w:r>
        <w:t xml:space="preserve"> </w:t>
      </w:r>
      <w:r w:rsidRPr="00111CEC">
        <w:t>l</w:t>
      </w:r>
      <w:r>
        <w:t>a reflexión y el</w:t>
      </w:r>
      <w:r w:rsidRPr="00111CEC">
        <w:t xml:space="preserve"> análisis</w:t>
      </w:r>
      <w:r>
        <w:t xml:space="preserve"> apoyado en </w:t>
      </w:r>
      <w:r w:rsidRPr="00111CEC">
        <w:t>l</w:t>
      </w:r>
      <w:r>
        <w:t>o</w:t>
      </w:r>
      <w:r w:rsidRPr="00111CEC">
        <w:t xml:space="preserve">s siguientes </w:t>
      </w:r>
      <w:r>
        <w:t>elementos</w:t>
      </w:r>
      <w:r w:rsidRPr="00111CEC">
        <w:t>:</w:t>
      </w:r>
    </w:p>
    <w:p w14:paraId="429EA6BF" w14:textId="4397FE3D" w:rsidR="00B700B2" w:rsidRPr="00111CEC" w:rsidRDefault="00B700B2" w:rsidP="004E3C0C">
      <w:pPr>
        <w:pStyle w:val="Body"/>
        <w:numPr>
          <w:ilvl w:val="0"/>
          <w:numId w:val="47"/>
        </w:numPr>
        <w:spacing w:after="80"/>
        <w:ind w:left="714" w:hanging="357"/>
      </w:pPr>
      <w:r w:rsidRPr="00111CEC">
        <w:t>La Small Business Act junto con su Programa de Acción</w:t>
      </w:r>
      <w:r w:rsidR="00355F08">
        <w:t>.</w:t>
      </w:r>
    </w:p>
    <w:p w14:paraId="5B6FD529" w14:textId="79AF8191" w:rsidR="00B700B2" w:rsidRPr="00111CEC" w:rsidRDefault="00B700B2" w:rsidP="004E3C0C">
      <w:pPr>
        <w:pStyle w:val="Body"/>
        <w:numPr>
          <w:ilvl w:val="0"/>
          <w:numId w:val="47"/>
        </w:numPr>
        <w:spacing w:after="80"/>
        <w:ind w:left="714" w:hanging="357"/>
      </w:pPr>
      <w:r>
        <w:t>El benchmarking de l</w:t>
      </w:r>
      <w:r w:rsidRPr="00111CEC">
        <w:t xml:space="preserve">as políticas </w:t>
      </w:r>
      <w:r w:rsidR="007B3717">
        <w:t>realizadas</w:t>
      </w:r>
      <w:r w:rsidRPr="00111CEC">
        <w:t xml:space="preserve"> en España y </w:t>
      </w:r>
      <w:r>
        <w:t>en</w:t>
      </w:r>
      <w:r w:rsidRPr="00111CEC">
        <w:t xml:space="preserve"> otros países europeos.</w:t>
      </w:r>
    </w:p>
    <w:p w14:paraId="6C5175AF" w14:textId="33881E7C" w:rsidR="00B700B2" w:rsidRPr="00111CEC" w:rsidRDefault="00B700B2" w:rsidP="004E3C0C">
      <w:pPr>
        <w:pStyle w:val="Body"/>
        <w:numPr>
          <w:ilvl w:val="0"/>
          <w:numId w:val="47"/>
        </w:numPr>
        <w:spacing w:after="240"/>
        <w:ind w:left="714" w:hanging="357"/>
      </w:pPr>
      <w:r w:rsidRPr="00111CEC">
        <w:t>La</w:t>
      </w:r>
      <w:r>
        <w:t xml:space="preserve">s </w:t>
      </w:r>
      <w:r w:rsidR="00E957C6">
        <w:t>conclusiones derivadas</w:t>
      </w:r>
      <w:r>
        <w:t xml:space="preserve"> de </w:t>
      </w:r>
      <w:r w:rsidR="007B3717">
        <w:t>una serie de</w:t>
      </w:r>
      <w:r>
        <w:t xml:space="preserve"> </w:t>
      </w:r>
      <w:r w:rsidRPr="00111CEC">
        <w:t>grupos de trabajo</w:t>
      </w:r>
      <w:r>
        <w:t xml:space="preserve"> </w:t>
      </w:r>
      <w:r w:rsidR="007B3717">
        <w:t>con expertos</w:t>
      </w:r>
      <w:r w:rsidRPr="00111CEC">
        <w:t xml:space="preserve">.  </w:t>
      </w:r>
    </w:p>
    <w:p w14:paraId="6F6ACFFF" w14:textId="505556A0" w:rsidR="00122A1C" w:rsidRPr="00B80C8C" w:rsidRDefault="00122A1C" w:rsidP="00F26B1C">
      <w:pPr>
        <w:pStyle w:val="Body"/>
        <w:rPr>
          <w:lang w:eastAsia="es-ES"/>
        </w:rPr>
      </w:pPr>
      <w:r w:rsidRPr="00B80C8C">
        <w:t>Como resultado de este exhaustivo examen se han identificado siete palancas que integran en su conjunto los ámbitos de actuación que van a constituir los pilares que guíen la formulación y ejecución de la política de PYME. El diagnóstico de la situación</w:t>
      </w:r>
      <w:r w:rsidR="00122163">
        <w:t xml:space="preserve"> de cada palanca</w:t>
      </w:r>
      <w:r w:rsidRPr="00B80C8C">
        <w:t xml:space="preserve"> ha permitido identificar los ámbitos donde actuar </w:t>
      </w:r>
      <w:r w:rsidR="00122163">
        <w:t xml:space="preserve">y </w:t>
      </w:r>
      <w:r w:rsidRPr="00B80C8C">
        <w:t xml:space="preserve">para cuya valoración se han estudiado los principales factores (variables, retos, barreras, etc.) que delimitan cada uno de los mismos. Fruto del análisis de cada palanca deriva </w:t>
      </w:r>
      <w:r w:rsidR="007B3717">
        <w:t>una serie</w:t>
      </w:r>
      <w:r w:rsidRPr="00B80C8C">
        <w:t xml:space="preserve"> de líneas de actuación que incidan en el desarrollo de todas las PYME y no se centren en un sector específico. </w:t>
      </w:r>
    </w:p>
    <w:p w14:paraId="6FBA61BF" w14:textId="77777777" w:rsidR="00122A1C" w:rsidRPr="00B80C8C" w:rsidRDefault="00122A1C" w:rsidP="00F26B1C">
      <w:pPr>
        <w:pStyle w:val="Body"/>
      </w:pPr>
      <w:r w:rsidRPr="00B80C8C">
        <w:t>En este contexto, el Marco Estratégico propone actuar en las siguientes palancas o ámbitos:</w:t>
      </w:r>
    </w:p>
    <w:p w14:paraId="4541B586" w14:textId="77777777" w:rsidR="00B700B2" w:rsidRDefault="00B700B2" w:rsidP="00757E55">
      <w:pPr>
        <w:pStyle w:val="Body"/>
        <w:numPr>
          <w:ilvl w:val="0"/>
          <w:numId w:val="36"/>
        </w:numPr>
        <w:spacing w:after="80"/>
        <w:ind w:left="714" w:hanging="357"/>
      </w:pPr>
      <w:r>
        <w:t>Emprendimiento.</w:t>
      </w:r>
    </w:p>
    <w:p w14:paraId="04DDA58F" w14:textId="77777777" w:rsidR="00B700B2" w:rsidRDefault="00B700B2" w:rsidP="00757E55">
      <w:pPr>
        <w:pStyle w:val="Body"/>
        <w:numPr>
          <w:ilvl w:val="0"/>
          <w:numId w:val="36"/>
        </w:numPr>
        <w:spacing w:after="80"/>
      </w:pPr>
      <w:r>
        <w:t>Gestión empresarial y talento.</w:t>
      </w:r>
    </w:p>
    <w:p w14:paraId="46250430" w14:textId="77777777" w:rsidR="00B700B2" w:rsidRDefault="00B700B2" w:rsidP="00757E55">
      <w:pPr>
        <w:pStyle w:val="Body"/>
        <w:numPr>
          <w:ilvl w:val="0"/>
          <w:numId w:val="36"/>
        </w:numPr>
        <w:spacing w:after="80"/>
      </w:pPr>
      <w:r>
        <w:t>Marco regulatorio.</w:t>
      </w:r>
    </w:p>
    <w:p w14:paraId="151E89D8" w14:textId="77777777" w:rsidR="00B700B2" w:rsidRDefault="00B700B2" w:rsidP="00757E55">
      <w:pPr>
        <w:pStyle w:val="Body"/>
        <w:numPr>
          <w:ilvl w:val="0"/>
          <w:numId w:val="36"/>
        </w:numPr>
        <w:spacing w:after="80"/>
      </w:pPr>
      <w:r>
        <w:t>Financiación.</w:t>
      </w:r>
    </w:p>
    <w:p w14:paraId="4F9AE63B" w14:textId="77777777" w:rsidR="00B700B2" w:rsidRDefault="00B700B2" w:rsidP="00757E55">
      <w:pPr>
        <w:pStyle w:val="Body"/>
        <w:numPr>
          <w:ilvl w:val="0"/>
          <w:numId w:val="36"/>
        </w:numPr>
        <w:spacing w:after="80"/>
      </w:pPr>
      <w:r>
        <w:t>Innovación y digitalización.</w:t>
      </w:r>
    </w:p>
    <w:p w14:paraId="047F3935" w14:textId="77777777" w:rsidR="00B700B2" w:rsidRDefault="00B700B2" w:rsidP="00757E55">
      <w:pPr>
        <w:pStyle w:val="Body"/>
        <w:numPr>
          <w:ilvl w:val="0"/>
          <w:numId w:val="36"/>
        </w:numPr>
        <w:spacing w:after="80"/>
      </w:pPr>
      <w:r>
        <w:t>Sostenibilidad.</w:t>
      </w:r>
    </w:p>
    <w:p w14:paraId="1FC25C94" w14:textId="77777777" w:rsidR="00B700B2" w:rsidRDefault="00B700B2" w:rsidP="00757E55">
      <w:pPr>
        <w:pStyle w:val="Body"/>
        <w:numPr>
          <w:ilvl w:val="0"/>
          <w:numId w:val="36"/>
        </w:numPr>
        <w:ind w:left="714" w:hanging="357"/>
      </w:pPr>
      <w:r>
        <w:t>Internacionalización.</w:t>
      </w:r>
    </w:p>
    <w:p w14:paraId="4AA41388" w14:textId="039E5D65" w:rsidR="00630390" w:rsidRDefault="00122A1C" w:rsidP="00B700B2">
      <w:pPr>
        <w:pStyle w:val="Body"/>
      </w:pPr>
      <w:r w:rsidRPr="00122A1C">
        <w:t>En definitiva, con la definición de estas siete palancas se pretende eliminar carencias, complementar actuaciones anteriores, perseverar en las políticas que están dando frutos, así como poner en marcha nuevas actuaciones. Todo ello, con el objetivo de abordar las necesidades de las PYME y de impulsar una política nacional de PYME que tenga en cuenta el contexto mundial dinámico, caracterizado por continuos cambios estructurales y una cada vez mayor presión competitiva.</w:t>
      </w:r>
      <w:r w:rsidR="00F26B1C">
        <w:t xml:space="preserve"> </w:t>
      </w:r>
    </w:p>
    <w:p w14:paraId="70894079" w14:textId="1DD7E28E" w:rsidR="00647785" w:rsidRDefault="00647785" w:rsidP="00B700B2">
      <w:pPr>
        <w:pStyle w:val="Body"/>
      </w:pPr>
    </w:p>
    <w:p w14:paraId="3026CF74" w14:textId="77777777" w:rsidR="00361F07" w:rsidRDefault="00361F07">
      <w:pPr>
        <w:spacing w:after="0"/>
        <w:jc w:val="left"/>
        <w:rPr>
          <w:rFonts w:ascii="Century Gothic" w:hAnsi="Century Gothic" w:cs="Arial"/>
          <w:b/>
          <w:color w:val="003399"/>
          <w:sz w:val="24"/>
          <w:lang w:val="es-ES"/>
        </w:rPr>
      </w:pPr>
      <w:r>
        <w:rPr>
          <w:rFonts w:cs="Arial"/>
          <w:color w:val="003399"/>
          <w:sz w:val="24"/>
          <w:lang w:val="es-ES"/>
        </w:rPr>
        <w:br w:type="page"/>
      </w:r>
    </w:p>
    <w:p w14:paraId="010A97C2" w14:textId="4D116A46" w:rsidR="00E14754" w:rsidRPr="00647785" w:rsidRDefault="00647785" w:rsidP="00647785">
      <w:pPr>
        <w:pStyle w:val="Ttulo2"/>
        <w:keepLines/>
        <w:numPr>
          <w:ilvl w:val="1"/>
          <w:numId w:val="28"/>
        </w:numPr>
        <w:spacing w:after="120" w:line="276" w:lineRule="auto"/>
        <w:rPr>
          <w:rFonts w:cs="Arial"/>
          <w:color w:val="003399"/>
          <w:sz w:val="24"/>
          <w:lang w:val="es-ES"/>
        </w:rPr>
      </w:pPr>
      <w:bookmarkStart w:id="26" w:name="_Toc527630338"/>
      <w:r>
        <w:rPr>
          <w:rFonts w:cs="Arial"/>
          <w:color w:val="003399"/>
          <w:sz w:val="24"/>
          <w:lang w:val="es-ES"/>
        </w:rPr>
        <w:lastRenderedPageBreak/>
        <w:t>Emprendimiento</w:t>
      </w:r>
      <w:bookmarkEnd w:id="26"/>
    </w:p>
    <w:p w14:paraId="0E6C8F33" w14:textId="77777777" w:rsidR="00B1445A" w:rsidRDefault="00B1445A" w:rsidP="00325154">
      <w:pPr>
        <w:pStyle w:val="Ttulo3"/>
      </w:pPr>
      <w:bookmarkStart w:id="27" w:name="_Toc527630339"/>
      <w:r>
        <w:t>Marco conceptual</w:t>
      </w:r>
      <w:r w:rsidR="00690FF3">
        <w:t xml:space="preserve"> y diagnóstico</w:t>
      </w:r>
      <w:bookmarkEnd w:id="27"/>
    </w:p>
    <w:p w14:paraId="5F7833BC" w14:textId="414F2382" w:rsidR="00B700B2" w:rsidRDefault="00B700B2" w:rsidP="00B700B2">
      <w:pPr>
        <w:pStyle w:val="Body"/>
      </w:pPr>
      <w:r w:rsidRPr="00E44CB8">
        <w:t xml:space="preserve">Cualquier economía, desde la más tradicional hasta la más tecnológica, es necesariamente una economía basada en el conocimiento de los individuos. El capital humano es un factor clave en la especialización y por tanto esencial para aumentar la productividad, el tamaño empresarial y, por ende, dinamizar el crecimiento económico de un país.  </w:t>
      </w:r>
    </w:p>
    <w:p w14:paraId="52A1A9D5" w14:textId="640A7DED" w:rsidR="00B700B2" w:rsidRPr="002A2DCD" w:rsidRDefault="00B700B2" w:rsidP="002A2DCD">
      <w:pPr>
        <w:pStyle w:val="Body"/>
      </w:pPr>
      <w:r>
        <w:t xml:space="preserve">Aunque existen múltiples definiciones de emprendimiento y emprendedor, todos los estudios </w:t>
      </w:r>
      <w:r w:rsidRPr="00663F81">
        <w:t xml:space="preserve">y publicaciones coinciden en considerar que es un importante motor de crecimiento económico y de creación de empleo. </w:t>
      </w:r>
      <w:r w:rsidR="00B56154">
        <w:t>Así</w:t>
      </w:r>
      <w:r w:rsidRPr="00663F81">
        <w:t xml:space="preserve">, los impactos más significativos que la literatura económica asigna a los ecosistemas </w:t>
      </w:r>
      <w:r w:rsidR="002A2DCD">
        <w:t>emprendedores</w:t>
      </w:r>
      <w:r w:rsidRPr="00663F81">
        <w:t xml:space="preserve"> más dinámicos </w:t>
      </w:r>
      <w:r w:rsidR="002A2DCD">
        <w:t xml:space="preserve">se refieren a que </w:t>
      </w:r>
      <w:r w:rsidRPr="002A2DCD">
        <w:t>propicia</w:t>
      </w:r>
      <w:r w:rsidR="002A2DCD" w:rsidRPr="002A2DCD">
        <w:t>n</w:t>
      </w:r>
      <w:r w:rsidRPr="002A2DCD">
        <w:t xml:space="preserve"> la innovación en sentido amplio, considerando no sólo aspectos tecnológicos, sino proponiendo nuev</w:t>
      </w:r>
      <w:r w:rsidR="002A2DCD" w:rsidRPr="002A2DCD">
        <w:t>os planteamientos y soluciones.</w:t>
      </w:r>
    </w:p>
    <w:p w14:paraId="78634638" w14:textId="50FC1B12" w:rsidR="00B700B2" w:rsidRPr="002A2DCD" w:rsidRDefault="002A2DCD" w:rsidP="002A2DCD">
      <w:pPr>
        <w:pStyle w:val="Body"/>
      </w:pPr>
      <w:r w:rsidRPr="002A2DCD">
        <w:t xml:space="preserve">Además, generan empleo de </w:t>
      </w:r>
      <w:r w:rsidR="00D53A6C" w:rsidRPr="002A2DCD">
        <w:t>calidad,</w:t>
      </w:r>
      <w:r w:rsidRPr="002A2DCD">
        <w:t xml:space="preserve"> </w:t>
      </w:r>
      <w:r w:rsidR="00122163">
        <w:t xml:space="preserve">y </w:t>
      </w:r>
      <w:r w:rsidRPr="002A2DCD">
        <w:t xml:space="preserve">favorecen </w:t>
      </w:r>
      <w:r w:rsidR="00B700B2" w:rsidRPr="002A2DCD">
        <w:t>la captación de talento internacional</w:t>
      </w:r>
      <w:r w:rsidR="00877B9E" w:rsidRPr="002A2DCD">
        <w:t xml:space="preserve"> y de </w:t>
      </w:r>
      <w:r w:rsidR="00322EC0" w:rsidRPr="002A2DCD">
        <w:t>capital extranjero</w:t>
      </w:r>
      <w:r w:rsidR="00B700B2" w:rsidRPr="002A2DCD">
        <w:t>, que de forma creciente busca oportunidades de</w:t>
      </w:r>
      <w:r w:rsidRPr="002A2DCD">
        <w:t xml:space="preserve"> inversión en mercados globales</w:t>
      </w:r>
      <w:r w:rsidR="00B56154">
        <w:t xml:space="preserve">. </w:t>
      </w:r>
      <w:r w:rsidRPr="002A2DCD">
        <w:t xml:space="preserve">También </w:t>
      </w:r>
      <w:r w:rsidR="00122163">
        <w:t>impulsan</w:t>
      </w:r>
      <w:r w:rsidRPr="002A2DCD">
        <w:t xml:space="preserve"> la modernización de sectores económicos más tradicionales y </w:t>
      </w:r>
      <w:r w:rsidR="00B700B2" w:rsidRPr="002A2DCD">
        <w:t>estimulan la competencia a partir de nuevos modelos de negocio basados en la economía colaborativa.</w:t>
      </w:r>
    </w:p>
    <w:p w14:paraId="1389C968" w14:textId="20B95D40" w:rsidR="00B700B2" w:rsidRPr="00663F81" w:rsidRDefault="00B700B2" w:rsidP="00B700B2">
      <w:pPr>
        <w:pStyle w:val="Body"/>
      </w:pPr>
      <w:r w:rsidRPr="00663F81">
        <w:t>De ahí</w:t>
      </w:r>
      <w:r w:rsidR="002A2DCD">
        <w:t>,</w:t>
      </w:r>
      <w:r w:rsidRPr="00663F81">
        <w:t xml:space="preserve"> la importancia para cualquier estrategia </w:t>
      </w:r>
      <w:r w:rsidR="002A2DCD">
        <w:t>de</w:t>
      </w:r>
      <w:r w:rsidRPr="00663F81">
        <w:t xml:space="preserve"> apoyo a la pyme </w:t>
      </w:r>
      <w:r w:rsidR="002A2DCD">
        <w:t>el</w:t>
      </w:r>
      <w:r w:rsidRPr="00663F81">
        <w:t xml:space="preserve"> incorporar necesariamente, como palanca específica de actuación, el apoyo</w:t>
      </w:r>
      <w:r w:rsidR="001530D1">
        <w:t xml:space="preserve"> al emprendimiento </w:t>
      </w:r>
      <w:r w:rsidRPr="00663F81">
        <w:t xml:space="preserve">como </w:t>
      </w:r>
      <w:r w:rsidR="001530D1">
        <w:t xml:space="preserve">base </w:t>
      </w:r>
      <w:r w:rsidRPr="00663F81">
        <w:t>para propiciar una economía más innovadora, dinámica y competitiva.</w:t>
      </w:r>
    </w:p>
    <w:p w14:paraId="59A7E97D" w14:textId="48FF1A0A" w:rsidR="00B700B2" w:rsidRDefault="00D74AF3" w:rsidP="00B56154">
      <w:pPr>
        <w:pStyle w:val="Body"/>
      </w:pPr>
      <w:r>
        <w:rPr>
          <w:rFonts w:cs="Arial"/>
        </w:rPr>
        <w:t>E</w:t>
      </w:r>
      <w:r w:rsidR="00B700B2">
        <w:rPr>
          <w:rFonts w:cs="Arial"/>
        </w:rPr>
        <w:t xml:space="preserve">l informe </w:t>
      </w:r>
      <w:r w:rsidR="00B700B2" w:rsidRPr="0028473D">
        <w:rPr>
          <w:rFonts w:cs="Arial"/>
        </w:rPr>
        <w:t>GEM</w:t>
      </w:r>
      <w:r w:rsidR="00122163">
        <w:rPr>
          <w:rFonts w:cs="Arial"/>
        </w:rPr>
        <w:t xml:space="preserve"> </w:t>
      </w:r>
      <w:r w:rsidR="00B56154">
        <w:rPr>
          <w:rFonts w:cs="Arial"/>
        </w:rPr>
        <w:t>indica que a</w:t>
      </w:r>
      <w:r w:rsidR="00B700B2">
        <w:rPr>
          <w:rFonts w:cs="Arial"/>
        </w:rPr>
        <w:t xml:space="preserve"> los espa</w:t>
      </w:r>
      <w:r w:rsidR="00B700B2" w:rsidRPr="0028473D">
        <w:rPr>
          <w:rFonts w:cs="Arial"/>
        </w:rPr>
        <w:t xml:space="preserve">ñoles </w:t>
      </w:r>
      <w:r w:rsidR="00B700B2">
        <w:rPr>
          <w:rFonts w:cs="Arial"/>
        </w:rPr>
        <w:t xml:space="preserve">entre 18 y 64 años les cuesta </w:t>
      </w:r>
      <w:r w:rsidR="00B700B2" w:rsidRPr="0028473D">
        <w:rPr>
          <w:rFonts w:cs="Arial"/>
        </w:rPr>
        <w:t>percib</w:t>
      </w:r>
      <w:r w:rsidR="00B700B2">
        <w:rPr>
          <w:rFonts w:cs="Arial"/>
        </w:rPr>
        <w:t>ir</w:t>
      </w:r>
      <w:r w:rsidR="00B700B2" w:rsidRPr="0028473D">
        <w:rPr>
          <w:rFonts w:cs="Arial"/>
        </w:rPr>
        <w:t xml:space="preserve"> oportunidades de emprendimi</w:t>
      </w:r>
      <w:r w:rsidR="00B700B2">
        <w:rPr>
          <w:rFonts w:cs="Arial"/>
        </w:rPr>
        <w:t>ento en su entorno,</w:t>
      </w:r>
      <w:r w:rsidR="00122163">
        <w:rPr>
          <w:rFonts w:cs="Arial"/>
        </w:rPr>
        <w:t xml:space="preserve"> y</w:t>
      </w:r>
      <w:r w:rsidR="00B700B2">
        <w:rPr>
          <w:rFonts w:cs="Arial"/>
        </w:rPr>
        <w:t xml:space="preserve"> sólo un </w:t>
      </w:r>
      <w:r w:rsidR="005D70DB">
        <w:rPr>
          <w:rFonts w:cs="Arial"/>
        </w:rPr>
        <w:t>32</w:t>
      </w:r>
      <w:r w:rsidR="00B700B2">
        <w:rPr>
          <w:rFonts w:cs="Arial"/>
        </w:rPr>
        <w:t xml:space="preserve">% lo hacen. Es </w:t>
      </w:r>
      <w:r w:rsidR="00B700B2" w:rsidRPr="0028473D">
        <w:rPr>
          <w:rFonts w:cs="Arial"/>
        </w:rPr>
        <w:t xml:space="preserve">uno de los datos más bajos de la UE. </w:t>
      </w:r>
      <w:r w:rsidR="00B56154">
        <w:rPr>
          <w:rFonts w:cs="Arial"/>
        </w:rPr>
        <w:t xml:space="preserve">Por otro lado, </w:t>
      </w:r>
      <w:r w:rsidR="00532922">
        <w:rPr>
          <w:rFonts w:cs="Arial"/>
        </w:rPr>
        <w:t>no llega al</w:t>
      </w:r>
      <w:r w:rsidR="00B700B2" w:rsidRPr="00224469">
        <w:rPr>
          <w:rFonts w:cs="Arial"/>
        </w:rPr>
        <w:t xml:space="preserve"> 5</w:t>
      </w:r>
      <w:r w:rsidR="002A2DCD">
        <w:rPr>
          <w:rFonts w:cs="Arial"/>
        </w:rPr>
        <w:t xml:space="preserve">0% de la población (entre 18 y </w:t>
      </w:r>
      <w:r w:rsidR="00B700B2" w:rsidRPr="00224469">
        <w:rPr>
          <w:rFonts w:cs="Arial"/>
        </w:rPr>
        <w:t xml:space="preserve">64 años) </w:t>
      </w:r>
      <w:r w:rsidR="00532922">
        <w:rPr>
          <w:rFonts w:cs="Arial"/>
        </w:rPr>
        <w:t>lo</w:t>
      </w:r>
      <w:r w:rsidR="00E64529">
        <w:rPr>
          <w:rFonts w:cs="Arial"/>
        </w:rPr>
        <w:t>s</w:t>
      </w:r>
      <w:r w:rsidR="00532922">
        <w:rPr>
          <w:rFonts w:cs="Arial"/>
        </w:rPr>
        <w:t xml:space="preserve"> que </w:t>
      </w:r>
      <w:r w:rsidR="00B700B2" w:rsidRPr="00224469">
        <w:rPr>
          <w:rFonts w:cs="Arial"/>
        </w:rPr>
        <w:t>está</w:t>
      </w:r>
      <w:r w:rsidR="00532922">
        <w:rPr>
          <w:rFonts w:cs="Arial"/>
        </w:rPr>
        <w:t>n</w:t>
      </w:r>
      <w:r w:rsidR="00B700B2" w:rsidRPr="00224469">
        <w:rPr>
          <w:rFonts w:cs="Arial"/>
        </w:rPr>
        <w:t xml:space="preserve"> de acuerdo con el status de éxito que se les da a los emprendedores y, únicamente, el </w:t>
      </w:r>
      <w:r w:rsidR="00532922">
        <w:rPr>
          <w:rFonts w:cs="Arial"/>
        </w:rPr>
        <w:t>6</w:t>
      </w:r>
      <w:r w:rsidR="00B700B2" w:rsidRPr="00224469">
        <w:rPr>
          <w:rFonts w:cs="Arial"/>
        </w:rPr>
        <w:t>,</w:t>
      </w:r>
      <w:r w:rsidR="00532922">
        <w:rPr>
          <w:rFonts w:cs="Arial"/>
        </w:rPr>
        <w:t>8</w:t>
      </w:r>
      <w:r w:rsidR="00B700B2" w:rsidRPr="00224469">
        <w:rPr>
          <w:rFonts w:cs="Arial"/>
        </w:rPr>
        <w:t xml:space="preserve">% </w:t>
      </w:r>
      <w:r w:rsidR="00B700B2" w:rsidRPr="00690FF3">
        <w:t>tiene intención de emprender en los próximos tres años</w:t>
      </w:r>
      <w:r w:rsidR="002A2DCD">
        <w:t>,</w:t>
      </w:r>
      <w:r w:rsidR="00B700B2" w:rsidRPr="00690FF3">
        <w:t xml:space="preserve"> </w:t>
      </w:r>
      <w:r w:rsidR="00E64529">
        <w:rPr>
          <w:rFonts w:cs="Arial"/>
        </w:rPr>
        <w:t>lejos de la media de la UE</w:t>
      </w:r>
      <w:r w:rsidR="00B56154">
        <w:rPr>
          <w:rFonts w:cs="Arial"/>
        </w:rPr>
        <w:t xml:space="preserve"> (</w:t>
      </w:r>
      <w:r w:rsidR="00B56154" w:rsidRPr="00244B12">
        <w:rPr>
          <w:rFonts w:cs="Arial"/>
          <w:highlight w:val="yellow"/>
        </w:rPr>
        <w:t xml:space="preserve">tabla </w:t>
      </w:r>
      <w:r w:rsidR="00244B12" w:rsidRPr="00244B12">
        <w:rPr>
          <w:rFonts w:cs="Arial"/>
          <w:highlight w:val="yellow"/>
        </w:rPr>
        <w:t>8</w:t>
      </w:r>
      <w:r w:rsidR="00B56154">
        <w:rPr>
          <w:rFonts w:cs="Arial"/>
        </w:rPr>
        <w:t>)</w:t>
      </w:r>
      <w:r w:rsidR="00B700B2" w:rsidRPr="00690FF3">
        <w:rPr>
          <w:rFonts w:cs="Arial"/>
        </w:rPr>
        <w:t>.</w:t>
      </w:r>
      <w:r w:rsidR="00B700B2" w:rsidRPr="00690FF3">
        <w:t xml:space="preserve"> </w:t>
      </w:r>
    </w:p>
    <w:p w14:paraId="579FA565" w14:textId="1E5C6B4E" w:rsidR="00B700B2" w:rsidRPr="00EC0FDC" w:rsidRDefault="00B700B2" w:rsidP="00B700B2">
      <w:pPr>
        <w:pStyle w:val="Descripcin1"/>
        <w:rPr>
          <w:b w:val="0"/>
        </w:rPr>
      </w:pPr>
      <w:bookmarkStart w:id="28" w:name="_Toc500783359"/>
      <w:bookmarkStart w:id="29" w:name="_Toc526515598"/>
      <w:r w:rsidRPr="008B6C6C">
        <w:rPr>
          <w:b w:val="0"/>
        </w:rPr>
        <w:t xml:space="preserve">Tabla </w:t>
      </w:r>
      <w:r w:rsidRPr="008B6C6C">
        <w:rPr>
          <w:b w:val="0"/>
        </w:rPr>
        <w:fldChar w:fldCharType="begin"/>
      </w:r>
      <w:r w:rsidRPr="008B6C6C">
        <w:rPr>
          <w:b w:val="0"/>
        </w:rPr>
        <w:instrText xml:space="preserve"> SEQ Tabla \* ARABIC </w:instrText>
      </w:r>
      <w:r w:rsidRPr="008B6C6C">
        <w:rPr>
          <w:b w:val="0"/>
        </w:rPr>
        <w:fldChar w:fldCharType="separate"/>
      </w:r>
      <w:r w:rsidR="00764C39">
        <w:rPr>
          <w:b w:val="0"/>
          <w:noProof/>
        </w:rPr>
        <w:t>8</w:t>
      </w:r>
      <w:r w:rsidRPr="008B6C6C">
        <w:rPr>
          <w:b w:val="0"/>
        </w:rPr>
        <w:fldChar w:fldCharType="end"/>
      </w:r>
      <w:r w:rsidRPr="008B6C6C">
        <w:rPr>
          <w:b w:val="0"/>
        </w:rPr>
        <w:t>. Indicadores de emprendimiento</w:t>
      </w:r>
      <w:bookmarkEnd w:id="28"/>
      <w:bookmarkEnd w:id="29"/>
    </w:p>
    <w:tbl>
      <w:tblPr>
        <w:tblStyle w:val="Listamedia2"/>
        <w:tblW w:w="5095" w:type="pct"/>
        <w:tblCellMar>
          <w:top w:w="57" w:type="dxa"/>
          <w:bottom w:w="57" w:type="dxa"/>
        </w:tblCellMar>
        <w:tblLook w:val="04A0" w:firstRow="1" w:lastRow="0" w:firstColumn="1" w:lastColumn="0" w:noHBand="0" w:noVBand="1"/>
      </w:tblPr>
      <w:tblGrid>
        <w:gridCol w:w="1305"/>
        <w:gridCol w:w="1555"/>
        <w:gridCol w:w="1333"/>
        <w:gridCol w:w="1868"/>
        <w:gridCol w:w="1651"/>
        <w:gridCol w:w="1511"/>
      </w:tblGrid>
      <w:tr w:rsidR="00F211BF" w:rsidRPr="007C7B55" w14:paraId="02D1FDE3" w14:textId="012FE2A7" w:rsidTr="00F211BF">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100" w:firstRow="0" w:lastRow="0" w:firstColumn="1" w:lastColumn="0" w:oddVBand="0" w:evenVBand="0" w:oddHBand="0" w:evenHBand="0" w:firstRowFirstColumn="1" w:firstRowLastColumn="0" w:lastRowFirstColumn="0" w:lastRowLastColumn="0"/>
            <w:tcW w:w="712" w:type="pct"/>
            <w:tcBorders>
              <w:top w:val="single" w:sz="12" w:space="0" w:color="FFCC00"/>
              <w:bottom w:val="single" w:sz="6" w:space="0" w:color="000000" w:themeColor="text1"/>
            </w:tcBorders>
            <w:shd w:val="clear" w:color="auto" w:fill="auto"/>
            <w:vAlign w:val="center"/>
            <w:hideMark/>
          </w:tcPr>
          <w:p w14:paraId="229907FB" w14:textId="77777777" w:rsidR="00F211BF" w:rsidRPr="007C7B55" w:rsidRDefault="00F211BF" w:rsidP="00782F72">
            <w:pPr>
              <w:spacing w:afterLines="240" w:after="576"/>
              <w:contextualSpacing/>
              <w:jc w:val="center"/>
              <w:rPr>
                <w:rFonts w:ascii="Century Gothic" w:hAnsi="Century Gothic" w:cs="Arial"/>
                <w:b/>
                <w:bCs/>
                <w:color w:val="333333"/>
                <w:sz w:val="18"/>
                <w:szCs w:val="18"/>
                <w:lang w:val="es-ES" w:eastAsia="en-GB"/>
              </w:rPr>
            </w:pPr>
          </w:p>
        </w:tc>
        <w:tc>
          <w:tcPr>
            <w:tcW w:w="822" w:type="pct"/>
            <w:tcBorders>
              <w:top w:val="single" w:sz="12" w:space="0" w:color="FFCC00"/>
              <w:bottom w:val="single" w:sz="6" w:space="0" w:color="000000" w:themeColor="text1"/>
            </w:tcBorders>
            <w:shd w:val="clear" w:color="auto" w:fill="auto"/>
            <w:vAlign w:val="center"/>
            <w:hideMark/>
          </w:tcPr>
          <w:p w14:paraId="63D3FE6D" w14:textId="60252F24" w:rsidR="00F211BF" w:rsidRPr="00DE3FF5" w:rsidRDefault="00F211BF" w:rsidP="00782F72">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iCs/>
                <w:color w:val="000000"/>
                <w:sz w:val="18"/>
                <w:szCs w:val="18"/>
                <w:lang w:val="es-ES"/>
              </w:rPr>
            </w:pPr>
            <w:r>
              <w:rPr>
                <w:rFonts w:ascii="Century Gothic" w:hAnsi="Century Gothic" w:cs="Arial"/>
                <w:b/>
                <w:iCs/>
                <w:color w:val="000000"/>
                <w:sz w:val="18"/>
                <w:szCs w:val="18"/>
                <w:lang w:val="es-ES"/>
              </w:rPr>
              <w:t>Percepción de oportunidades</w:t>
            </w:r>
            <w:r w:rsidRPr="00DE3FF5">
              <w:rPr>
                <w:rStyle w:val="Refdenotaalpie"/>
                <w:rFonts w:ascii="Century Gothic" w:hAnsi="Century Gothic" w:cs="Arial"/>
                <w:b/>
                <w:iCs/>
                <w:color w:val="000000"/>
                <w:sz w:val="18"/>
                <w:szCs w:val="18"/>
                <w:lang w:val="es-ES"/>
              </w:rPr>
              <w:footnoteReference w:id="7"/>
            </w:r>
          </w:p>
        </w:tc>
        <w:tc>
          <w:tcPr>
            <w:tcW w:w="727" w:type="pct"/>
            <w:tcBorders>
              <w:top w:val="single" w:sz="12" w:space="0" w:color="FFCC00"/>
              <w:bottom w:val="single" w:sz="6" w:space="0" w:color="000000" w:themeColor="text1"/>
            </w:tcBorders>
            <w:shd w:val="clear" w:color="auto" w:fill="auto"/>
            <w:vAlign w:val="center"/>
            <w:hideMark/>
          </w:tcPr>
          <w:p w14:paraId="56D4780F" w14:textId="77777777" w:rsidR="00F211BF" w:rsidRPr="00995A81" w:rsidRDefault="00F211BF" w:rsidP="00782F72">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iCs/>
                <w:color w:val="auto"/>
                <w:sz w:val="18"/>
                <w:szCs w:val="18"/>
                <w:lang w:val="es-ES"/>
              </w:rPr>
            </w:pPr>
            <w:r w:rsidRPr="00995A81">
              <w:rPr>
                <w:rFonts w:ascii="Century Gothic" w:hAnsi="Century Gothic" w:cs="Arial"/>
                <w:b/>
                <w:iCs/>
                <w:color w:val="auto"/>
                <w:sz w:val="18"/>
                <w:szCs w:val="18"/>
                <w:lang w:val="es-ES"/>
              </w:rPr>
              <w:t>Intención de emprender</w:t>
            </w:r>
            <w:r w:rsidRPr="00995A81">
              <w:rPr>
                <w:rStyle w:val="Refdenotaalpie"/>
                <w:rFonts w:ascii="Century Gothic" w:hAnsi="Century Gothic" w:cs="Arial"/>
                <w:b/>
                <w:iCs/>
                <w:color w:val="auto"/>
                <w:sz w:val="18"/>
                <w:szCs w:val="18"/>
                <w:lang w:val="es-ES"/>
              </w:rPr>
              <w:footnoteReference w:id="8"/>
            </w:r>
          </w:p>
        </w:tc>
        <w:tc>
          <w:tcPr>
            <w:tcW w:w="1017" w:type="pct"/>
            <w:tcBorders>
              <w:top w:val="single" w:sz="12" w:space="0" w:color="FFCC00"/>
              <w:bottom w:val="single" w:sz="6" w:space="0" w:color="000000" w:themeColor="text1"/>
            </w:tcBorders>
            <w:shd w:val="clear" w:color="auto" w:fill="auto"/>
            <w:vAlign w:val="center"/>
            <w:hideMark/>
          </w:tcPr>
          <w:p w14:paraId="300EB6D6" w14:textId="77777777" w:rsidR="00F211BF" w:rsidRPr="00DE3FF5" w:rsidRDefault="00F211BF" w:rsidP="00782F72">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iCs/>
                <w:color w:val="000000"/>
                <w:sz w:val="18"/>
                <w:szCs w:val="18"/>
                <w:lang w:val="es-ES"/>
              </w:rPr>
            </w:pPr>
            <w:r w:rsidRPr="00DE3FF5">
              <w:rPr>
                <w:rFonts w:ascii="Century Gothic" w:hAnsi="Century Gothic" w:cs="Arial"/>
                <w:b/>
                <w:iCs/>
                <w:color w:val="000000"/>
                <w:sz w:val="18"/>
                <w:szCs w:val="18"/>
                <w:lang w:val="es-ES"/>
              </w:rPr>
              <w:t>Percepción del perfil emprendedor</w:t>
            </w:r>
            <w:r w:rsidRPr="00DE3FF5">
              <w:rPr>
                <w:rStyle w:val="Refdenotaalpie"/>
                <w:rFonts w:ascii="Century Gothic" w:hAnsi="Century Gothic" w:cs="Arial"/>
                <w:b/>
                <w:iCs/>
                <w:color w:val="000000"/>
                <w:sz w:val="18"/>
                <w:szCs w:val="18"/>
                <w:lang w:val="es-ES"/>
              </w:rPr>
              <w:footnoteReference w:id="9"/>
            </w:r>
          </w:p>
        </w:tc>
        <w:tc>
          <w:tcPr>
            <w:tcW w:w="899" w:type="pct"/>
            <w:tcBorders>
              <w:top w:val="single" w:sz="12" w:space="0" w:color="FFCC00"/>
              <w:bottom w:val="single" w:sz="6" w:space="0" w:color="000000" w:themeColor="text1"/>
            </w:tcBorders>
            <w:shd w:val="clear" w:color="auto" w:fill="auto"/>
            <w:hideMark/>
          </w:tcPr>
          <w:p w14:paraId="3F88EBFC" w14:textId="77777777" w:rsidR="00F211BF" w:rsidRPr="00DE3FF5" w:rsidRDefault="00F211BF" w:rsidP="00782F72">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iCs/>
                <w:color w:val="000000"/>
                <w:sz w:val="18"/>
                <w:szCs w:val="18"/>
                <w:lang w:val="es-ES"/>
              </w:rPr>
            </w:pPr>
            <w:r w:rsidRPr="00DE3FF5">
              <w:rPr>
                <w:rFonts w:ascii="Century Gothic" w:hAnsi="Century Gothic" w:cs="Arial"/>
                <w:b/>
                <w:iCs/>
                <w:color w:val="000000"/>
                <w:sz w:val="18"/>
                <w:szCs w:val="18"/>
                <w:lang w:val="es-ES"/>
              </w:rPr>
              <w:t>Emprender como carrera profesional</w:t>
            </w:r>
            <w:r w:rsidRPr="00DE3FF5">
              <w:rPr>
                <w:rStyle w:val="Refdenotaalpie"/>
                <w:rFonts w:ascii="Century Gothic" w:hAnsi="Century Gothic" w:cs="Arial"/>
                <w:b/>
                <w:iCs/>
                <w:color w:val="000000"/>
                <w:sz w:val="18"/>
                <w:szCs w:val="18"/>
                <w:lang w:val="es-ES"/>
              </w:rPr>
              <w:footnoteReference w:id="10"/>
            </w:r>
          </w:p>
        </w:tc>
        <w:tc>
          <w:tcPr>
            <w:tcW w:w="823" w:type="pct"/>
            <w:tcBorders>
              <w:top w:val="single" w:sz="12" w:space="0" w:color="FFCC00"/>
              <w:bottom w:val="single" w:sz="6" w:space="0" w:color="000000" w:themeColor="text1"/>
            </w:tcBorders>
            <w:vAlign w:val="center"/>
          </w:tcPr>
          <w:p w14:paraId="2516CEE7" w14:textId="7D25D2D4" w:rsidR="00F211BF" w:rsidRPr="00DE3FF5" w:rsidRDefault="00F211BF" w:rsidP="00F211BF">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iCs/>
                <w:color w:val="000000"/>
                <w:sz w:val="18"/>
                <w:szCs w:val="18"/>
                <w:lang w:val="es-ES"/>
              </w:rPr>
            </w:pPr>
            <w:r>
              <w:rPr>
                <w:rFonts w:ascii="Century Gothic" w:hAnsi="Century Gothic" w:cs="Arial"/>
                <w:b/>
                <w:iCs/>
                <w:color w:val="000000"/>
                <w:sz w:val="18"/>
                <w:szCs w:val="18"/>
                <w:lang w:val="es-ES"/>
              </w:rPr>
              <w:t>TEA</w:t>
            </w:r>
            <w:r>
              <w:rPr>
                <w:rStyle w:val="Refdenotaalpie"/>
                <w:rFonts w:ascii="Century Gothic" w:hAnsi="Century Gothic" w:cs="Arial"/>
                <w:b/>
                <w:iCs/>
                <w:color w:val="000000"/>
                <w:sz w:val="18"/>
                <w:szCs w:val="18"/>
                <w:lang w:val="es-ES"/>
              </w:rPr>
              <w:footnoteReference w:id="11"/>
            </w:r>
          </w:p>
        </w:tc>
      </w:tr>
      <w:tr w:rsidR="00F211BF" w:rsidRPr="007C7B55" w14:paraId="133DB925" w14:textId="770C2A2A" w:rsidTr="00F211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12" w:type="pct"/>
            <w:tcBorders>
              <w:top w:val="single" w:sz="6" w:space="0" w:color="000000" w:themeColor="text1"/>
              <w:right w:val="nil"/>
            </w:tcBorders>
            <w:shd w:val="clear" w:color="auto" w:fill="auto"/>
            <w:vAlign w:val="center"/>
            <w:hideMark/>
          </w:tcPr>
          <w:p w14:paraId="4D05B10D" w14:textId="77777777" w:rsidR="00F211BF" w:rsidRPr="00DE3FF5" w:rsidRDefault="00F211BF" w:rsidP="00782F72">
            <w:pPr>
              <w:contextualSpacing/>
              <w:jc w:val="center"/>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Reino Unido</w:t>
            </w:r>
          </w:p>
        </w:tc>
        <w:tc>
          <w:tcPr>
            <w:tcW w:w="822" w:type="pct"/>
            <w:tcBorders>
              <w:top w:val="single" w:sz="6" w:space="0" w:color="000000" w:themeColor="text1"/>
            </w:tcBorders>
            <w:shd w:val="clear" w:color="auto" w:fill="auto"/>
            <w:noWrap/>
            <w:vAlign w:val="center"/>
            <w:hideMark/>
          </w:tcPr>
          <w:p w14:paraId="6E66136B" w14:textId="204FB043" w:rsidR="00F211BF" w:rsidRPr="00DE3FF5"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43%</w:t>
            </w:r>
          </w:p>
        </w:tc>
        <w:tc>
          <w:tcPr>
            <w:tcW w:w="727" w:type="pct"/>
            <w:tcBorders>
              <w:top w:val="single" w:sz="6" w:space="0" w:color="000000" w:themeColor="text1"/>
            </w:tcBorders>
            <w:shd w:val="clear" w:color="auto" w:fill="auto"/>
            <w:noWrap/>
            <w:vAlign w:val="center"/>
            <w:hideMark/>
          </w:tcPr>
          <w:p w14:paraId="5D03DC97" w14:textId="2497E2B8" w:rsidR="00F211BF" w:rsidRPr="00995A81"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8"/>
                <w:szCs w:val="18"/>
                <w:highlight w:val="yellow"/>
                <w:lang w:val="es-ES"/>
              </w:rPr>
            </w:pPr>
            <w:r w:rsidRPr="00995A81">
              <w:rPr>
                <w:rFonts w:ascii="Century Gothic" w:hAnsi="Century Gothic" w:cs="Arial"/>
                <w:color w:val="auto"/>
                <w:sz w:val="18"/>
                <w:szCs w:val="18"/>
                <w:lang w:val="es-ES"/>
              </w:rPr>
              <w:t>9,2%</w:t>
            </w:r>
          </w:p>
        </w:tc>
        <w:tc>
          <w:tcPr>
            <w:tcW w:w="1017" w:type="pct"/>
            <w:tcBorders>
              <w:top w:val="single" w:sz="6" w:space="0" w:color="000000" w:themeColor="text1"/>
            </w:tcBorders>
            <w:shd w:val="clear" w:color="auto" w:fill="auto"/>
            <w:noWrap/>
            <w:vAlign w:val="center"/>
            <w:hideMark/>
          </w:tcPr>
          <w:p w14:paraId="78327C45" w14:textId="7AE76032" w:rsidR="00F211BF" w:rsidRPr="00DE3FF5"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7</w:t>
            </w:r>
            <w:r>
              <w:rPr>
                <w:rFonts w:ascii="Century Gothic" w:hAnsi="Century Gothic" w:cs="Arial"/>
                <w:color w:val="000000"/>
                <w:sz w:val="18"/>
                <w:szCs w:val="18"/>
                <w:lang w:val="es-ES"/>
              </w:rPr>
              <w:t>5,6</w:t>
            </w:r>
            <w:r w:rsidRPr="00DE3FF5">
              <w:rPr>
                <w:rFonts w:ascii="Century Gothic" w:hAnsi="Century Gothic" w:cs="Arial"/>
                <w:color w:val="000000"/>
                <w:sz w:val="18"/>
                <w:szCs w:val="18"/>
                <w:lang w:val="es-ES"/>
              </w:rPr>
              <w:t>%</w:t>
            </w:r>
          </w:p>
        </w:tc>
        <w:tc>
          <w:tcPr>
            <w:tcW w:w="899" w:type="pct"/>
            <w:tcBorders>
              <w:top w:val="single" w:sz="6" w:space="0" w:color="000000" w:themeColor="text1"/>
            </w:tcBorders>
            <w:shd w:val="clear" w:color="auto" w:fill="auto"/>
            <w:noWrap/>
            <w:vAlign w:val="center"/>
            <w:hideMark/>
          </w:tcPr>
          <w:p w14:paraId="43D66717" w14:textId="7ADA7A7C" w:rsidR="00F211BF" w:rsidRPr="00DE3FF5" w:rsidRDefault="00F211BF" w:rsidP="00744F08">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5</w:t>
            </w:r>
            <w:r>
              <w:rPr>
                <w:rFonts w:ascii="Century Gothic" w:hAnsi="Century Gothic" w:cs="Arial"/>
                <w:color w:val="000000"/>
                <w:sz w:val="18"/>
                <w:szCs w:val="18"/>
                <w:lang w:val="es-ES"/>
              </w:rPr>
              <w:t>5,6</w:t>
            </w:r>
            <w:r w:rsidRPr="00DE3FF5">
              <w:rPr>
                <w:rFonts w:ascii="Century Gothic" w:hAnsi="Century Gothic" w:cs="Arial"/>
                <w:color w:val="000000"/>
                <w:sz w:val="18"/>
                <w:szCs w:val="18"/>
                <w:lang w:val="es-ES"/>
              </w:rPr>
              <w:t>%</w:t>
            </w:r>
          </w:p>
        </w:tc>
        <w:tc>
          <w:tcPr>
            <w:tcW w:w="823" w:type="pct"/>
            <w:tcBorders>
              <w:top w:val="single" w:sz="6" w:space="0" w:color="000000" w:themeColor="text1"/>
              <w:right w:val="nil"/>
            </w:tcBorders>
            <w:shd w:val="clear" w:color="auto" w:fill="auto"/>
          </w:tcPr>
          <w:p w14:paraId="28BA8615" w14:textId="7774DA86" w:rsidR="00F211BF" w:rsidRPr="00DE3FF5" w:rsidRDefault="00F211BF" w:rsidP="00744F08">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8,4%</w:t>
            </w:r>
          </w:p>
        </w:tc>
      </w:tr>
      <w:tr w:rsidR="00F211BF" w:rsidRPr="0071424F" w14:paraId="36C81025" w14:textId="16B69665" w:rsidTr="00F211BF">
        <w:trPr>
          <w:trHeight w:val="250"/>
        </w:trPr>
        <w:tc>
          <w:tcPr>
            <w:cnfStyle w:val="001000000000" w:firstRow="0" w:lastRow="0" w:firstColumn="1" w:lastColumn="0" w:oddVBand="0" w:evenVBand="0" w:oddHBand="0" w:evenHBand="0" w:firstRowFirstColumn="0" w:firstRowLastColumn="0" w:lastRowFirstColumn="0" w:lastRowLastColumn="0"/>
            <w:tcW w:w="712" w:type="pct"/>
            <w:tcBorders>
              <w:right w:val="nil"/>
            </w:tcBorders>
            <w:shd w:val="clear" w:color="auto" w:fill="auto"/>
            <w:vAlign w:val="center"/>
            <w:hideMark/>
          </w:tcPr>
          <w:p w14:paraId="41F48779" w14:textId="77777777" w:rsidR="00F211BF" w:rsidRPr="0071424F" w:rsidRDefault="00F211BF" w:rsidP="00782F72">
            <w:pPr>
              <w:contextualSpacing/>
              <w:jc w:val="center"/>
              <w:rPr>
                <w:rFonts w:ascii="Century Gothic" w:hAnsi="Century Gothic" w:cs="Arial"/>
                <w:b/>
                <w:color w:val="000000"/>
                <w:sz w:val="18"/>
                <w:szCs w:val="18"/>
                <w:lang w:val="es-ES"/>
              </w:rPr>
            </w:pPr>
            <w:r w:rsidRPr="0071424F">
              <w:rPr>
                <w:rFonts w:ascii="Century Gothic" w:hAnsi="Century Gothic" w:cs="Arial"/>
                <w:b/>
                <w:color w:val="000000"/>
                <w:sz w:val="18"/>
                <w:szCs w:val="18"/>
                <w:lang w:val="es-ES"/>
              </w:rPr>
              <w:t>España</w:t>
            </w:r>
          </w:p>
        </w:tc>
        <w:tc>
          <w:tcPr>
            <w:tcW w:w="822" w:type="pct"/>
            <w:shd w:val="clear" w:color="auto" w:fill="auto"/>
            <w:noWrap/>
            <w:vAlign w:val="center"/>
            <w:hideMark/>
          </w:tcPr>
          <w:p w14:paraId="5CFE0E4A" w14:textId="6515D105" w:rsidR="00F211BF" w:rsidRPr="0071424F" w:rsidRDefault="00F211BF" w:rsidP="005D70D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31</w:t>
            </w:r>
            <w:r w:rsidRPr="0071424F">
              <w:rPr>
                <w:rFonts w:ascii="Century Gothic" w:hAnsi="Century Gothic" w:cs="Arial"/>
                <w:b/>
                <w:color w:val="000000"/>
                <w:sz w:val="18"/>
                <w:szCs w:val="18"/>
                <w:lang w:val="es-ES"/>
              </w:rPr>
              <w:t>,</w:t>
            </w:r>
            <w:r>
              <w:rPr>
                <w:rFonts w:ascii="Century Gothic" w:hAnsi="Century Gothic" w:cs="Arial"/>
                <w:b/>
                <w:color w:val="000000"/>
                <w:sz w:val="18"/>
                <w:szCs w:val="18"/>
                <w:lang w:val="es-ES"/>
              </w:rPr>
              <w:t>9</w:t>
            </w:r>
            <w:r w:rsidRPr="0071424F">
              <w:rPr>
                <w:rFonts w:ascii="Century Gothic" w:hAnsi="Century Gothic" w:cs="Arial"/>
                <w:b/>
                <w:color w:val="000000"/>
                <w:sz w:val="18"/>
                <w:szCs w:val="18"/>
                <w:lang w:val="es-ES"/>
              </w:rPr>
              <w:t>%</w:t>
            </w:r>
          </w:p>
        </w:tc>
        <w:tc>
          <w:tcPr>
            <w:tcW w:w="727" w:type="pct"/>
            <w:shd w:val="clear" w:color="auto" w:fill="auto"/>
            <w:noWrap/>
            <w:vAlign w:val="center"/>
            <w:hideMark/>
          </w:tcPr>
          <w:p w14:paraId="197704DA" w14:textId="63D174A5" w:rsidR="00F211BF" w:rsidRPr="00995A81"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auto"/>
                <w:sz w:val="18"/>
                <w:szCs w:val="18"/>
                <w:lang w:val="es-ES"/>
              </w:rPr>
            </w:pPr>
            <w:r w:rsidRPr="00995A81">
              <w:rPr>
                <w:rFonts w:ascii="Century Gothic" w:hAnsi="Century Gothic" w:cs="Arial"/>
                <w:b/>
                <w:color w:val="auto"/>
                <w:sz w:val="18"/>
                <w:szCs w:val="18"/>
                <w:lang w:val="es-ES"/>
              </w:rPr>
              <w:t>6,8%</w:t>
            </w:r>
          </w:p>
        </w:tc>
        <w:tc>
          <w:tcPr>
            <w:tcW w:w="1017" w:type="pct"/>
            <w:shd w:val="clear" w:color="auto" w:fill="auto"/>
            <w:noWrap/>
            <w:vAlign w:val="center"/>
            <w:hideMark/>
          </w:tcPr>
          <w:p w14:paraId="0601DC1E" w14:textId="4D233369" w:rsidR="00F211BF" w:rsidRPr="0071424F"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47</w:t>
            </w:r>
            <w:r w:rsidRPr="0071424F">
              <w:rPr>
                <w:rFonts w:ascii="Century Gothic" w:hAnsi="Century Gothic" w:cs="Arial"/>
                <w:b/>
                <w:color w:val="000000"/>
                <w:sz w:val="18"/>
                <w:szCs w:val="18"/>
                <w:lang w:val="es-ES"/>
              </w:rPr>
              <w:t>,</w:t>
            </w:r>
            <w:r>
              <w:rPr>
                <w:rFonts w:ascii="Century Gothic" w:hAnsi="Century Gothic" w:cs="Arial"/>
                <w:b/>
                <w:color w:val="000000"/>
                <w:sz w:val="18"/>
                <w:szCs w:val="18"/>
                <w:lang w:val="es-ES"/>
              </w:rPr>
              <w:t>9</w:t>
            </w:r>
            <w:r w:rsidRPr="0071424F">
              <w:rPr>
                <w:rFonts w:ascii="Century Gothic" w:hAnsi="Century Gothic" w:cs="Arial"/>
                <w:b/>
                <w:color w:val="000000"/>
                <w:sz w:val="18"/>
                <w:szCs w:val="18"/>
                <w:lang w:val="es-ES"/>
              </w:rPr>
              <w:t>%</w:t>
            </w:r>
          </w:p>
        </w:tc>
        <w:tc>
          <w:tcPr>
            <w:tcW w:w="899" w:type="pct"/>
            <w:tcBorders>
              <w:right w:val="nil"/>
            </w:tcBorders>
            <w:shd w:val="clear" w:color="auto" w:fill="auto"/>
            <w:noWrap/>
            <w:vAlign w:val="center"/>
            <w:hideMark/>
          </w:tcPr>
          <w:p w14:paraId="106611DD" w14:textId="02AEA72F" w:rsidR="00F211BF" w:rsidRPr="0071424F"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71424F">
              <w:rPr>
                <w:rFonts w:ascii="Century Gothic" w:hAnsi="Century Gothic" w:cs="Arial"/>
                <w:b/>
                <w:color w:val="000000"/>
                <w:sz w:val="18"/>
                <w:szCs w:val="18"/>
                <w:lang w:val="es-ES"/>
              </w:rPr>
              <w:t>53,</w:t>
            </w:r>
            <w:r>
              <w:rPr>
                <w:rFonts w:ascii="Century Gothic" w:hAnsi="Century Gothic" w:cs="Arial"/>
                <w:b/>
                <w:color w:val="000000"/>
                <w:sz w:val="18"/>
                <w:szCs w:val="18"/>
                <w:lang w:val="es-ES"/>
              </w:rPr>
              <w:t>8</w:t>
            </w:r>
            <w:r w:rsidRPr="0071424F">
              <w:rPr>
                <w:rFonts w:ascii="Century Gothic" w:hAnsi="Century Gothic" w:cs="Arial"/>
                <w:b/>
                <w:color w:val="000000"/>
                <w:sz w:val="18"/>
                <w:szCs w:val="18"/>
                <w:lang w:val="es-ES"/>
              </w:rPr>
              <w:t>%</w:t>
            </w:r>
          </w:p>
        </w:tc>
        <w:tc>
          <w:tcPr>
            <w:tcW w:w="823" w:type="pct"/>
            <w:tcBorders>
              <w:right w:val="nil"/>
            </w:tcBorders>
            <w:shd w:val="clear" w:color="auto" w:fill="auto"/>
            <w:vAlign w:val="center"/>
          </w:tcPr>
          <w:p w14:paraId="75B44E18" w14:textId="61729EC6" w:rsidR="00F211BF" w:rsidRPr="0071424F" w:rsidRDefault="00F211BF" w:rsidP="00F211BF">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6,2%</w:t>
            </w:r>
          </w:p>
        </w:tc>
      </w:tr>
      <w:tr w:rsidR="00F211BF" w:rsidRPr="007C7B55" w14:paraId="4E767D1F" w14:textId="2124F1C5" w:rsidTr="00F211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12" w:type="pct"/>
            <w:tcBorders>
              <w:right w:val="nil"/>
            </w:tcBorders>
            <w:shd w:val="clear" w:color="auto" w:fill="auto"/>
            <w:vAlign w:val="center"/>
            <w:hideMark/>
          </w:tcPr>
          <w:p w14:paraId="34203282" w14:textId="77777777" w:rsidR="00F211BF" w:rsidRPr="00DE3FF5" w:rsidRDefault="00F211BF" w:rsidP="00782F72">
            <w:pPr>
              <w:contextualSpacing/>
              <w:jc w:val="center"/>
              <w:rPr>
                <w:rFonts w:ascii="Century Gothic" w:hAnsi="Century Gothic" w:cs="Arial"/>
                <w:color w:val="000000"/>
                <w:sz w:val="18"/>
                <w:szCs w:val="18"/>
                <w:lang w:val="es-ES"/>
              </w:rPr>
            </w:pPr>
            <w:r w:rsidRPr="00DE3FF5">
              <w:rPr>
                <w:rFonts w:ascii="Century Gothic" w:hAnsi="Century Gothic" w:cs="Arial"/>
                <w:color w:val="000000"/>
                <w:sz w:val="18"/>
                <w:szCs w:val="18"/>
                <w:lang w:val="es-ES"/>
              </w:rPr>
              <w:lastRenderedPageBreak/>
              <w:t>Italia</w:t>
            </w:r>
          </w:p>
        </w:tc>
        <w:tc>
          <w:tcPr>
            <w:tcW w:w="822" w:type="pct"/>
            <w:shd w:val="clear" w:color="auto" w:fill="auto"/>
            <w:noWrap/>
            <w:vAlign w:val="center"/>
            <w:hideMark/>
          </w:tcPr>
          <w:p w14:paraId="523E819D" w14:textId="124AFC92" w:rsidR="00F211BF" w:rsidRPr="00DE3FF5"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28</w:t>
            </w:r>
            <w:r>
              <w:rPr>
                <w:rFonts w:ascii="Century Gothic" w:hAnsi="Century Gothic" w:cs="Arial"/>
                <w:color w:val="000000"/>
                <w:sz w:val="18"/>
                <w:szCs w:val="18"/>
                <w:lang w:val="es-ES"/>
              </w:rPr>
              <w:t>,8</w:t>
            </w:r>
            <w:r w:rsidRPr="00DE3FF5">
              <w:rPr>
                <w:rFonts w:ascii="Century Gothic" w:hAnsi="Century Gothic" w:cs="Arial"/>
                <w:color w:val="000000"/>
                <w:sz w:val="18"/>
                <w:szCs w:val="18"/>
                <w:lang w:val="es-ES"/>
              </w:rPr>
              <w:t>%</w:t>
            </w:r>
          </w:p>
        </w:tc>
        <w:tc>
          <w:tcPr>
            <w:tcW w:w="727" w:type="pct"/>
            <w:shd w:val="clear" w:color="auto" w:fill="auto"/>
            <w:noWrap/>
            <w:vAlign w:val="center"/>
            <w:hideMark/>
          </w:tcPr>
          <w:p w14:paraId="42FF3C73" w14:textId="2E508939" w:rsidR="00F211BF" w:rsidRPr="00995A81"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8"/>
                <w:szCs w:val="18"/>
                <w:lang w:val="es-ES"/>
              </w:rPr>
            </w:pPr>
            <w:r w:rsidRPr="00995A81">
              <w:rPr>
                <w:rFonts w:ascii="Century Gothic" w:hAnsi="Century Gothic" w:cs="Arial"/>
                <w:color w:val="auto"/>
                <w:sz w:val="18"/>
                <w:szCs w:val="18"/>
                <w:lang w:val="es-ES"/>
              </w:rPr>
              <w:t>12,2%</w:t>
            </w:r>
          </w:p>
        </w:tc>
        <w:tc>
          <w:tcPr>
            <w:tcW w:w="1017" w:type="pct"/>
            <w:shd w:val="clear" w:color="auto" w:fill="auto"/>
            <w:noWrap/>
            <w:vAlign w:val="center"/>
            <w:hideMark/>
          </w:tcPr>
          <w:p w14:paraId="54BEEE81" w14:textId="189AE968" w:rsidR="00F211BF" w:rsidRPr="00DE3FF5"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73,2</w:t>
            </w:r>
            <w:r w:rsidRPr="00DE3FF5">
              <w:rPr>
                <w:rFonts w:ascii="Century Gothic" w:hAnsi="Century Gothic" w:cs="Arial"/>
                <w:color w:val="000000"/>
                <w:sz w:val="18"/>
                <w:szCs w:val="18"/>
                <w:lang w:val="es-ES"/>
              </w:rPr>
              <w:t>%</w:t>
            </w:r>
          </w:p>
        </w:tc>
        <w:tc>
          <w:tcPr>
            <w:tcW w:w="899" w:type="pct"/>
            <w:shd w:val="clear" w:color="auto" w:fill="auto"/>
            <w:noWrap/>
            <w:vAlign w:val="center"/>
            <w:hideMark/>
          </w:tcPr>
          <w:p w14:paraId="3BD0A5D4" w14:textId="41B62B7C" w:rsidR="00F211BF" w:rsidRPr="00DE3FF5"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6</w:t>
            </w:r>
            <w:r>
              <w:rPr>
                <w:rFonts w:ascii="Century Gothic" w:hAnsi="Century Gothic" w:cs="Arial"/>
                <w:color w:val="000000"/>
                <w:sz w:val="18"/>
                <w:szCs w:val="18"/>
                <w:lang w:val="es-ES"/>
              </w:rPr>
              <w:t>4,2</w:t>
            </w:r>
            <w:r w:rsidRPr="00DE3FF5">
              <w:rPr>
                <w:rFonts w:ascii="Century Gothic" w:hAnsi="Century Gothic" w:cs="Arial"/>
                <w:color w:val="000000"/>
                <w:sz w:val="18"/>
                <w:szCs w:val="18"/>
                <w:lang w:val="es-ES"/>
              </w:rPr>
              <w:t>%</w:t>
            </w:r>
          </w:p>
        </w:tc>
        <w:tc>
          <w:tcPr>
            <w:tcW w:w="823" w:type="pct"/>
            <w:tcBorders>
              <w:right w:val="nil"/>
            </w:tcBorders>
            <w:shd w:val="clear" w:color="auto" w:fill="auto"/>
          </w:tcPr>
          <w:p w14:paraId="215BE092" w14:textId="777DFC5E" w:rsidR="00F211BF" w:rsidRPr="00DE3FF5"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4,3%</w:t>
            </w:r>
          </w:p>
        </w:tc>
      </w:tr>
      <w:tr w:rsidR="00F211BF" w:rsidRPr="007C7B55" w14:paraId="38CC5E05" w14:textId="5CC2F7E3" w:rsidTr="00F211BF">
        <w:trPr>
          <w:trHeight w:val="250"/>
        </w:trPr>
        <w:tc>
          <w:tcPr>
            <w:cnfStyle w:val="001000000000" w:firstRow="0" w:lastRow="0" w:firstColumn="1" w:lastColumn="0" w:oddVBand="0" w:evenVBand="0" w:oddHBand="0" w:evenHBand="0" w:firstRowFirstColumn="0" w:firstRowLastColumn="0" w:lastRowFirstColumn="0" w:lastRowLastColumn="0"/>
            <w:tcW w:w="712" w:type="pct"/>
            <w:tcBorders>
              <w:right w:val="nil"/>
            </w:tcBorders>
            <w:shd w:val="clear" w:color="auto" w:fill="auto"/>
            <w:vAlign w:val="center"/>
            <w:hideMark/>
          </w:tcPr>
          <w:p w14:paraId="32AAF690" w14:textId="77777777" w:rsidR="00F211BF" w:rsidRPr="00DE3FF5" w:rsidRDefault="00F211BF" w:rsidP="00782F72">
            <w:pPr>
              <w:contextualSpacing/>
              <w:jc w:val="center"/>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Alemania</w:t>
            </w:r>
          </w:p>
        </w:tc>
        <w:tc>
          <w:tcPr>
            <w:tcW w:w="822" w:type="pct"/>
            <w:shd w:val="clear" w:color="auto" w:fill="auto"/>
            <w:noWrap/>
            <w:vAlign w:val="center"/>
            <w:hideMark/>
          </w:tcPr>
          <w:p w14:paraId="63C1C628" w14:textId="36F15CFA" w:rsidR="00F211BF" w:rsidRPr="00DE3FF5"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42</w:t>
            </w:r>
            <w:r w:rsidRPr="00DE3FF5">
              <w:rPr>
                <w:rFonts w:ascii="Century Gothic" w:hAnsi="Century Gothic" w:cs="Arial"/>
                <w:color w:val="000000"/>
                <w:sz w:val="18"/>
                <w:szCs w:val="18"/>
                <w:lang w:val="es-ES"/>
              </w:rPr>
              <w:t>%</w:t>
            </w:r>
          </w:p>
        </w:tc>
        <w:tc>
          <w:tcPr>
            <w:tcW w:w="727" w:type="pct"/>
            <w:shd w:val="clear" w:color="auto" w:fill="auto"/>
            <w:noWrap/>
            <w:vAlign w:val="center"/>
            <w:hideMark/>
          </w:tcPr>
          <w:p w14:paraId="1BDBD030" w14:textId="7087055E" w:rsidR="00F211BF" w:rsidRPr="00995A81"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18"/>
                <w:szCs w:val="18"/>
                <w:lang w:val="es-ES"/>
              </w:rPr>
            </w:pPr>
            <w:r w:rsidRPr="00995A81">
              <w:rPr>
                <w:rFonts w:ascii="Century Gothic" w:hAnsi="Century Gothic" w:cs="Arial"/>
                <w:color w:val="auto"/>
                <w:sz w:val="18"/>
                <w:szCs w:val="18"/>
                <w:lang w:val="es-ES"/>
              </w:rPr>
              <w:t>8.9%</w:t>
            </w:r>
          </w:p>
        </w:tc>
        <w:tc>
          <w:tcPr>
            <w:tcW w:w="1017" w:type="pct"/>
            <w:shd w:val="clear" w:color="auto" w:fill="auto"/>
            <w:noWrap/>
            <w:vAlign w:val="center"/>
            <w:hideMark/>
          </w:tcPr>
          <w:p w14:paraId="5ACE8B3E" w14:textId="588AB573" w:rsidR="00F211BF" w:rsidRPr="00DE3FF5"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7</w:t>
            </w:r>
            <w:r>
              <w:rPr>
                <w:rFonts w:ascii="Century Gothic" w:hAnsi="Century Gothic" w:cs="Arial"/>
                <w:color w:val="000000"/>
                <w:sz w:val="18"/>
                <w:szCs w:val="18"/>
                <w:lang w:val="es-ES"/>
              </w:rPr>
              <w:t>7,</w:t>
            </w:r>
            <w:r w:rsidRPr="00DE3FF5">
              <w:rPr>
                <w:rFonts w:ascii="Century Gothic" w:hAnsi="Century Gothic" w:cs="Arial"/>
                <w:color w:val="000000"/>
                <w:sz w:val="18"/>
                <w:szCs w:val="18"/>
                <w:lang w:val="es-ES"/>
              </w:rPr>
              <w:t>9%</w:t>
            </w:r>
          </w:p>
        </w:tc>
        <w:tc>
          <w:tcPr>
            <w:tcW w:w="899" w:type="pct"/>
            <w:tcBorders>
              <w:right w:val="nil"/>
            </w:tcBorders>
            <w:shd w:val="clear" w:color="auto" w:fill="auto"/>
            <w:noWrap/>
            <w:vAlign w:val="center"/>
            <w:hideMark/>
          </w:tcPr>
          <w:p w14:paraId="40C0A024" w14:textId="7C2BAB9A" w:rsidR="00F211BF" w:rsidRPr="00DE3FF5"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E3FF5">
              <w:rPr>
                <w:rFonts w:ascii="Century Gothic" w:hAnsi="Century Gothic" w:cs="Arial"/>
                <w:color w:val="000000"/>
                <w:sz w:val="18"/>
                <w:szCs w:val="18"/>
                <w:lang w:val="es-ES"/>
              </w:rPr>
              <w:t>51</w:t>
            </w:r>
            <w:r>
              <w:rPr>
                <w:rFonts w:ascii="Century Gothic" w:hAnsi="Century Gothic" w:cs="Arial"/>
                <w:color w:val="000000"/>
                <w:sz w:val="18"/>
                <w:szCs w:val="18"/>
                <w:lang w:val="es-ES"/>
              </w:rPr>
              <w:t>,3</w:t>
            </w:r>
            <w:r w:rsidRPr="00DE3FF5">
              <w:rPr>
                <w:rFonts w:ascii="Century Gothic" w:hAnsi="Century Gothic" w:cs="Arial"/>
                <w:color w:val="000000"/>
                <w:sz w:val="18"/>
                <w:szCs w:val="18"/>
                <w:lang w:val="es-ES"/>
              </w:rPr>
              <w:t>%</w:t>
            </w:r>
          </w:p>
        </w:tc>
        <w:tc>
          <w:tcPr>
            <w:tcW w:w="823" w:type="pct"/>
            <w:tcBorders>
              <w:right w:val="nil"/>
            </w:tcBorders>
            <w:shd w:val="clear" w:color="auto" w:fill="auto"/>
          </w:tcPr>
          <w:p w14:paraId="3EAC97CE" w14:textId="78374345" w:rsidR="00F211BF" w:rsidRPr="00DE3FF5"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5,3%</w:t>
            </w:r>
          </w:p>
        </w:tc>
      </w:tr>
      <w:tr w:rsidR="00F211BF" w:rsidRPr="007C7B55" w14:paraId="14053B58" w14:textId="7E489997" w:rsidTr="00F211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12" w:type="pct"/>
            <w:tcBorders>
              <w:right w:val="nil"/>
            </w:tcBorders>
            <w:shd w:val="clear" w:color="auto" w:fill="auto"/>
            <w:vAlign w:val="center"/>
          </w:tcPr>
          <w:p w14:paraId="133FB099" w14:textId="77777777" w:rsidR="00F211BF" w:rsidRPr="00DE3FF5" w:rsidRDefault="00F211BF" w:rsidP="00782F72">
            <w:pPr>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Francia</w:t>
            </w:r>
          </w:p>
        </w:tc>
        <w:tc>
          <w:tcPr>
            <w:tcW w:w="822" w:type="pct"/>
            <w:shd w:val="clear" w:color="auto" w:fill="auto"/>
            <w:noWrap/>
            <w:vAlign w:val="center"/>
          </w:tcPr>
          <w:p w14:paraId="0D669BB3" w14:textId="557D8397" w:rsidR="00F211BF" w:rsidRPr="0095784D"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34,1%</w:t>
            </w:r>
          </w:p>
        </w:tc>
        <w:tc>
          <w:tcPr>
            <w:tcW w:w="727" w:type="pct"/>
            <w:shd w:val="clear" w:color="auto" w:fill="auto"/>
            <w:noWrap/>
            <w:vAlign w:val="center"/>
          </w:tcPr>
          <w:p w14:paraId="346FEBC2" w14:textId="2139ACBB" w:rsidR="00F211BF" w:rsidRPr="00995A81"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ES"/>
              </w:rPr>
            </w:pPr>
            <w:r w:rsidRPr="00995A81">
              <w:rPr>
                <w:rFonts w:ascii="Arial" w:hAnsi="Arial" w:cs="Arial"/>
                <w:color w:val="auto"/>
                <w:sz w:val="18"/>
                <w:szCs w:val="18"/>
                <w:lang w:val="es-ES"/>
              </w:rPr>
              <w:t>19,1%</w:t>
            </w:r>
          </w:p>
        </w:tc>
        <w:tc>
          <w:tcPr>
            <w:tcW w:w="1017" w:type="pct"/>
            <w:shd w:val="clear" w:color="auto" w:fill="auto"/>
            <w:noWrap/>
            <w:vAlign w:val="center"/>
          </w:tcPr>
          <w:p w14:paraId="44B44120" w14:textId="53F28A65" w:rsidR="00F211BF" w:rsidRPr="0095784D"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74,2%</w:t>
            </w:r>
          </w:p>
        </w:tc>
        <w:tc>
          <w:tcPr>
            <w:tcW w:w="899" w:type="pct"/>
            <w:shd w:val="clear" w:color="auto" w:fill="auto"/>
            <w:noWrap/>
            <w:vAlign w:val="center"/>
          </w:tcPr>
          <w:p w14:paraId="523345AF" w14:textId="397845C7" w:rsidR="00F211BF" w:rsidRPr="0095784D"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59,1%</w:t>
            </w:r>
          </w:p>
        </w:tc>
        <w:tc>
          <w:tcPr>
            <w:tcW w:w="823" w:type="pct"/>
            <w:tcBorders>
              <w:right w:val="nil"/>
            </w:tcBorders>
            <w:shd w:val="clear" w:color="auto" w:fill="auto"/>
          </w:tcPr>
          <w:p w14:paraId="42393B4E" w14:textId="0C033FB7" w:rsidR="00F211BF" w:rsidRDefault="00F211BF" w:rsidP="006A2AD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3,9</w:t>
            </w:r>
            <w:r w:rsidR="00E64529">
              <w:rPr>
                <w:rFonts w:ascii="Arial" w:hAnsi="Arial" w:cs="Arial"/>
                <w:color w:val="000000"/>
                <w:sz w:val="18"/>
                <w:szCs w:val="18"/>
                <w:lang w:val="es-ES"/>
              </w:rPr>
              <w:t>%</w:t>
            </w:r>
          </w:p>
        </w:tc>
      </w:tr>
      <w:tr w:rsidR="00F211BF" w:rsidRPr="007C7B55" w14:paraId="08FEEA59" w14:textId="28A4E625" w:rsidTr="00F211BF">
        <w:trPr>
          <w:trHeight w:val="250"/>
        </w:trPr>
        <w:tc>
          <w:tcPr>
            <w:cnfStyle w:val="001000000000" w:firstRow="0" w:lastRow="0" w:firstColumn="1" w:lastColumn="0" w:oddVBand="0" w:evenVBand="0" w:oddHBand="0" w:evenHBand="0" w:firstRowFirstColumn="0" w:firstRowLastColumn="0" w:lastRowFirstColumn="0" w:lastRowLastColumn="0"/>
            <w:tcW w:w="712" w:type="pct"/>
            <w:tcBorders>
              <w:bottom w:val="single" w:sz="6" w:space="0" w:color="000000" w:themeColor="text1"/>
              <w:right w:val="nil"/>
            </w:tcBorders>
            <w:shd w:val="clear" w:color="auto" w:fill="auto"/>
            <w:vAlign w:val="center"/>
          </w:tcPr>
          <w:p w14:paraId="7A598ECB" w14:textId="0A35F04E" w:rsidR="00F211BF" w:rsidRDefault="00F211BF" w:rsidP="00782F72">
            <w:pPr>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Media UE28</w:t>
            </w:r>
          </w:p>
        </w:tc>
        <w:tc>
          <w:tcPr>
            <w:tcW w:w="822" w:type="pct"/>
            <w:tcBorders>
              <w:top w:val="nil"/>
              <w:bottom w:val="single" w:sz="6" w:space="0" w:color="000000" w:themeColor="text1"/>
            </w:tcBorders>
            <w:shd w:val="clear" w:color="auto" w:fill="auto"/>
            <w:noWrap/>
            <w:vAlign w:val="center"/>
          </w:tcPr>
          <w:p w14:paraId="58C7F4C3" w14:textId="5711FDAA" w:rsidR="00F211BF"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44,8%</w:t>
            </w:r>
          </w:p>
        </w:tc>
        <w:tc>
          <w:tcPr>
            <w:tcW w:w="727" w:type="pct"/>
            <w:tcBorders>
              <w:top w:val="nil"/>
              <w:bottom w:val="single" w:sz="6" w:space="0" w:color="000000" w:themeColor="text1"/>
            </w:tcBorders>
            <w:shd w:val="clear" w:color="auto" w:fill="auto"/>
            <w:noWrap/>
            <w:vAlign w:val="center"/>
          </w:tcPr>
          <w:p w14:paraId="0A05AFCA" w14:textId="4BB03ACE" w:rsidR="00F211BF" w:rsidRPr="00995A81" w:rsidRDefault="00F211BF" w:rsidP="00782F72">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ES"/>
              </w:rPr>
            </w:pPr>
            <w:r w:rsidRPr="00995A81">
              <w:rPr>
                <w:rFonts w:ascii="Arial" w:hAnsi="Arial" w:cs="Arial"/>
                <w:color w:val="auto"/>
                <w:sz w:val="18"/>
                <w:szCs w:val="18"/>
                <w:lang w:val="es-ES"/>
              </w:rPr>
              <w:t>13,3</w:t>
            </w:r>
          </w:p>
        </w:tc>
        <w:tc>
          <w:tcPr>
            <w:tcW w:w="1017" w:type="pct"/>
            <w:tcBorders>
              <w:top w:val="nil"/>
              <w:bottom w:val="single" w:sz="6" w:space="0" w:color="000000" w:themeColor="text1"/>
            </w:tcBorders>
            <w:shd w:val="clear" w:color="auto" w:fill="auto"/>
            <w:noWrap/>
            <w:vAlign w:val="center"/>
          </w:tcPr>
          <w:p w14:paraId="17358EC9" w14:textId="516EC795" w:rsidR="00F211BF"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69,6%</w:t>
            </w:r>
          </w:p>
        </w:tc>
        <w:tc>
          <w:tcPr>
            <w:tcW w:w="899" w:type="pct"/>
            <w:tcBorders>
              <w:top w:val="nil"/>
              <w:bottom w:val="single" w:sz="6" w:space="0" w:color="000000" w:themeColor="text1"/>
              <w:right w:val="nil"/>
            </w:tcBorders>
            <w:shd w:val="clear" w:color="auto" w:fill="auto"/>
            <w:noWrap/>
            <w:vAlign w:val="center"/>
          </w:tcPr>
          <w:p w14:paraId="7CB3638C" w14:textId="1D881DFE" w:rsidR="00F211BF"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58%</w:t>
            </w:r>
          </w:p>
        </w:tc>
        <w:tc>
          <w:tcPr>
            <w:tcW w:w="823" w:type="pct"/>
            <w:tcBorders>
              <w:top w:val="nil"/>
              <w:bottom w:val="single" w:sz="6" w:space="0" w:color="000000" w:themeColor="text1"/>
              <w:right w:val="nil"/>
            </w:tcBorders>
            <w:shd w:val="clear" w:color="auto" w:fill="auto"/>
          </w:tcPr>
          <w:p w14:paraId="591DE5DE" w14:textId="55539C81" w:rsidR="00F211BF" w:rsidRDefault="00F211BF" w:rsidP="006A2AD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rFonts w:ascii="Arial" w:hAnsi="Arial" w:cs="Arial"/>
                <w:color w:val="000000"/>
                <w:sz w:val="18"/>
                <w:szCs w:val="18"/>
                <w:lang w:val="es-ES"/>
              </w:rPr>
              <w:t>7,8</w:t>
            </w:r>
            <w:r w:rsidR="00E64529">
              <w:rPr>
                <w:rFonts w:ascii="Arial" w:hAnsi="Arial" w:cs="Arial"/>
                <w:color w:val="000000"/>
                <w:sz w:val="18"/>
                <w:szCs w:val="18"/>
                <w:lang w:val="es-ES"/>
              </w:rPr>
              <w:t>%</w:t>
            </w:r>
          </w:p>
        </w:tc>
      </w:tr>
      <w:tr w:rsidR="00F211BF" w:rsidRPr="007916CD" w14:paraId="6700F8A4" w14:textId="6B0859FA" w:rsidTr="00F211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77" w:type="pct"/>
            <w:gridSpan w:val="5"/>
            <w:tcBorders>
              <w:top w:val="single" w:sz="6" w:space="0" w:color="000000" w:themeColor="text1"/>
              <w:right w:val="nil"/>
            </w:tcBorders>
            <w:shd w:val="clear" w:color="auto" w:fill="auto"/>
            <w:vAlign w:val="center"/>
          </w:tcPr>
          <w:p w14:paraId="27C2609C" w14:textId="02C5AAE4" w:rsidR="00F211BF" w:rsidRPr="00995A81" w:rsidRDefault="00F211BF" w:rsidP="00782F72">
            <w:pPr>
              <w:contextualSpacing/>
              <w:jc w:val="left"/>
              <w:rPr>
                <w:rFonts w:ascii="Century Gothic" w:hAnsi="Century Gothic" w:cs="Arial"/>
                <w:color w:val="auto"/>
                <w:sz w:val="18"/>
                <w:szCs w:val="18"/>
                <w:lang w:val="es-ES"/>
              </w:rPr>
            </w:pPr>
            <w:r w:rsidRPr="00995A81">
              <w:rPr>
                <w:rFonts w:ascii="Century Gothic" w:hAnsi="Century Gothic" w:cs="Arial"/>
                <w:i/>
                <w:color w:val="auto"/>
                <w:sz w:val="16"/>
                <w:szCs w:val="18"/>
                <w:lang w:val="es-ES" w:eastAsia="en-GB"/>
              </w:rPr>
              <w:t>Fuente: GEM Consortium (2017), Global Entrepreneurship Monitor.</w:t>
            </w:r>
            <w:r w:rsidR="00F26226" w:rsidRPr="00995A81">
              <w:rPr>
                <w:rFonts w:ascii="Century Gothic" w:hAnsi="Century Gothic" w:cs="Arial"/>
                <w:i/>
                <w:color w:val="auto"/>
                <w:sz w:val="16"/>
                <w:szCs w:val="18"/>
                <w:lang w:val="es-ES" w:eastAsia="en-GB"/>
              </w:rPr>
              <w:t xml:space="preserve"> Informe GEM España 2017-2018</w:t>
            </w:r>
          </w:p>
        </w:tc>
        <w:tc>
          <w:tcPr>
            <w:tcW w:w="823" w:type="pct"/>
            <w:tcBorders>
              <w:top w:val="single" w:sz="6" w:space="0" w:color="000000" w:themeColor="text1"/>
              <w:right w:val="nil"/>
            </w:tcBorders>
            <w:shd w:val="clear" w:color="auto" w:fill="auto"/>
          </w:tcPr>
          <w:p w14:paraId="3A70ADFA" w14:textId="77777777" w:rsidR="00F211BF" w:rsidRPr="00744F08" w:rsidRDefault="00F211BF" w:rsidP="00782F72">
            <w:pPr>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0000"/>
                <w:sz w:val="16"/>
                <w:szCs w:val="18"/>
                <w:lang w:val="es-ES" w:eastAsia="en-GB"/>
              </w:rPr>
            </w:pPr>
          </w:p>
        </w:tc>
      </w:tr>
    </w:tbl>
    <w:p w14:paraId="54F31A15" w14:textId="4EDE4D26" w:rsidR="00E64529" w:rsidRDefault="00E64529" w:rsidP="00F26226">
      <w:pPr>
        <w:pStyle w:val="Body"/>
        <w:spacing w:before="120"/>
        <w:rPr>
          <w:rFonts w:cs="Arial"/>
        </w:rPr>
      </w:pPr>
      <w:r>
        <w:rPr>
          <w:rFonts w:cs="Arial"/>
        </w:rPr>
        <w:t xml:space="preserve">Los datos anteriores nos indican que aún hay margen de mejora, al encontrarse España por debajo de la media de la UE. Además, si hacemos una comparación con otras economías a nivel mundial, vemos que el TEA de España está lejos del TEA promedio de otras economías basadas en la innovación que es del 9,2% (recordar que España está clasificada como economía basada en </w:t>
      </w:r>
      <w:r w:rsidR="00CB132A">
        <w:rPr>
          <w:rFonts w:cs="Arial"/>
        </w:rPr>
        <w:t>la innovación</w:t>
      </w:r>
      <w:r>
        <w:rPr>
          <w:rFonts w:cs="Arial"/>
        </w:rPr>
        <w:t xml:space="preserve"> según el World Economic Forum). </w:t>
      </w:r>
    </w:p>
    <w:p w14:paraId="41429C65" w14:textId="4352159A" w:rsidR="000B170B" w:rsidRDefault="000B170B" w:rsidP="00F26226">
      <w:pPr>
        <w:pStyle w:val="Body"/>
        <w:spacing w:before="120"/>
        <w:rPr>
          <w:rFonts w:cs="Arial"/>
        </w:rPr>
      </w:pPr>
      <w:r>
        <w:rPr>
          <w:rFonts w:cs="Arial"/>
        </w:rPr>
        <w:t>Esta situación también la refleja la última SBA Fact Sheet, donde España aparece por debajo a la media europea en casi todos los indicadores en el principio de emprendimiento.</w:t>
      </w:r>
    </w:p>
    <w:p w14:paraId="61247C82" w14:textId="14A339F5" w:rsidR="00B700B2" w:rsidRDefault="001904A7" w:rsidP="00F26226">
      <w:pPr>
        <w:pStyle w:val="Body"/>
        <w:spacing w:before="120"/>
        <w:rPr>
          <w:rFonts w:cs="Arial"/>
        </w:rPr>
      </w:pPr>
      <w:r>
        <w:rPr>
          <w:rFonts w:cs="Arial"/>
        </w:rPr>
        <w:t>Para</w:t>
      </w:r>
      <w:r w:rsidR="00B700B2">
        <w:rPr>
          <w:rFonts w:cs="Arial"/>
        </w:rPr>
        <w:t xml:space="preserve"> mejora</w:t>
      </w:r>
      <w:r>
        <w:rPr>
          <w:rFonts w:cs="Arial"/>
        </w:rPr>
        <w:t>r</w:t>
      </w:r>
      <w:r w:rsidR="00B700B2">
        <w:rPr>
          <w:rFonts w:cs="Arial"/>
        </w:rPr>
        <w:t xml:space="preserve"> </w:t>
      </w:r>
      <w:r w:rsidR="00B56154">
        <w:rPr>
          <w:rFonts w:cs="Arial"/>
        </w:rPr>
        <w:t>el emprendimiento</w:t>
      </w:r>
      <w:r w:rsidR="00B700B2">
        <w:rPr>
          <w:rFonts w:cs="Arial"/>
        </w:rPr>
        <w:t xml:space="preserve"> en España </w:t>
      </w:r>
      <w:r>
        <w:rPr>
          <w:rFonts w:cs="Arial"/>
        </w:rPr>
        <w:t xml:space="preserve">se </w:t>
      </w:r>
      <w:r w:rsidR="00B700B2">
        <w:rPr>
          <w:rFonts w:cs="Arial"/>
        </w:rPr>
        <w:t>debería actuar en distintos ámbitos:</w:t>
      </w:r>
    </w:p>
    <w:p w14:paraId="4FC965DC" w14:textId="1892223B" w:rsidR="00B700B2" w:rsidRPr="00BF5596" w:rsidRDefault="00B700B2" w:rsidP="00757E55">
      <w:pPr>
        <w:pStyle w:val="Body"/>
        <w:numPr>
          <w:ilvl w:val="0"/>
          <w:numId w:val="37"/>
        </w:numPr>
        <w:rPr>
          <w:rFonts w:cs="Arial"/>
        </w:rPr>
      </w:pPr>
      <w:r w:rsidRPr="00BF5596">
        <w:rPr>
          <w:rFonts w:cs="Arial"/>
        </w:rPr>
        <w:t xml:space="preserve">La del propio </w:t>
      </w:r>
      <w:r w:rsidRPr="00BF5596">
        <w:rPr>
          <w:rFonts w:cs="Arial"/>
          <w:b/>
        </w:rPr>
        <w:t>ecosistema emprendedor</w:t>
      </w:r>
      <w:r w:rsidRPr="00BF5596">
        <w:rPr>
          <w:rFonts w:cs="Arial"/>
        </w:rPr>
        <w:t xml:space="preserve">, para identificar las necesidades específicas que demandan </w:t>
      </w:r>
      <w:r w:rsidR="001904A7">
        <w:rPr>
          <w:rFonts w:cs="Arial"/>
        </w:rPr>
        <w:t>nuestras</w:t>
      </w:r>
      <w:r w:rsidRPr="00BF5596">
        <w:rPr>
          <w:rFonts w:cs="Arial"/>
        </w:rPr>
        <w:t xml:space="preserve"> </w:t>
      </w:r>
      <w:r w:rsidR="00F50FFA">
        <w:rPr>
          <w:rFonts w:cs="Arial"/>
        </w:rPr>
        <w:t>start-ups.</w:t>
      </w:r>
    </w:p>
    <w:p w14:paraId="7C559291" w14:textId="5BFE3395" w:rsidR="00B700B2" w:rsidRPr="00BF5596" w:rsidRDefault="00B700B2" w:rsidP="00757E55">
      <w:pPr>
        <w:pStyle w:val="Body"/>
        <w:numPr>
          <w:ilvl w:val="0"/>
          <w:numId w:val="37"/>
        </w:numPr>
        <w:rPr>
          <w:rFonts w:cs="Arial"/>
        </w:rPr>
      </w:pPr>
      <w:r w:rsidRPr="00BF5596">
        <w:rPr>
          <w:rFonts w:cs="Arial"/>
        </w:rPr>
        <w:t xml:space="preserve">El de la </w:t>
      </w:r>
      <w:r w:rsidRPr="00BF5596">
        <w:rPr>
          <w:rFonts w:cs="Arial"/>
          <w:b/>
        </w:rPr>
        <w:t>financiación</w:t>
      </w:r>
      <w:r w:rsidRPr="00BF5596">
        <w:rPr>
          <w:rFonts w:cs="Arial"/>
        </w:rPr>
        <w:t>, dada la tradicional dificultad de acceso a la financiación bancaria</w:t>
      </w:r>
      <w:r w:rsidR="00F50FFA">
        <w:rPr>
          <w:rFonts w:cs="Arial"/>
        </w:rPr>
        <w:t xml:space="preserve"> que afrontan los emprendedores.</w:t>
      </w:r>
    </w:p>
    <w:p w14:paraId="79E4C939" w14:textId="60C8E786" w:rsidR="00B700B2" w:rsidRDefault="00B700B2" w:rsidP="00757E55">
      <w:pPr>
        <w:pStyle w:val="Body"/>
        <w:numPr>
          <w:ilvl w:val="0"/>
          <w:numId w:val="37"/>
        </w:numPr>
        <w:rPr>
          <w:rFonts w:cs="Arial"/>
        </w:rPr>
      </w:pPr>
      <w:r w:rsidRPr="00BF5596">
        <w:rPr>
          <w:rFonts w:cs="Arial"/>
          <w:b/>
        </w:rPr>
        <w:t>Educación</w:t>
      </w:r>
      <w:r w:rsidRPr="00BF5596">
        <w:rPr>
          <w:rFonts w:cs="Arial"/>
        </w:rPr>
        <w:t xml:space="preserve">. </w:t>
      </w:r>
      <w:r w:rsidR="00F50FFA">
        <w:rPr>
          <w:rFonts w:cs="Arial"/>
        </w:rPr>
        <w:t xml:space="preserve">No cabe duda que </w:t>
      </w:r>
      <w:r w:rsidRPr="00BF5596">
        <w:rPr>
          <w:rFonts w:cs="Arial"/>
        </w:rPr>
        <w:t>la inversión en emprendimiento es una de las más rentables que puede hacer Europa</w:t>
      </w:r>
      <w:r w:rsidR="00F50FFA" w:rsidRPr="00BF5596">
        <w:rPr>
          <w:rFonts w:cs="Arial"/>
          <w:vertAlign w:val="superscript"/>
          <w:lang w:val="en-GB"/>
        </w:rPr>
        <w:footnoteReference w:id="12"/>
      </w:r>
      <w:r w:rsidRPr="00BF5596">
        <w:rPr>
          <w:rFonts w:cs="Arial"/>
        </w:rPr>
        <w:t xml:space="preserve">. </w:t>
      </w:r>
      <w:r w:rsidR="00F50FFA">
        <w:rPr>
          <w:rFonts w:cs="Arial"/>
        </w:rPr>
        <w:t>E</w:t>
      </w:r>
      <w:r w:rsidR="00F50FFA" w:rsidRPr="00BF5596">
        <w:rPr>
          <w:rFonts w:cs="Arial"/>
        </w:rPr>
        <w:t xml:space="preserve">n </w:t>
      </w:r>
      <w:r w:rsidR="00F50FFA">
        <w:rPr>
          <w:rFonts w:cs="Arial"/>
        </w:rPr>
        <w:t>palabras</w:t>
      </w:r>
      <w:r w:rsidR="00F50FFA" w:rsidRPr="00BF5596">
        <w:rPr>
          <w:rFonts w:cs="Arial"/>
        </w:rPr>
        <w:t xml:space="preserve"> de la Comisión Europea</w:t>
      </w:r>
      <w:r w:rsidRPr="00BF5596">
        <w:rPr>
          <w:rFonts w:cs="Arial"/>
        </w:rPr>
        <w:t xml:space="preserve">, tanto la escuela como la universidad en </w:t>
      </w:r>
      <w:r w:rsidR="001904A7">
        <w:rPr>
          <w:rFonts w:cs="Arial"/>
        </w:rPr>
        <w:t>España</w:t>
      </w:r>
      <w:r w:rsidRPr="00BF5596">
        <w:rPr>
          <w:rFonts w:cs="Arial"/>
        </w:rPr>
        <w:t xml:space="preserve"> de</w:t>
      </w:r>
      <w:r w:rsidR="00F50FFA">
        <w:rPr>
          <w:rFonts w:cs="Arial"/>
        </w:rPr>
        <w:t>ben “hacerse más emprendedoras</w:t>
      </w:r>
      <w:r w:rsidR="001904A7">
        <w:rPr>
          <w:rFonts w:cs="Arial"/>
        </w:rPr>
        <w:t>”.</w:t>
      </w:r>
    </w:p>
    <w:p w14:paraId="590875FC" w14:textId="299FC42C" w:rsidR="00B700B2" w:rsidRDefault="00B700B2" w:rsidP="00757E55">
      <w:pPr>
        <w:pStyle w:val="Body"/>
        <w:numPr>
          <w:ilvl w:val="0"/>
          <w:numId w:val="37"/>
        </w:numPr>
        <w:rPr>
          <w:rFonts w:cs="Arial"/>
        </w:rPr>
      </w:pPr>
      <w:r w:rsidRPr="001A3158">
        <w:rPr>
          <w:rFonts w:cs="Arial"/>
          <w:b/>
        </w:rPr>
        <w:t>Cultura empresarial</w:t>
      </w:r>
      <w:r>
        <w:rPr>
          <w:rFonts w:cs="Arial"/>
        </w:rPr>
        <w:t>. Trabajar en mejora</w:t>
      </w:r>
      <w:r w:rsidR="00B56154">
        <w:rPr>
          <w:rFonts w:cs="Arial"/>
        </w:rPr>
        <w:t>r</w:t>
      </w:r>
      <w:r>
        <w:rPr>
          <w:rFonts w:cs="Arial"/>
        </w:rPr>
        <w:t xml:space="preserve"> la </w:t>
      </w:r>
      <w:r w:rsidRPr="00DA3DD4">
        <w:rPr>
          <w:rFonts w:cs="Arial"/>
        </w:rPr>
        <w:t>imagen del empresario</w:t>
      </w:r>
      <w:r>
        <w:rPr>
          <w:rFonts w:cs="Arial"/>
        </w:rPr>
        <w:t>, como una persona que arriesga su patrimonio y que genera empleo y riqueza en la sociedad.</w:t>
      </w:r>
    </w:p>
    <w:p w14:paraId="34A31C24" w14:textId="6E343ABD" w:rsidR="00B700B2" w:rsidRDefault="00B700B2" w:rsidP="00757E55">
      <w:pPr>
        <w:pStyle w:val="Body"/>
        <w:numPr>
          <w:ilvl w:val="0"/>
          <w:numId w:val="37"/>
        </w:numPr>
        <w:rPr>
          <w:rFonts w:cs="Arial"/>
        </w:rPr>
      </w:pPr>
      <w:r>
        <w:rPr>
          <w:rFonts w:cs="Arial"/>
          <w:b/>
        </w:rPr>
        <w:t xml:space="preserve">Facilitar </w:t>
      </w:r>
      <w:r w:rsidR="00C5656B">
        <w:rPr>
          <w:rFonts w:cs="Arial"/>
          <w:b/>
        </w:rPr>
        <w:t>la creación de empresas</w:t>
      </w:r>
      <w:r>
        <w:rPr>
          <w:rFonts w:cs="Arial"/>
        </w:rPr>
        <w:t xml:space="preserve">. Creando un </w:t>
      </w:r>
      <w:r w:rsidRPr="00DA3DD4">
        <w:rPr>
          <w:rFonts w:cs="Arial"/>
        </w:rPr>
        <w:t>marco favorable</w:t>
      </w:r>
      <w:r>
        <w:rPr>
          <w:rFonts w:cs="Arial"/>
        </w:rPr>
        <w:t xml:space="preserve"> </w:t>
      </w:r>
      <w:r w:rsidR="00EF30DA">
        <w:rPr>
          <w:rFonts w:cs="Arial"/>
        </w:rPr>
        <w:t>para</w:t>
      </w:r>
      <w:r>
        <w:rPr>
          <w:rFonts w:cs="Arial"/>
        </w:rPr>
        <w:t xml:space="preserve"> que aquellos que están dispuestos a empren</w:t>
      </w:r>
      <w:r w:rsidR="006D0FF3">
        <w:rPr>
          <w:rFonts w:cs="Arial"/>
        </w:rPr>
        <w:t xml:space="preserve">der, lo puedan hacer </w:t>
      </w:r>
      <w:r w:rsidR="00C5656B">
        <w:rPr>
          <w:rFonts w:cs="Arial"/>
        </w:rPr>
        <w:t>de manera rápida y sencilla</w:t>
      </w:r>
      <w:r>
        <w:rPr>
          <w:rFonts w:cs="Arial"/>
        </w:rPr>
        <w:t>.</w:t>
      </w:r>
      <w:r w:rsidR="00F50FFA">
        <w:rPr>
          <w:rFonts w:cs="Arial"/>
        </w:rPr>
        <w:t xml:space="preserve"> </w:t>
      </w:r>
    </w:p>
    <w:p w14:paraId="707B5184" w14:textId="5D38FC4F" w:rsidR="00B700B2" w:rsidRPr="00C5656B" w:rsidRDefault="00F50FFA" w:rsidP="00757E55">
      <w:pPr>
        <w:pStyle w:val="Body"/>
        <w:numPr>
          <w:ilvl w:val="0"/>
          <w:numId w:val="37"/>
        </w:numPr>
        <w:rPr>
          <w:rFonts w:cs="Arial"/>
        </w:rPr>
      </w:pPr>
      <w:r>
        <w:rPr>
          <w:rFonts w:cs="Arial"/>
          <w:b/>
        </w:rPr>
        <w:t>S</w:t>
      </w:r>
      <w:r w:rsidRPr="00C5656B">
        <w:rPr>
          <w:rFonts w:cs="Arial"/>
          <w:b/>
        </w:rPr>
        <w:t>egunda oportunidad</w:t>
      </w:r>
      <w:r>
        <w:rPr>
          <w:rFonts w:cs="Arial"/>
        </w:rPr>
        <w:t>. F</w:t>
      </w:r>
      <w:r w:rsidR="00B700B2" w:rsidRPr="00C5656B">
        <w:rPr>
          <w:rFonts w:cs="Arial"/>
        </w:rPr>
        <w:t xml:space="preserve">acilitar a los empresarios que hayan tenido </w:t>
      </w:r>
      <w:r w:rsidR="00C5656B">
        <w:rPr>
          <w:rFonts w:cs="Arial"/>
        </w:rPr>
        <w:t>un</w:t>
      </w:r>
      <w:r w:rsidR="00C5656B" w:rsidRPr="00C5656B">
        <w:rPr>
          <w:rFonts w:cs="Arial"/>
        </w:rPr>
        <w:t xml:space="preserve"> fracaso económico empresarial </w:t>
      </w:r>
      <w:r w:rsidR="00B700B2" w:rsidRPr="00C5656B">
        <w:rPr>
          <w:rFonts w:cs="Arial"/>
        </w:rPr>
        <w:t>el poder emprender de nuevo.</w:t>
      </w:r>
    </w:p>
    <w:p w14:paraId="19C1C587" w14:textId="34BEE1ED" w:rsidR="00B700B2" w:rsidRPr="00BF5596" w:rsidRDefault="00B700B2" w:rsidP="00B700B2">
      <w:pPr>
        <w:pStyle w:val="Body"/>
        <w:rPr>
          <w:b/>
          <w:u w:val="single"/>
        </w:rPr>
      </w:pPr>
      <w:r w:rsidRPr="00BF5596">
        <w:rPr>
          <w:b/>
          <w:u w:val="single"/>
        </w:rPr>
        <w:t>El ecosistema emprendedor en España</w:t>
      </w:r>
    </w:p>
    <w:p w14:paraId="39C39553" w14:textId="5FD4E5CB" w:rsidR="00B700B2" w:rsidRPr="00BF5596" w:rsidRDefault="006D0FF3" w:rsidP="00B700B2">
      <w:pPr>
        <w:pStyle w:val="Body"/>
      </w:pPr>
      <w:r>
        <w:t>E</w:t>
      </w:r>
      <w:r w:rsidR="00B700B2" w:rsidRPr="00BF5596">
        <w:t xml:space="preserve">xiste una opinión generalizada de que en los últimos años se ha producido en España una verdadera eclosión del emprendimiento y que, a pesar de que persiste todavía un diferencial importante respecto a los ecosistemas más dinámicos a nivel internacional, los avances van </w:t>
      </w:r>
      <w:r w:rsidR="00B700B2" w:rsidRPr="00BF5596">
        <w:lastRenderedPageBreak/>
        <w:t xml:space="preserve">en la dirección adecuada. Ello está siendo posible gracias a los cambios que se están produciendo en </w:t>
      </w:r>
      <w:r w:rsidR="00A33563">
        <w:t>una serie de</w:t>
      </w:r>
      <w:r w:rsidR="00B700B2" w:rsidRPr="00BF5596">
        <w:t xml:space="preserve"> ámbitos:</w:t>
      </w:r>
    </w:p>
    <w:p w14:paraId="1F445D5B" w14:textId="14D7B2A1" w:rsidR="00B700B2" w:rsidRPr="00BF5596" w:rsidRDefault="00B700B2" w:rsidP="00757E55">
      <w:pPr>
        <w:pStyle w:val="Body"/>
        <w:numPr>
          <w:ilvl w:val="1"/>
          <w:numId w:val="41"/>
        </w:numPr>
        <w:ind w:left="709"/>
        <w:rPr>
          <w:rFonts w:cs="Arial"/>
        </w:rPr>
      </w:pPr>
      <w:r w:rsidRPr="00BF5596">
        <w:rPr>
          <w:rFonts w:cs="Arial"/>
        </w:rPr>
        <w:t xml:space="preserve">La calidad de los proyectos y la madurez de sus equipos promotores, con propuestas de valor cada vez más sólidas y dimensionadas que están demostrando ya su capacidad de competir con éxito en los mercados </w:t>
      </w:r>
      <w:r w:rsidR="000F52D2" w:rsidRPr="00224469">
        <w:rPr>
          <w:rFonts w:cs="Arial"/>
        </w:rPr>
        <w:t>nacionales e</w:t>
      </w:r>
      <w:r w:rsidR="000F52D2">
        <w:rPr>
          <w:rFonts w:cs="Arial"/>
        </w:rPr>
        <w:t xml:space="preserve"> </w:t>
      </w:r>
      <w:r w:rsidRPr="00BF5596">
        <w:rPr>
          <w:rFonts w:cs="Arial"/>
        </w:rPr>
        <w:t xml:space="preserve">internacionales; </w:t>
      </w:r>
    </w:p>
    <w:p w14:paraId="1CBE3B7C" w14:textId="38F59C6B" w:rsidR="00B700B2" w:rsidRPr="00BF5596" w:rsidRDefault="00B700B2" w:rsidP="00757E55">
      <w:pPr>
        <w:pStyle w:val="Body"/>
        <w:numPr>
          <w:ilvl w:val="1"/>
          <w:numId w:val="41"/>
        </w:numPr>
        <w:ind w:left="709"/>
        <w:rPr>
          <w:rFonts w:cs="Arial"/>
        </w:rPr>
      </w:pPr>
      <w:r w:rsidRPr="00BF5596">
        <w:rPr>
          <w:rFonts w:cs="Arial"/>
        </w:rPr>
        <w:t>el desarrollo de un sistema financiero más especializado capaz de dar respuestas cada vez mejor adaptadas a las necesidades de los emprendedores;</w:t>
      </w:r>
    </w:p>
    <w:p w14:paraId="48FCCC34" w14:textId="6CF01F82" w:rsidR="00B700B2" w:rsidRPr="00BF5596" w:rsidRDefault="00B700B2" w:rsidP="00757E55">
      <w:pPr>
        <w:pStyle w:val="Body"/>
        <w:numPr>
          <w:ilvl w:val="1"/>
          <w:numId w:val="41"/>
        </w:numPr>
        <w:ind w:left="709"/>
        <w:rPr>
          <w:rFonts w:cs="Arial"/>
        </w:rPr>
      </w:pPr>
      <w:r w:rsidRPr="00BF5596">
        <w:rPr>
          <w:rFonts w:cs="Arial"/>
        </w:rPr>
        <w:t>la mayor participación de las grandes corporaciones a partir de lo que se conoce como estrategias de “innovación abierta”;</w:t>
      </w:r>
    </w:p>
    <w:p w14:paraId="26A2BCE9" w14:textId="58D26961" w:rsidR="00B700B2" w:rsidRDefault="00B700B2" w:rsidP="00757E55">
      <w:pPr>
        <w:pStyle w:val="Body"/>
        <w:numPr>
          <w:ilvl w:val="1"/>
          <w:numId w:val="41"/>
        </w:numPr>
        <w:ind w:left="709"/>
      </w:pPr>
      <w:r w:rsidRPr="00FC6784">
        <w:rPr>
          <w:rFonts w:cs="Arial"/>
        </w:rPr>
        <w:t>los avances regulatorios e iniciativas de políticas públicas que afectan, directa o indirectament</w:t>
      </w:r>
      <w:r w:rsidR="00FC6784" w:rsidRPr="00FC6784">
        <w:rPr>
          <w:rFonts w:cs="Arial"/>
        </w:rPr>
        <w:t>e, a la actividad emprendedora</w:t>
      </w:r>
      <w:r w:rsidR="001F24B0">
        <w:rPr>
          <w:rFonts w:cs="Arial"/>
        </w:rPr>
        <w:t xml:space="preserve">, que se ha </w:t>
      </w:r>
      <w:r w:rsidRPr="00BF5596">
        <w:t xml:space="preserve">traducido, entre otras cosas, en la aprobación de </w:t>
      </w:r>
      <w:r w:rsidR="00261D37">
        <w:t xml:space="preserve">distintas </w:t>
      </w:r>
      <w:r w:rsidRPr="00BF5596">
        <w:t>iniciativas legislativas</w:t>
      </w:r>
      <w:r w:rsidR="00157989">
        <w:t xml:space="preserve"> de apoyo a emprendedores</w:t>
      </w:r>
      <w:r w:rsidRPr="009200E1">
        <w:t>.</w:t>
      </w:r>
    </w:p>
    <w:p w14:paraId="6A987C53" w14:textId="46E787A7" w:rsidR="00F56051" w:rsidRDefault="00F56051" w:rsidP="00F56051">
      <w:pPr>
        <w:pStyle w:val="Body"/>
      </w:pPr>
      <w:r>
        <w:t>No obstante, existe un gran número de entidades públicas y privadas de apoyo al emprendimiento que si bien son de gran ayuda a todo aquél que quiere iniciar un proyecto empresarial puede, al mismo tiempo, generarle confusión al ofrecer múltiples programas, ayudas, etc., sin una coordinación y donde se producen solapamientos</w:t>
      </w:r>
      <w:r>
        <w:rPr>
          <w:rStyle w:val="Refdenotaalpie"/>
        </w:rPr>
        <w:footnoteReference w:id="13"/>
      </w:r>
      <w:r>
        <w:t>.</w:t>
      </w:r>
    </w:p>
    <w:p w14:paraId="2706D909" w14:textId="10B4DE1A" w:rsidR="00F56051" w:rsidRPr="00BF5596" w:rsidRDefault="00F56051" w:rsidP="00F56051">
      <w:pPr>
        <w:pStyle w:val="Body"/>
      </w:pPr>
      <w:r>
        <w:t xml:space="preserve">Se hace necesario, por tanto, una mayor coordinación de políticas públicas en este ámbito, así como </w:t>
      </w:r>
      <w:r w:rsidR="00DE3703">
        <w:t>una mejor relación y comunicación con el ámbito privado. El conocimiento de los instrumentos existentes, el intercambio de mejores prácticas y de casos de fallo (para evitar repetir errores), pueden ser prácticas útiles a la hora de desarrollar el ecosistema emprendedor español.</w:t>
      </w:r>
    </w:p>
    <w:p w14:paraId="4C35F92E" w14:textId="77777777" w:rsidR="00B700B2" w:rsidRPr="00EA1191" w:rsidRDefault="00B700B2" w:rsidP="00B700B2">
      <w:pPr>
        <w:pStyle w:val="Body"/>
        <w:rPr>
          <w:b/>
          <w:u w:val="single"/>
        </w:rPr>
      </w:pPr>
      <w:r w:rsidRPr="00EA1191">
        <w:rPr>
          <w:b/>
          <w:u w:val="single"/>
        </w:rPr>
        <w:t>Financiación</w:t>
      </w:r>
    </w:p>
    <w:p w14:paraId="4DA53EF0" w14:textId="3EE65827" w:rsidR="00B700B2" w:rsidRPr="00EA1191" w:rsidRDefault="00261D37" w:rsidP="00B700B2">
      <w:pPr>
        <w:pStyle w:val="Body"/>
      </w:pPr>
      <w:r>
        <w:t>Aunque este aspecto se trata en su palanca específica, sólo recordar que e</w:t>
      </w:r>
      <w:r w:rsidR="006D0FF3">
        <w:t xml:space="preserve">l acceso a la financiación es </w:t>
      </w:r>
      <w:r w:rsidR="00B700B2" w:rsidRPr="00EA1191">
        <w:t xml:space="preserve">uno de los principales obstáculos al emprendimiento en las economías europeas. En general, </w:t>
      </w:r>
      <w:r w:rsidR="00C91974">
        <w:t>las</w:t>
      </w:r>
      <w:r w:rsidR="00B700B2" w:rsidRPr="00EA1191">
        <w:t xml:space="preserve"> empresas</w:t>
      </w:r>
      <w:r w:rsidR="00C91974">
        <w:t xml:space="preserve"> nuevas</w:t>
      </w:r>
      <w:r w:rsidR="00B700B2" w:rsidRPr="00EA1191">
        <w:t xml:space="preserve"> presentan menor calidad crediticia y mayor dificultad para proporcionar la información suficiente que permita a las entidades financiadoras discriminar entre las empresas más solventes y las más arriesgadas. </w:t>
      </w:r>
    </w:p>
    <w:p w14:paraId="64B5F464" w14:textId="77777777" w:rsidR="00B700B2" w:rsidRPr="00F33F47" w:rsidRDefault="00B700B2" w:rsidP="00B700B2">
      <w:pPr>
        <w:pStyle w:val="Body"/>
        <w:rPr>
          <w:b/>
          <w:u w:val="single"/>
        </w:rPr>
      </w:pPr>
      <w:r w:rsidRPr="00F33F47">
        <w:rPr>
          <w:b/>
          <w:u w:val="single"/>
        </w:rPr>
        <w:t>Educación</w:t>
      </w:r>
      <w:r>
        <w:rPr>
          <w:b/>
          <w:u w:val="single"/>
        </w:rPr>
        <w:t xml:space="preserve"> para el emprendimiento</w:t>
      </w:r>
    </w:p>
    <w:p w14:paraId="730E9D5F" w14:textId="022991F0" w:rsidR="00873E6D" w:rsidRDefault="00873E6D" w:rsidP="005E6381">
      <w:pPr>
        <w:pStyle w:val="Body"/>
      </w:pPr>
      <w:r>
        <w:t xml:space="preserve">La educación para el emprendimiento </w:t>
      </w:r>
      <w:r w:rsidR="00FC3479">
        <w:t xml:space="preserve">(EE) </w:t>
      </w:r>
      <w:r>
        <w:t xml:space="preserve">es un elemento </w:t>
      </w:r>
      <w:r w:rsidR="005E6381">
        <w:t>fundamental</w:t>
      </w:r>
      <w:r>
        <w:t xml:space="preserve"> para promocionar e inculcar entre los jóvenes la cultura emprendedora, así como para proporcionar las competencias y habilidades necesarias para que éstos lleven a cabo iniciativas emprendedoras en el futuro.</w:t>
      </w:r>
      <w:r w:rsidR="005E6381">
        <w:t xml:space="preserve"> Ya en 2006, la Comisión Europea en su Recomendación sobre las </w:t>
      </w:r>
      <w:r w:rsidR="005E6381">
        <w:lastRenderedPageBreak/>
        <w:t>competencias clave para el aprendizaje permanente, identificó el “sentido de la iniciativa y espíritu emprendedor” como una de ocho competencias clave.</w:t>
      </w:r>
    </w:p>
    <w:p w14:paraId="7F099C02" w14:textId="57283AB8" w:rsidR="00873E6D" w:rsidRDefault="00873E6D" w:rsidP="00FC3479">
      <w:pPr>
        <w:pStyle w:val="Body"/>
      </w:pPr>
      <w:r>
        <w:t xml:space="preserve">La situación </w:t>
      </w:r>
      <w:r w:rsidR="00322B27">
        <w:t xml:space="preserve">actual </w:t>
      </w:r>
      <w:r>
        <w:t xml:space="preserve">en España la podemos </w:t>
      </w:r>
      <w:r w:rsidR="007916CD">
        <w:t xml:space="preserve">conocer </w:t>
      </w:r>
      <w:r>
        <w:t xml:space="preserve">en el informe de </w:t>
      </w:r>
      <w:r w:rsidR="00622146">
        <w:t xml:space="preserve">la Red </w:t>
      </w:r>
      <w:r>
        <w:t>Eurydice</w:t>
      </w:r>
      <w:r w:rsidR="00322B27">
        <w:t>,</w:t>
      </w:r>
      <w:r>
        <w:t xml:space="preserve"> “La educación para el emprendimiento en los centros educativos en Europa”. </w:t>
      </w:r>
      <w:r w:rsidR="00322B27">
        <w:t xml:space="preserve">En éste se estudia la situación de la EE en los EEMM. </w:t>
      </w:r>
      <w:r w:rsidR="005C3219">
        <w:t>El estudio pone de manifiesto la importancia de contar con una buena definición de EE. E</w:t>
      </w:r>
      <w:r w:rsidR="007916CD">
        <w:t xml:space="preserve">l informe destaca que España </w:t>
      </w:r>
      <w:r w:rsidR="005E6381">
        <w:t xml:space="preserve">cuenta con una definición </w:t>
      </w:r>
      <w:r w:rsidR="007916CD">
        <w:t>en línea con la que</w:t>
      </w:r>
      <w:r w:rsidR="00FC3479">
        <w:t xml:space="preserve"> aparece en el Marco de referencia europeo sobre competencias clave para el</w:t>
      </w:r>
      <w:r w:rsidR="003E3BCD">
        <w:t xml:space="preserve"> </w:t>
      </w:r>
      <w:r w:rsidR="00FC3479">
        <w:t>aprendizaje a lo largo de la vida</w:t>
      </w:r>
      <w:r w:rsidR="003E3BCD">
        <w:t xml:space="preserve">. </w:t>
      </w:r>
      <w:r w:rsidR="00322B27">
        <w:t>Dicha definición</w:t>
      </w:r>
      <w:r w:rsidR="003E3BCD">
        <w:t xml:space="preserve"> </w:t>
      </w:r>
      <w:r w:rsidR="0060201F">
        <w:t xml:space="preserve">enfatiza </w:t>
      </w:r>
      <w:r w:rsidR="005E6381">
        <w:t xml:space="preserve">el conocimiento y las habilidades relacionadas con las oportunidades profesionales y de empleo, </w:t>
      </w:r>
      <w:r w:rsidR="0060201F">
        <w:t xml:space="preserve">con </w:t>
      </w:r>
      <w:r w:rsidR="005E6381">
        <w:t xml:space="preserve">la educación económica y financiera y </w:t>
      </w:r>
      <w:r w:rsidR="0060201F">
        <w:t>con</w:t>
      </w:r>
      <w:r w:rsidR="005E6381">
        <w:t xml:space="preserve"> los principios de la gestión </w:t>
      </w:r>
      <w:r w:rsidR="0060201F">
        <w:t xml:space="preserve">empresarial. </w:t>
      </w:r>
    </w:p>
    <w:p w14:paraId="05012EB4" w14:textId="77777777" w:rsidR="005C3219" w:rsidRDefault="00322B27" w:rsidP="00FC3479">
      <w:pPr>
        <w:pStyle w:val="Body"/>
      </w:pPr>
      <w:r>
        <w:t xml:space="preserve">Por otro lado, </w:t>
      </w:r>
      <w:r w:rsidR="005C3219">
        <w:t xml:space="preserve">el informe analiza el estado de la EE en distintas áreas, como la estrategia, el currículo y el apoyo al profesorado. </w:t>
      </w:r>
    </w:p>
    <w:p w14:paraId="3CAAD976" w14:textId="6A2671C1" w:rsidR="0060201F" w:rsidRDefault="005C3219" w:rsidP="00FC3479">
      <w:pPr>
        <w:pStyle w:val="Body"/>
      </w:pPr>
      <w:r>
        <w:t xml:space="preserve">En el caso de España se indica que </w:t>
      </w:r>
      <w:r w:rsidR="003E3BCD">
        <w:t xml:space="preserve">no </w:t>
      </w:r>
      <w:r w:rsidR="00FC3479">
        <w:t xml:space="preserve">tiene una estrategia específica </w:t>
      </w:r>
      <w:r>
        <w:t>a</w:t>
      </w:r>
      <w:r w:rsidR="00FC3479">
        <w:t xml:space="preserve"> nivel nacional</w:t>
      </w:r>
      <w:r w:rsidR="003E3BCD">
        <w:t xml:space="preserve"> (existen varias estrategias y leyes</w:t>
      </w:r>
      <w:r w:rsidR="00070D40">
        <w:t xml:space="preserve"> interconecta</w:t>
      </w:r>
      <w:r w:rsidR="00A02299">
        <w:t>da</w:t>
      </w:r>
      <w:r w:rsidR="00070D40">
        <w:t>s</w:t>
      </w:r>
      <w:r w:rsidR="003E3BCD">
        <w:t>)</w:t>
      </w:r>
      <w:r w:rsidR="00FC3479">
        <w:t>, aunque varias Comunidades Autónomas cuentan con estrategias de EE bien desarrolladas</w:t>
      </w:r>
      <w:r w:rsidR="003E3BCD">
        <w:t xml:space="preserve">. En cambio, sí está integrada explícitamente en el currículo (la LOMCE lo hace </w:t>
      </w:r>
      <w:r w:rsidR="003E3BCD" w:rsidRPr="003E3BCD">
        <w:t>como componente transversal en todos los niveles</w:t>
      </w:r>
      <w:r w:rsidR="003E3BCD">
        <w:t xml:space="preserve">). </w:t>
      </w:r>
    </w:p>
    <w:p w14:paraId="03746D8F" w14:textId="5360919F" w:rsidR="003E3BCD" w:rsidRDefault="003E3BCD" w:rsidP="003E3BCD">
      <w:pPr>
        <w:pStyle w:val="Body"/>
      </w:pPr>
      <w:r>
        <w:t xml:space="preserve">En cuanto al apoyo al profesorado, la </w:t>
      </w:r>
      <w:r w:rsidRPr="003E3BCD">
        <w:t>f</w:t>
      </w:r>
      <w:r>
        <w:t xml:space="preserve">ormación inicial del mismo es responsabilidad de las universidades, que tienen autonomía para determinar sus propios programas a partir del currículo básico nacional. En el caso de la </w:t>
      </w:r>
      <w:r w:rsidRPr="003E3BCD">
        <w:t>formación permanente del profesorado</w:t>
      </w:r>
      <w:r>
        <w:t xml:space="preserve"> existe, a nivel nacional, una amplia variedad de cursos sobre competencias clave, pero muy pocos tratan exclusivamente de la EE. En cambio, los planes de desarrollo profesional del profesorado se definen a nivel regional, y muchos de ellos hacen referencia explícita a la EE.</w:t>
      </w:r>
    </w:p>
    <w:p w14:paraId="0E7B012E" w14:textId="107262D5" w:rsidR="00B700B2" w:rsidRPr="0067650C" w:rsidRDefault="00861EC5" w:rsidP="00B700B2">
      <w:pPr>
        <w:pStyle w:val="Body"/>
      </w:pPr>
      <w:r>
        <w:t>No cabe duda que el sistema educativo desempeña un papel fundamental en la creación de una cultura empresarial</w:t>
      </w:r>
      <w:r>
        <w:rPr>
          <w:rStyle w:val="Refdenotaalpie"/>
        </w:rPr>
        <w:footnoteReference w:id="14"/>
      </w:r>
      <w:r w:rsidR="001D197C">
        <w:t>, por tanto es fundamental contar con un sistema de calidad que contemple la formación en competencias empresariales</w:t>
      </w:r>
      <w:r>
        <w:t xml:space="preserve">. </w:t>
      </w:r>
      <w:r w:rsidR="001D197C">
        <w:t>En el caso de España</w:t>
      </w:r>
      <w:r w:rsidR="001D197C" w:rsidRPr="001D197C">
        <w:t xml:space="preserve"> </w:t>
      </w:r>
      <w:r w:rsidR="001D197C" w:rsidRPr="0067650C">
        <w:t>la mejora de los resultados educativos sigue siendo un reto</w:t>
      </w:r>
      <w:r w:rsidR="001D197C">
        <w:t>, s</w:t>
      </w:r>
      <w:r w:rsidR="00B700B2" w:rsidRPr="0067650C">
        <w:t>egún la OCDE</w:t>
      </w:r>
      <w:r w:rsidR="00B700B2" w:rsidRPr="0067650C">
        <w:rPr>
          <w:rStyle w:val="Refdenotaalpie"/>
        </w:rPr>
        <w:footnoteReference w:id="15"/>
      </w:r>
      <w:r w:rsidR="001D197C">
        <w:t>.</w:t>
      </w:r>
      <w:r w:rsidR="00B700B2" w:rsidRPr="0067650C">
        <w:t xml:space="preserve"> Para los estudiantes de 15 años de edad, los resultados en educación han permanecido por debajo del promedio de la OCDE a lo largo de los años. Los españoles de 16 a 24 años se desempeñan por debajo del promedio de sus pares en otros países que participan en </w:t>
      </w:r>
      <w:r w:rsidR="00AA4BE1">
        <w:t>el</w:t>
      </w:r>
      <w:r w:rsidR="00B700B2" w:rsidRPr="0067650C">
        <w:t xml:space="preserve"> </w:t>
      </w:r>
      <w:r w:rsidR="00B700B2" w:rsidRPr="0067650C">
        <w:rPr>
          <w:i/>
        </w:rPr>
        <w:t>OECD Survey of Adult Skills</w:t>
      </w:r>
      <w:r w:rsidR="00B700B2" w:rsidRPr="0067650C">
        <w:t xml:space="preserve">. La matriculación en FP es inferior a la media de la OCDE y la </w:t>
      </w:r>
      <w:r w:rsidR="00B700B2" w:rsidRPr="0067650C">
        <w:rPr>
          <w:b/>
        </w:rPr>
        <w:t>tasa de abandono escolar temprano</w:t>
      </w:r>
      <w:r w:rsidR="00B700B2" w:rsidRPr="0067650C">
        <w:t xml:space="preserve"> (porcentaje de la población de 18 a 24 años que tiene como máximo el título de Enseñanza Secundaria Obligatoria y no está cursando ningún tipo de formación) es muy alta: 23,9% en el primer trimestre de 2013</w:t>
      </w:r>
      <w:r w:rsidR="00B700B2" w:rsidRPr="0067650C">
        <w:rPr>
          <w:rStyle w:val="Refdenotaalpie"/>
        </w:rPr>
        <w:footnoteReference w:id="16"/>
      </w:r>
      <w:r w:rsidR="00B700B2" w:rsidRPr="0067650C">
        <w:t>.</w:t>
      </w:r>
    </w:p>
    <w:p w14:paraId="1FE8E993" w14:textId="768EB094" w:rsidR="00B700B2" w:rsidRDefault="00B700B2" w:rsidP="00B700B2">
      <w:pPr>
        <w:pStyle w:val="Body"/>
      </w:pPr>
      <w:r w:rsidRPr="0067650C">
        <w:t xml:space="preserve">Estos indicadores repercuten negativamente en la </w:t>
      </w:r>
      <w:r w:rsidRPr="0067650C">
        <w:rPr>
          <w:b/>
        </w:rPr>
        <w:t>capacitación para el empleo</w:t>
      </w:r>
      <w:r w:rsidR="001D197C">
        <w:rPr>
          <w:b/>
        </w:rPr>
        <w:t xml:space="preserve"> y el emprendimiento</w:t>
      </w:r>
      <w:r w:rsidRPr="0067650C">
        <w:t>, ya que los que tienen menor nivel educativo están particularmente afectados por el desempleo, más que en la mayoría de los países de la OCDE.</w:t>
      </w:r>
      <w:r w:rsidR="00106E3D">
        <w:t xml:space="preserve"> Así</w:t>
      </w:r>
      <w:r w:rsidRPr="0067650C">
        <w:t xml:space="preserve">, casi el 25% de la población juvenil </w:t>
      </w:r>
      <w:r w:rsidR="00106E3D">
        <w:t xml:space="preserve">española </w:t>
      </w:r>
      <w:r w:rsidRPr="0067650C">
        <w:t xml:space="preserve">se encuentra en una situación en la que ni están trabajando </w:t>
      </w:r>
      <w:r w:rsidRPr="0067650C">
        <w:lastRenderedPageBreak/>
        <w:t>ni se están formando. Las altas tasas de deserción escolar y de desempleo juvenil requieren esfuerzos para consolidar las competencias básicas y responder mejor a las necesidades del mercado de trabajo.</w:t>
      </w:r>
    </w:p>
    <w:p w14:paraId="06909184" w14:textId="680B9E9E" w:rsidR="000B170B" w:rsidRDefault="000B170B" w:rsidP="00B700B2">
      <w:pPr>
        <w:pStyle w:val="Body"/>
      </w:pPr>
      <w:r>
        <w:t xml:space="preserve">Por otro lado, la SBA </w:t>
      </w:r>
      <w:r w:rsidR="00517BA8">
        <w:t>Fact Sheet</w:t>
      </w:r>
      <w:r>
        <w:t xml:space="preserve"> </w:t>
      </w:r>
      <w:r w:rsidR="007916CD">
        <w:t>señala</w:t>
      </w:r>
      <w:r>
        <w:t xml:space="preserve"> que “l</w:t>
      </w:r>
      <w:r w:rsidRPr="000B170B">
        <w:t xml:space="preserve">a educación en emprendimiento a nivel postsecundario (España tiene </w:t>
      </w:r>
      <w:r w:rsidR="00517BA8">
        <w:t xml:space="preserve">la segunda </w:t>
      </w:r>
      <w:r w:rsidRPr="000B170B">
        <w:t>peor punt</w:t>
      </w:r>
      <w:r w:rsidR="00517BA8">
        <w:t>uación</w:t>
      </w:r>
      <w:r w:rsidRPr="000B170B">
        <w:t xml:space="preserve"> en la UE) ha </w:t>
      </w:r>
      <w:r w:rsidR="007916CD">
        <w:t>empeorado</w:t>
      </w:r>
      <w:r w:rsidRPr="000B170B">
        <w:t xml:space="preserve"> desde 2014, lo que puede afectar las intenciones empresariales en los próximos años</w:t>
      </w:r>
      <w:r>
        <w:t>”</w:t>
      </w:r>
      <w:r w:rsidRPr="000B170B">
        <w:t>.</w:t>
      </w:r>
    </w:p>
    <w:p w14:paraId="22C864C5" w14:textId="77777777" w:rsidR="00B700B2" w:rsidRPr="00F33F47" w:rsidRDefault="00B700B2" w:rsidP="00B700B2">
      <w:pPr>
        <w:pStyle w:val="Body"/>
        <w:rPr>
          <w:b/>
          <w:u w:val="single"/>
        </w:rPr>
      </w:pPr>
      <w:r w:rsidRPr="00F33F47">
        <w:rPr>
          <w:b/>
          <w:u w:val="single"/>
        </w:rPr>
        <w:t>Cultura Empresarial</w:t>
      </w:r>
    </w:p>
    <w:p w14:paraId="7CCE8FD0" w14:textId="77777777" w:rsidR="00B700B2" w:rsidRDefault="00B700B2" w:rsidP="00B700B2">
      <w:pPr>
        <w:pStyle w:val="Body"/>
      </w:pPr>
      <w:r>
        <w:t>Junto a la formación en competencias emprendedoras se requiere una acción decidida para modificar la idea que la sociedad tiene del empresario.</w:t>
      </w:r>
    </w:p>
    <w:p w14:paraId="3F56EA7D" w14:textId="77777777" w:rsidR="00E93182" w:rsidRDefault="00B700B2" w:rsidP="00B700B2">
      <w:pPr>
        <w:pStyle w:val="Body"/>
      </w:pPr>
      <w:r>
        <w:t xml:space="preserve">El Círculo de Empresarios </w:t>
      </w:r>
      <w:r w:rsidR="00E93182">
        <w:t>viene realizando</w:t>
      </w:r>
      <w:r>
        <w:t xml:space="preserve"> un estudio donde analiza la </w:t>
      </w:r>
      <w:r w:rsidRPr="007424A3">
        <w:rPr>
          <w:b/>
        </w:rPr>
        <w:t>imagen del empresario</w:t>
      </w:r>
      <w:r>
        <w:t xml:space="preserve"> en los libros de texto. En </w:t>
      </w:r>
      <w:r w:rsidR="00E93182">
        <w:t>su última edición</w:t>
      </w:r>
      <w:r w:rsidR="00E93182">
        <w:rPr>
          <w:rStyle w:val="Refdenotaalpie"/>
        </w:rPr>
        <w:footnoteReference w:id="17"/>
      </w:r>
      <w:r>
        <w:t xml:space="preserve"> se reconoce que los manuales analizados han mejorado (desde 2003 que se realizó el primer estudio) al recibir la figura del empresario un tratamiento técnicamente correcto y con una óptica valorativa favorable. </w:t>
      </w:r>
    </w:p>
    <w:p w14:paraId="1D5E5C99" w14:textId="1A651668" w:rsidR="003C2125" w:rsidRDefault="003C2125" w:rsidP="00B700B2">
      <w:pPr>
        <w:pStyle w:val="Body"/>
      </w:pPr>
      <w:r>
        <w:t xml:space="preserve">No </w:t>
      </w:r>
      <w:r w:rsidR="00E02052">
        <w:t>obstante,</w:t>
      </w:r>
      <w:r>
        <w:t xml:space="preserve"> y según el informe GEM 2017-2018 </w:t>
      </w:r>
      <w:r w:rsidR="00E02052">
        <w:t>el p</w:t>
      </w:r>
      <w:r w:rsidR="00E02052" w:rsidRPr="00E02052">
        <w:t>orcentaje de población (18-64 años) que están de acuerdo con que emprender brinda estatus social y económico</w:t>
      </w:r>
      <w:r w:rsidR="00E02052">
        <w:t xml:space="preserve"> es del 48%, lejos aún de la media UE que es casi del 70% y de los principales países europeos que superan dicha media.</w:t>
      </w:r>
    </w:p>
    <w:p w14:paraId="1B700BE3" w14:textId="39164A88" w:rsidR="00B700B2" w:rsidRDefault="00E02052" w:rsidP="00B700B2">
      <w:pPr>
        <w:pStyle w:val="Body"/>
      </w:pPr>
      <w:r>
        <w:t xml:space="preserve">Los datos del estudio del Círculo de Empresarios nos llevan a pensar que esta mejora de la </w:t>
      </w:r>
      <w:r w:rsidR="00D002EC" w:rsidRPr="00D002EC">
        <w:t>visión del empresario,</w:t>
      </w:r>
      <w:r>
        <w:t xml:space="preserve"> genere sus frutos y provoque</w:t>
      </w:r>
      <w:r w:rsidR="00D002EC" w:rsidRPr="00D002EC">
        <w:t xml:space="preserve"> un mayor número de actividades emprendedoras en España.</w:t>
      </w:r>
    </w:p>
    <w:p w14:paraId="62820C30" w14:textId="77777777" w:rsidR="00B700B2" w:rsidRPr="00085827" w:rsidRDefault="00B700B2" w:rsidP="00B700B2">
      <w:pPr>
        <w:pStyle w:val="Body"/>
        <w:rPr>
          <w:b/>
          <w:u w:val="single"/>
        </w:rPr>
      </w:pPr>
      <w:r w:rsidRPr="00085827">
        <w:rPr>
          <w:b/>
          <w:u w:val="single"/>
        </w:rPr>
        <w:t>Facili</w:t>
      </w:r>
      <w:r>
        <w:rPr>
          <w:b/>
          <w:u w:val="single"/>
        </w:rPr>
        <w:t>tar la iniciativa empresarial</w:t>
      </w:r>
    </w:p>
    <w:p w14:paraId="321A6C39" w14:textId="08EF1EAA" w:rsidR="00B700B2" w:rsidRPr="0067650C" w:rsidRDefault="00B700B2" w:rsidP="00B700B2">
      <w:pPr>
        <w:pStyle w:val="Body"/>
        <w:rPr>
          <w:rFonts w:cs="Arial"/>
        </w:rPr>
      </w:pPr>
      <w:r>
        <w:rPr>
          <w:rFonts w:cs="Arial"/>
        </w:rPr>
        <w:t>Junto a las acciones que se pueden tomar en las áreas anterior</w:t>
      </w:r>
      <w:r w:rsidR="00AA4BE1">
        <w:rPr>
          <w:rFonts w:cs="Arial"/>
        </w:rPr>
        <w:t>es</w:t>
      </w:r>
      <w:r w:rsidRPr="0067650C">
        <w:rPr>
          <w:rFonts w:cs="Arial"/>
        </w:rPr>
        <w:t>, es necesario facilitar al emprendedor la manera de iniciar su negocio</w:t>
      </w:r>
      <w:r>
        <w:rPr>
          <w:rFonts w:cs="Arial"/>
        </w:rPr>
        <w:t>. Existen dos vías: fomentar la creación de nuevas empresas</w:t>
      </w:r>
      <w:r w:rsidR="00C91974">
        <w:rPr>
          <w:rFonts w:cs="Arial"/>
        </w:rPr>
        <w:t xml:space="preserve"> </w:t>
      </w:r>
      <w:r w:rsidR="00D002EC">
        <w:rPr>
          <w:rFonts w:cs="Arial"/>
        </w:rPr>
        <w:t>o</w:t>
      </w:r>
      <w:r>
        <w:rPr>
          <w:rFonts w:cs="Arial"/>
        </w:rPr>
        <w:t xml:space="preserve"> favorecer la transmisión de empresas, de manera que el emprendedor pueda adquirir una empresa ya existente.</w:t>
      </w:r>
    </w:p>
    <w:p w14:paraId="09EF5B68" w14:textId="292DB4C1" w:rsidR="00B700B2" w:rsidRDefault="00F56B69" w:rsidP="00B700B2">
      <w:pPr>
        <w:pStyle w:val="Body"/>
        <w:rPr>
          <w:rFonts w:cs="Arial"/>
        </w:rPr>
      </w:pPr>
      <w:r>
        <w:t xml:space="preserve">En España se han venido realizando distintas actuaciones a lo largo de los últimos años para facilitar y agilizar la creación de empresas, no </w:t>
      </w:r>
      <w:r w:rsidR="00B700B2">
        <w:t xml:space="preserve">obstante, </w:t>
      </w:r>
      <w:r w:rsidR="00B700B2">
        <w:rPr>
          <w:rFonts w:cs="Arial"/>
        </w:rPr>
        <w:t>a pesar de los avances realizados, los emprendedores siguen encontrando dificultades a la hora de crear sus empresas, siendo, además</w:t>
      </w:r>
      <w:r w:rsidR="008D077D">
        <w:rPr>
          <w:rFonts w:cs="Arial"/>
        </w:rPr>
        <w:t>,</w:t>
      </w:r>
      <w:r w:rsidR="00B700B2">
        <w:rPr>
          <w:rFonts w:cs="Arial"/>
        </w:rPr>
        <w:t xml:space="preserve"> muy dispar el panorama en cuanto a tiempos, trámites y costes que se enc</w:t>
      </w:r>
      <w:r>
        <w:rPr>
          <w:rFonts w:cs="Arial"/>
        </w:rPr>
        <w:t>uentran</w:t>
      </w:r>
      <w:r w:rsidR="00B700B2">
        <w:rPr>
          <w:rFonts w:cs="Arial"/>
        </w:rPr>
        <w:t xml:space="preserve"> en función de la Comunidad Autónoma y de la ciudad</w:t>
      </w:r>
      <w:r w:rsidR="0022091D">
        <w:rPr>
          <w:rStyle w:val="Refdenotaalpie"/>
          <w:rFonts w:cs="Arial"/>
          <w:i/>
        </w:rPr>
        <w:footnoteReference w:id="18"/>
      </w:r>
      <w:r w:rsidR="00B700B2">
        <w:rPr>
          <w:rFonts w:cs="Arial"/>
        </w:rPr>
        <w:t xml:space="preserve"> donde decidan crear su empresa. </w:t>
      </w:r>
    </w:p>
    <w:p w14:paraId="3E92655F" w14:textId="5878219E" w:rsidR="00B700B2" w:rsidRDefault="00B700B2" w:rsidP="00B700B2">
      <w:pPr>
        <w:pStyle w:val="Body"/>
        <w:rPr>
          <w:rFonts w:cs="Arial"/>
        </w:rPr>
      </w:pPr>
      <w:r>
        <w:rPr>
          <w:rFonts w:cs="Arial"/>
        </w:rPr>
        <w:t>E</w:t>
      </w:r>
      <w:r w:rsidRPr="00C90E10">
        <w:rPr>
          <w:rFonts w:cs="Arial"/>
        </w:rPr>
        <w:t xml:space="preserve">l último informe </w:t>
      </w:r>
      <w:r w:rsidRPr="00C90E10">
        <w:rPr>
          <w:rFonts w:cs="Arial"/>
          <w:i/>
        </w:rPr>
        <w:t>Doing Business</w:t>
      </w:r>
      <w:r w:rsidR="00AA4BE1" w:rsidRPr="00AA4BE1">
        <w:rPr>
          <w:rFonts w:cs="Arial"/>
        </w:rPr>
        <w:t xml:space="preserve"> (2018)</w:t>
      </w:r>
      <w:r w:rsidR="001E3282">
        <w:rPr>
          <w:rFonts w:cs="Arial"/>
        </w:rPr>
        <w:t xml:space="preserve"> </w:t>
      </w:r>
      <w:r w:rsidR="00D002EC">
        <w:rPr>
          <w:rFonts w:cs="Arial"/>
        </w:rPr>
        <w:t xml:space="preserve">del Banco Mundial </w:t>
      </w:r>
      <w:r w:rsidRPr="00C90E10">
        <w:rPr>
          <w:rFonts w:cs="Arial"/>
        </w:rPr>
        <w:t>sitúa a España en el puesto</w:t>
      </w:r>
      <w:r w:rsidR="00540F9E">
        <w:rPr>
          <w:rFonts w:cs="Arial"/>
        </w:rPr>
        <w:t xml:space="preserve"> </w:t>
      </w:r>
      <w:r w:rsidR="001E3282">
        <w:rPr>
          <w:rFonts w:cs="Arial"/>
        </w:rPr>
        <w:t xml:space="preserve">86 </w:t>
      </w:r>
      <w:r w:rsidR="0022091D">
        <w:rPr>
          <w:rFonts w:cs="Arial"/>
        </w:rPr>
        <w:t xml:space="preserve">en </w:t>
      </w:r>
      <w:r w:rsidRPr="00C90E10">
        <w:rPr>
          <w:rFonts w:cs="Arial"/>
        </w:rPr>
        <w:t xml:space="preserve">el indicador de creación de empresas, con una media de 13 días y 7 trámites para constituir una sociedad limitada. </w:t>
      </w:r>
      <w:r>
        <w:rPr>
          <w:rFonts w:cs="Arial"/>
        </w:rPr>
        <w:t>Si bien se ha mejorado sustancialmente en los últimos años, y aunque estamos por delante de países como Alemania o Japón, e</w:t>
      </w:r>
      <w:r w:rsidRPr="00C90E10">
        <w:rPr>
          <w:rFonts w:cs="Arial"/>
        </w:rPr>
        <w:t xml:space="preserve">stos datos están lejos de la media de la OCDE, </w:t>
      </w:r>
      <w:r>
        <w:rPr>
          <w:rFonts w:cs="Arial"/>
        </w:rPr>
        <w:t>de</w:t>
      </w:r>
      <w:r w:rsidRPr="00C90E10">
        <w:rPr>
          <w:rFonts w:cs="Arial"/>
        </w:rPr>
        <w:t xml:space="preserve"> 8,</w:t>
      </w:r>
      <w:r>
        <w:rPr>
          <w:rFonts w:cs="Arial"/>
        </w:rPr>
        <w:t>5</w:t>
      </w:r>
      <w:r w:rsidRPr="00C90E10">
        <w:rPr>
          <w:rFonts w:cs="Arial"/>
        </w:rPr>
        <w:t xml:space="preserve"> días y 4,</w:t>
      </w:r>
      <w:r>
        <w:rPr>
          <w:rFonts w:cs="Arial"/>
        </w:rPr>
        <w:t>9</w:t>
      </w:r>
      <w:r w:rsidRPr="00C90E10">
        <w:rPr>
          <w:rFonts w:cs="Arial"/>
        </w:rPr>
        <w:t xml:space="preserve"> trámites</w:t>
      </w:r>
      <w:r>
        <w:rPr>
          <w:rFonts w:cs="Arial"/>
        </w:rPr>
        <w:t>.</w:t>
      </w:r>
    </w:p>
    <w:p w14:paraId="1147B705" w14:textId="2A5087A1" w:rsidR="00B700B2" w:rsidRDefault="00B700B2" w:rsidP="00B700B2">
      <w:pPr>
        <w:pStyle w:val="Body"/>
      </w:pPr>
      <w:r>
        <w:lastRenderedPageBreak/>
        <w:t>La segunda vía es la</w:t>
      </w:r>
      <w:r w:rsidRPr="00994089">
        <w:t xml:space="preserve"> transmisión de empresas</w:t>
      </w:r>
      <w:r>
        <w:t>, de manera que un emprend</w:t>
      </w:r>
      <w:r w:rsidR="00B36CC5">
        <w:t xml:space="preserve">edor </w:t>
      </w:r>
      <w:r>
        <w:t xml:space="preserve">no empiece de </w:t>
      </w:r>
      <w:r w:rsidR="00371E70">
        <w:t>cero,</w:t>
      </w:r>
      <w:r>
        <w:t xml:space="preserve"> sino que adqui</w:t>
      </w:r>
      <w:r w:rsidR="00B36CC5">
        <w:t>era</w:t>
      </w:r>
      <w:r>
        <w:t xml:space="preserve"> una empresa ya en funcionamiento. </w:t>
      </w:r>
    </w:p>
    <w:p w14:paraId="0744F590" w14:textId="75089F1E" w:rsidR="00B700B2" w:rsidRDefault="00B700B2" w:rsidP="00B700B2">
      <w:pPr>
        <w:pStyle w:val="Body"/>
      </w:pPr>
      <w:r>
        <w:t>En este ámbito, y según datos de la Unión Europea</w:t>
      </w:r>
      <w:r>
        <w:rPr>
          <w:rStyle w:val="Refdenotaalpie"/>
        </w:rPr>
        <w:footnoteReference w:id="19"/>
      </w:r>
      <w:r>
        <w:t>, aproximadamente 450.000 empresas con dos millones de empleos se tr</w:t>
      </w:r>
      <w:r w:rsidR="0022091D">
        <w:t xml:space="preserve">ansfieren en Europa anualmente, y </w:t>
      </w:r>
      <w:r>
        <w:t>se pierden 150.000 empresas y 600.000 empleos debido a ineficiencias en los procesos de transmisión</w:t>
      </w:r>
      <w:r w:rsidR="0022091D">
        <w:t xml:space="preserve"> (en España se calcula que podrían ser unas 12.000 empresas y 48.000 puestos de trabajo).</w:t>
      </w:r>
    </w:p>
    <w:p w14:paraId="006BDEBD" w14:textId="153E55BA" w:rsidR="00B700B2" w:rsidRDefault="00B700B2" w:rsidP="00B700B2">
      <w:pPr>
        <w:pStyle w:val="Body"/>
      </w:pPr>
      <w:r>
        <w:t>La decisión de vender una empresa es posiblemente una de las decisiones más difíciles en la vida de un empresario</w:t>
      </w:r>
      <w:r w:rsidR="00B36CC5">
        <w:t>, donde intervienen aspectos econ</w:t>
      </w:r>
      <w:r w:rsidR="00FE5C08">
        <w:t>ómicos, jurídicos y psicológicos</w:t>
      </w:r>
      <w:r>
        <w:t>. Por otra parte, el propio proceso de transmisión se considera como la principal barrera para la conclusión de contratos de compraventa de empresas. Este problema se pone especialmente de manifiesto en caso de emprendedores y de pequeñas empresas, ya que las grandes empresas pueden normalmente encontrar sin excesivos problemas el asesoramiento fiscal y legal apropiado.</w:t>
      </w:r>
    </w:p>
    <w:p w14:paraId="454CA1CC" w14:textId="494E178E" w:rsidR="00B700B2" w:rsidRDefault="00B700B2" w:rsidP="00B700B2">
      <w:pPr>
        <w:pStyle w:val="Body"/>
      </w:pPr>
      <w:r>
        <w:t xml:space="preserve">Las políticas europeas orientadas a fomentar la iniciativa emprendedora van cada vez más encaminadas a evitar que negocios </w:t>
      </w:r>
      <w:r w:rsidR="00B83A23">
        <w:t>viables</w:t>
      </w:r>
      <w:r>
        <w:t xml:space="preserve"> deban cerrar por no encontrar comprador o por no haber previsto la transmisión con la debida antelación.</w:t>
      </w:r>
    </w:p>
    <w:p w14:paraId="27E7DE3D" w14:textId="2CA6A331" w:rsidR="00B700B2" w:rsidRDefault="00B700B2" w:rsidP="00B83A23">
      <w:pPr>
        <w:pStyle w:val="Body"/>
      </w:pPr>
      <w:r>
        <w:t>Es labor de las administraciones públicas, por tanto, fomentar la continuidad de una empresa ya existente facilita</w:t>
      </w:r>
      <w:r w:rsidR="00B83A23">
        <w:t>ndo</w:t>
      </w:r>
      <w:r>
        <w:t xml:space="preserve"> las transmisiones </w:t>
      </w:r>
      <w:r w:rsidR="00B83A23">
        <w:t xml:space="preserve">ya que, además, proporciona iniciativas viables </w:t>
      </w:r>
      <w:r w:rsidR="00E93182">
        <w:t xml:space="preserve">a los emprendedores </w:t>
      </w:r>
      <w:r w:rsidR="00B83A23">
        <w:t>que incrementan notablemente sus posibilidades de éxito:</w:t>
      </w:r>
      <w:r>
        <w:t xml:space="preserve"> </w:t>
      </w:r>
      <w:r w:rsidR="00B83A23">
        <w:t>el índice</w:t>
      </w:r>
      <w:r w:rsidR="0066433A">
        <w:t xml:space="preserve"> de</w:t>
      </w:r>
      <w:r w:rsidR="00B83A23">
        <w:t xml:space="preserve"> supervivencia de las empresas transmitidas es superior </w:t>
      </w:r>
      <w:r w:rsidR="0066433A">
        <w:t xml:space="preserve">(66%) </w:t>
      </w:r>
      <w:r w:rsidR="00B83A23">
        <w:t xml:space="preserve">al de las empresas de nueva creación (50%). Además, </w:t>
      </w:r>
      <w:r>
        <w:t xml:space="preserve">las empresas existentes conservan un promedio de cinco </w:t>
      </w:r>
      <w:r w:rsidR="0066433A">
        <w:t>empleos frente a</w:t>
      </w:r>
      <w:r>
        <w:t xml:space="preserve"> </w:t>
      </w:r>
      <w:r w:rsidR="00F56B69">
        <w:t xml:space="preserve">una de nueva creación </w:t>
      </w:r>
      <w:r w:rsidR="0066433A">
        <w:t xml:space="preserve">que </w:t>
      </w:r>
      <w:r w:rsidR="00F56B69">
        <w:t xml:space="preserve">genera una media </w:t>
      </w:r>
      <w:r w:rsidR="00FE5C08">
        <w:t>de dos puestos de trabajo.</w:t>
      </w:r>
    </w:p>
    <w:p w14:paraId="578FDB8E" w14:textId="77777777" w:rsidR="00C91974" w:rsidRDefault="00B700B2" w:rsidP="00C91974">
      <w:pPr>
        <w:pStyle w:val="Body"/>
        <w:rPr>
          <w:b/>
          <w:u w:val="single"/>
        </w:rPr>
      </w:pPr>
      <w:r w:rsidRPr="00994089">
        <w:rPr>
          <w:b/>
          <w:u w:val="single"/>
        </w:rPr>
        <w:t>Segunda oportunidad</w:t>
      </w:r>
    </w:p>
    <w:p w14:paraId="03C12181" w14:textId="3F4D81B0" w:rsidR="00312ABC" w:rsidRDefault="00B700B2" w:rsidP="00C91974">
      <w:pPr>
        <w:pStyle w:val="Body"/>
      </w:pPr>
      <w:r w:rsidRPr="00C91974">
        <w:t xml:space="preserve">Un último aspecto a tener en cuenta en este ámbito </w:t>
      </w:r>
      <w:r w:rsidR="00312ABC">
        <w:t xml:space="preserve">del emprendimiento </w:t>
      </w:r>
      <w:r w:rsidRPr="00C91974">
        <w:t xml:space="preserve">es </w:t>
      </w:r>
      <w:r w:rsidR="00312ABC">
        <w:t xml:space="preserve">el referido, como explica en su EEMM la Ley de segunda oportunidad, </w:t>
      </w:r>
      <w:r w:rsidR="00E93182" w:rsidRPr="00E93182">
        <w:rPr>
          <w:i/>
        </w:rPr>
        <w:t xml:space="preserve">a </w:t>
      </w:r>
      <w:r w:rsidR="00312ABC" w:rsidRPr="00E93182">
        <w:rPr>
          <w:i/>
        </w:rPr>
        <w:t>que una persona física, a pesar de un fracaso económico empresarial, tenga la posibilidad de encarrilar nuevamente su vida e incluso de arriesgarse a nuevas iniciativas, sin tener que arrastrar indefinidamente una losa de deuda que nunca podrá satisfacer</w:t>
      </w:r>
      <w:r w:rsidRPr="00C91974">
        <w:t xml:space="preserve">. </w:t>
      </w:r>
    </w:p>
    <w:p w14:paraId="4B68F7A6" w14:textId="232F147A" w:rsidR="00C91974" w:rsidRDefault="00B700B2" w:rsidP="00C91974">
      <w:pPr>
        <w:pStyle w:val="Body"/>
      </w:pPr>
      <w:r w:rsidRPr="00C91974">
        <w:t>A nivel europeo, España ocupa la posición 16 de 24 en lo que se refiere a supervivencia de empresas tras los primeros cinco años de vida</w:t>
      </w:r>
      <w:r w:rsidRPr="00C91974">
        <w:rPr>
          <w:vertAlign w:val="superscript"/>
        </w:rPr>
        <w:footnoteReference w:id="20"/>
      </w:r>
      <w:r w:rsidRPr="00C91974">
        <w:t xml:space="preserve">. El 29% de las empresas creadas en España en 2009 consiguieron alcanzar esos cinco años de vida, según datos de la OCDE. </w:t>
      </w:r>
    </w:p>
    <w:p w14:paraId="0961113C" w14:textId="4ED3EA32" w:rsidR="00B700B2" w:rsidRPr="00D264F6" w:rsidRDefault="00B700B2" w:rsidP="00E93182">
      <w:pPr>
        <w:pStyle w:val="Body"/>
        <w:spacing w:after="120"/>
        <w:rPr>
          <w:rFonts w:cs="Arial"/>
        </w:rPr>
      </w:pPr>
      <w:r w:rsidRPr="00D264F6">
        <w:rPr>
          <w:rFonts w:cs="Arial"/>
        </w:rPr>
        <w:t>Si la situación para las empresas españolas en términos de supervivencia es negativa en general, e</w:t>
      </w:r>
      <w:r w:rsidR="00CC239B">
        <w:rPr>
          <w:rFonts w:cs="Arial"/>
        </w:rPr>
        <w:t xml:space="preserve">sto </w:t>
      </w:r>
      <w:r w:rsidRPr="00D264F6">
        <w:rPr>
          <w:rFonts w:cs="Arial"/>
        </w:rPr>
        <w:t>se agrava a medida que se reduce el número de empleados. Son las microempresas las que tienen unas tasas de supervivencia empresarial más bajas</w:t>
      </w:r>
      <w:r>
        <w:rPr>
          <w:rFonts w:cs="Arial"/>
        </w:rPr>
        <w:t xml:space="preserve"> (</w:t>
      </w:r>
      <w:r w:rsidRPr="00347A08">
        <w:rPr>
          <w:rFonts w:cs="Arial"/>
          <w:highlight w:val="yellow"/>
        </w:rPr>
        <w:t xml:space="preserve">gráfico </w:t>
      </w:r>
      <w:r w:rsidR="00244B12">
        <w:rPr>
          <w:rFonts w:cs="Arial"/>
        </w:rPr>
        <w:t>7</w:t>
      </w:r>
      <w:r>
        <w:rPr>
          <w:rFonts w:cs="Arial"/>
        </w:rPr>
        <w:t>)</w:t>
      </w:r>
      <w:r w:rsidRPr="00D264F6">
        <w:rPr>
          <w:rFonts w:cs="Arial"/>
        </w:rPr>
        <w:t xml:space="preserve">, revelando así una relación directa entre longevidad y tamaño. </w:t>
      </w:r>
    </w:p>
    <w:tbl>
      <w:tblPr>
        <w:tblStyle w:val="Listamedia2"/>
        <w:tblW w:w="4816" w:type="pct"/>
        <w:jc w:val="center"/>
        <w:tblBorders>
          <w:top w:val="none" w:sz="0" w:space="0" w:color="auto"/>
          <w:left w:val="none" w:sz="0" w:space="0" w:color="auto"/>
          <w:bottom w:val="none" w:sz="0" w:space="0" w:color="auto"/>
          <w:right w:val="none" w:sz="0" w:space="0" w:color="auto"/>
        </w:tblBorders>
        <w:tblLayout w:type="fixed"/>
        <w:tblCellMar>
          <w:top w:w="108" w:type="dxa"/>
          <w:bottom w:w="108" w:type="dxa"/>
        </w:tblCellMar>
        <w:tblLook w:val="04A0" w:firstRow="1" w:lastRow="0" w:firstColumn="1" w:lastColumn="0" w:noHBand="0" w:noVBand="1"/>
      </w:tblPr>
      <w:tblGrid>
        <w:gridCol w:w="8737"/>
      </w:tblGrid>
      <w:tr w:rsidR="00B700B2" w:rsidRPr="007916CD" w14:paraId="5E80C66E" w14:textId="77777777" w:rsidTr="003A36C4">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6BDED43B" w14:textId="76DACFF4" w:rsidR="00B700B2" w:rsidRPr="00D264F6" w:rsidRDefault="00B700B2" w:rsidP="0066433A">
            <w:pPr>
              <w:keepNext/>
              <w:spacing w:after="0"/>
              <w:jc w:val="center"/>
              <w:rPr>
                <w:rFonts w:ascii="Century Gothic" w:hAnsi="Century Gothic" w:cs="Arial"/>
                <w:bCs/>
                <w:color w:val="333333"/>
                <w:sz w:val="18"/>
                <w:szCs w:val="18"/>
                <w:lang w:val="es-ES_tradnl" w:eastAsia="en-GB"/>
              </w:rPr>
            </w:pPr>
            <w:bookmarkStart w:id="30" w:name="_Toc500783376"/>
            <w:bookmarkStart w:id="31" w:name="_Toc526942115"/>
            <w:r w:rsidRPr="00D264F6">
              <w:rPr>
                <w:rFonts w:ascii="Century Gothic" w:hAnsi="Century Gothic"/>
                <w:sz w:val="18"/>
                <w:lang w:val="es-ES"/>
              </w:rPr>
              <w:lastRenderedPageBreak/>
              <w:t xml:space="preserve">Gráfico </w:t>
            </w:r>
            <w:r w:rsidRPr="00D264F6">
              <w:rPr>
                <w:rFonts w:ascii="Century Gothic" w:hAnsi="Century Gothic"/>
                <w:sz w:val="18"/>
                <w:lang w:val="es-ES"/>
              </w:rPr>
              <w:fldChar w:fldCharType="begin"/>
            </w:r>
            <w:r w:rsidRPr="00D264F6">
              <w:rPr>
                <w:rFonts w:ascii="Century Gothic" w:hAnsi="Century Gothic"/>
                <w:sz w:val="18"/>
                <w:lang w:val="es-ES"/>
              </w:rPr>
              <w:instrText xml:space="preserve"> SEQ Gráfico \* ARABIC </w:instrText>
            </w:r>
            <w:r w:rsidRPr="00D264F6">
              <w:rPr>
                <w:rFonts w:ascii="Century Gothic" w:hAnsi="Century Gothic"/>
                <w:sz w:val="18"/>
                <w:lang w:val="es-ES"/>
              </w:rPr>
              <w:fldChar w:fldCharType="separate"/>
            </w:r>
            <w:r w:rsidR="00764C39">
              <w:rPr>
                <w:rFonts w:ascii="Century Gothic" w:hAnsi="Century Gothic"/>
                <w:noProof/>
                <w:sz w:val="18"/>
                <w:lang w:val="es-ES"/>
              </w:rPr>
              <w:t>7</w:t>
            </w:r>
            <w:r w:rsidRPr="00D264F6">
              <w:rPr>
                <w:rFonts w:ascii="Century Gothic" w:hAnsi="Century Gothic"/>
                <w:sz w:val="18"/>
                <w:lang w:val="es-ES"/>
              </w:rPr>
              <w:fldChar w:fldCharType="end"/>
            </w:r>
            <w:r w:rsidRPr="00D264F6">
              <w:rPr>
                <w:rFonts w:ascii="Century Gothic" w:hAnsi="Century Gothic"/>
                <w:sz w:val="18"/>
                <w:lang w:val="es-ES"/>
              </w:rPr>
              <w:t>. Tasa de supervivencia empresarial, 2014</w:t>
            </w:r>
            <w:bookmarkEnd w:id="30"/>
            <w:bookmarkEnd w:id="31"/>
          </w:p>
        </w:tc>
      </w:tr>
      <w:tr w:rsidR="00B700B2" w:rsidRPr="00D264F6" w14:paraId="50EE47CC" w14:textId="77777777" w:rsidTr="003A36C4">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0D49527D" w14:textId="084246A7" w:rsidR="00B700B2" w:rsidRPr="00D264F6" w:rsidRDefault="00B70005" w:rsidP="0066433A">
            <w:pPr>
              <w:spacing w:after="0"/>
              <w:contextualSpacing/>
              <w:jc w:val="center"/>
              <w:rPr>
                <w:rFonts w:ascii="Century Gothic" w:hAnsi="Century Gothic" w:cs="Arial"/>
                <w:b/>
                <w:color w:val="000000"/>
                <w:sz w:val="18"/>
                <w:szCs w:val="18"/>
                <w:lang w:val="es-ES_tradnl"/>
              </w:rPr>
            </w:pPr>
            <w:r>
              <w:rPr>
                <w:rFonts w:ascii="Century Gothic" w:hAnsi="Century Gothic" w:cs="Arial"/>
                <w:b/>
                <w:noProof/>
                <w:color w:val="000000"/>
                <w:sz w:val="18"/>
                <w:szCs w:val="18"/>
                <w:lang w:val="es-ES" w:eastAsia="es-ES"/>
              </w:rPr>
              <w:drawing>
                <wp:inline distT="0" distB="0" distL="0" distR="0" wp14:anchorId="436E458A" wp14:editId="7412D82E">
                  <wp:extent cx="3713693" cy="1594479"/>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5933" cy="1599734"/>
                          </a:xfrm>
                          <a:prstGeom prst="rect">
                            <a:avLst/>
                          </a:prstGeom>
                          <a:noFill/>
                        </pic:spPr>
                      </pic:pic>
                    </a:graphicData>
                  </a:graphic>
                </wp:inline>
              </w:drawing>
            </w:r>
          </w:p>
        </w:tc>
      </w:tr>
      <w:tr w:rsidR="00B700B2" w:rsidRPr="007916CD" w14:paraId="59F81E58" w14:textId="77777777" w:rsidTr="003A36C4">
        <w:trPr>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left w:val="none" w:sz="0" w:space="0" w:color="auto"/>
              <w:bottom w:val="none" w:sz="0" w:space="0" w:color="auto"/>
              <w:right w:val="none" w:sz="0" w:space="0" w:color="auto"/>
            </w:tcBorders>
            <w:shd w:val="clear" w:color="auto" w:fill="auto"/>
            <w:vAlign w:val="center"/>
          </w:tcPr>
          <w:p w14:paraId="60453466" w14:textId="77777777" w:rsidR="00B700B2" w:rsidRPr="00D264F6" w:rsidRDefault="00B700B2" w:rsidP="0066433A">
            <w:pPr>
              <w:spacing w:after="0"/>
              <w:contextualSpacing/>
              <w:rPr>
                <w:rFonts w:ascii="Century Gothic" w:hAnsi="Century Gothic" w:cs="Arial"/>
                <w:color w:val="000000"/>
                <w:sz w:val="18"/>
                <w:szCs w:val="18"/>
                <w:lang w:val="es-ES_tradnl"/>
              </w:rPr>
            </w:pPr>
            <w:r w:rsidRPr="00D264F6">
              <w:rPr>
                <w:rFonts w:ascii="Century Gothic" w:hAnsi="Century Gothic" w:cs="Arial"/>
                <w:i/>
                <w:sz w:val="16"/>
                <w:szCs w:val="18"/>
                <w:lang w:val="es-ES_tradnl" w:eastAsia="en-GB"/>
              </w:rPr>
              <w:t>Fuente: INE, Directorio Central de Empresas (DIRCE)</w:t>
            </w:r>
          </w:p>
        </w:tc>
      </w:tr>
    </w:tbl>
    <w:p w14:paraId="089B7F75" w14:textId="391E639F" w:rsidR="00B700B2" w:rsidRDefault="007036F4" w:rsidP="00CC239B">
      <w:pPr>
        <w:pStyle w:val="Body"/>
        <w:spacing w:before="120"/>
      </w:pPr>
      <w:r>
        <w:t>Por tanto</w:t>
      </w:r>
      <w:r w:rsidR="00B700B2">
        <w:t xml:space="preserve">, es muy importante tomar medidas que faciliten </w:t>
      </w:r>
      <w:r w:rsidR="00480C68" w:rsidRPr="00480C68">
        <w:t xml:space="preserve">las reestructuraciones preventivas (procedimientos pre-concursales) </w:t>
      </w:r>
      <w:r w:rsidR="00CC239B">
        <w:t>evitando</w:t>
      </w:r>
      <w:r w:rsidR="00480C68" w:rsidRPr="00480C68">
        <w:t xml:space="preserve"> que una empresa quede abocada a un procedimiento concursal, medidas que mejoren el procedimiento concursal (que faciliten la consecución de un convenio cuando ést</w:t>
      </w:r>
      <w:r>
        <w:t>e</w:t>
      </w:r>
      <w:r w:rsidR="00480C68" w:rsidRPr="00480C68">
        <w:t xml:space="preserve"> sea la mejor opción o que agilicen la liquidación) y medidas que procuren </w:t>
      </w:r>
      <w:r w:rsidR="00B700B2">
        <w:t xml:space="preserve">una segunda oportunidad a empresarios </w:t>
      </w:r>
      <w:r w:rsidR="006D2398">
        <w:t xml:space="preserve">personas físicas </w:t>
      </w:r>
      <w:r w:rsidR="00B700B2">
        <w:t>que</w:t>
      </w:r>
      <w:r>
        <w:t>,</w:t>
      </w:r>
      <w:r w:rsidR="00B700B2">
        <w:t xml:space="preserve"> por causas del mercado</w:t>
      </w:r>
      <w:r>
        <w:t>,</w:t>
      </w:r>
      <w:r w:rsidR="00B700B2">
        <w:t xml:space="preserve"> se hayan visto </w:t>
      </w:r>
      <w:r>
        <w:t>obligados</w:t>
      </w:r>
      <w:r w:rsidR="00B700B2">
        <w:t xml:space="preserve"> a cerrar su empresa</w:t>
      </w:r>
      <w:r w:rsidR="00480C68">
        <w:t xml:space="preserve"> </w:t>
      </w:r>
      <w:r w:rsidR="00480C68" w:rsidRPr="00480C68">
        <w:t>y arrastren deudas derivadas de su anterior actividad empresarial</w:t>
      </w:r>
      <w:r w:rsidR="00B700B2">
        <w:t xml:space="preserve">. </w:t>
      </w:r>
    </w:p>
    <w:p w14:paraId="2FD1DD45" w14:textId="64768448" w:rsidR="00CC7FC7" w:rsidRDefault="00CC7FC7" w:rsidP="00A33563">
      <w:pPr>
        <w:pStyle w:val="Body"/>
        <w:spacing w:before="120"/>
      </w:pPr>
      <w:r>
        <w:t xml:space="preserve">Evitar la pérdida de experiencia y conocimientos de estos empresarios supone asegurar en mayor proporción empresas más duraderas y, por tanto, mayor estabilidad en el empleo. </w:t>
      </w:r>
    </w:p>
    <w:p w14:paraId="5075558A" w14:textId="1855D4D0" w:rsidR="00B700B2" w:rsidRPr="00480C68" w:rsidRDefault="00B700B2" w:rsidP="00B700B2">
      <w:pPr>
        <w:pStyle w:val="Body"/>
      </w:pPr>
      <w:r w:rsidRPr="003157A6">
        <w:t>En España se han puesto en marcha una serie de medidas para</w:t>
      </w:r>
      <w:r w:rsidR="00480C68">
        <w:t>:</w:t>
      </w:r>
      <w:r w:rsidRPr="003157A6">
        <w:t xml:space="preserve"> </w:t>
      </w:r>
      <w:r w:rsidR="00480C68" w:rsidRPr="00480C68">
        <w:t xml:space="preserve">introducir y mejorar los procedimientos pre-concursales (en particular, los acuerdos extrajudiciales de pagos, diseñados específicamente para empresas con un pasivo inferior a 5 millones de euros); </w:t>
      </w:r>
      <w:r w:rsidRPr="003157A6">
        <w:t>mejorar el régimen concursal</w:t>
      </w:r>
      <w:r w:rsidR="00480C68">
        <w:t>;</w:t>
      </w:r>
      <w:r w:rsidRPr="003157A6">
        <w:t xml:space="preserve"> y establecer un mecanismo de segunda oportunidad. </w:t>
      </w:r>
      <w:r w:rsidR="00480C68" w:rsidRPr="00480C68">
        <w:t>La reforma de la normativa concursal ha sido exhaustiva en los últimos años, por lo que no procede realizar una lista del conjunto de normas aprobadas.</w:t>
      </w:r>
      <w:r w:rsidR="007036F4">
        <w:t xml:space="preserve"> </w:t>
      </w:r>
      <w:r w:rsidR="00CC239B">
        <w:t>C</w:t>
      </w:r>
      <w:r w:rsidR="00CC239B" w:rsidRPr="00480C68">
        <w:t xml:space="preserve">abría mencionar </w:t>
      </w:r>
      <w:r w:rsidR="00CC239B">
        <w:t>l</w:t>
      </w:r>
      <w:r w:rsidR="00480C68" w:rsidRPr="00480C68">
        <w:t>as iniciativas específicamente dirigidas a PYMES o con una conexión directa con ellas:</w:t>
      </w:r>
    </w:p>
    <w:p w14:paraId="28A000A9" w14:textId="34274C51" w:rsidR="00480C68" w:rsidRDefault="00480C68" w:rsidP="00757E55">
      <w:pPr>
        <w:pStyle w:val="Body"/>
        <w:numPr>
          <w:ilvl w:val="0"/>
          <w:numId w:val="37"/>
        </w:numPr>
        <w:rPr>
          <w:rFonts w:cs="Arial"/>
        </w:rPr>
      </w:pPr>
      <w:r w:rsidRPr="00480C68">
        <w:rPr>
          <w:rFonts w:cs="Arial"/>
        </w:rPr>
        <w:t>La Ley 1</w:t>
      </w:r>
      <w:r>
        <w:rPr>
          <w:rFonts w:cs="Arial"/>
        </w:rPr>
        <w:t>4</w:t>
      </w:r>
      <w:r w:rsidRPr="00480C68">
        <w:rPr>
          <w:rFonts w:cs="Arial"/>
        </w:rPr>
        <w:t>/2013, de 27 de septiembre, de apoyo a los emprendedores y su internacionalización. Introduce los acuerdos extrajudiciales de pagos</w:t>
      </w:r>
    </w:p>
    <w:p w14:paraId="77E9AE2B" w14:textId="7F08BFA4" w:rsidR="00994089" w:rsidRDefault="00B700B2" w:rsidP="00757E55">
      <w:pPr>
        <w:pStyle w:val="Body"/>
        <w:numPr>
          <w:ilvl w:val="0"/>
          <w:numId w:val="37"/>
        </w:numPr>
        <w:rPr>
          <w:rFonts w:cs="Arial"/>
        </w:rPr>
      </w:pPr>
      <w:r w:rsidRPr="009200E1">
        <w:rPr>
          <w:rFonts w:cs="Arial"/>
        </w:rPr>
        <w:t xml:space="preserve">La Ley 25/2015, de 28 de julio, de mecanismo de segunda oportunidad, reducción de la carga financiera </w:t>
      </w:r>
      <w:r w:rsidR="007036F4">
        <w:rPr>
          <w:rFonts w:cs="Arial"/>
        </w:rPr>
        <w:t>y otras medidas de orden social</w:t>
      </w:r>
      <w:r w:rsidRPr="009200E1">
        <w:rPr>
          <w:rFonts w:cs="Arial"/>
        </w:rPr>
        <w:t>.</w:t>
      </w:r>
      <w:r w:rsidR="00480C68" w:rsidRPr="009200E1">
        <w:rPr>
          <w:rFonts w:cs="Arial"/>
        </w:rPr>
        <w:t xml:space="preserve"> Crea el mecanismo de segunda oportunidad y reforma los acuerdos extrajudiciales de pagos.</w:t>
      </w:r>
      <w:r w:rsidRPr="009200E1">
        <w:rPr>
          <w:rFonts w:cs="Arial"/>
        </w:rPr>
        <w:t xml:space="preserve"> </w:t>
      </w:r>
      <w:r w:rsidR="002759FD" w:rsidRPr="009200E1">
        <w:rPr>
          <w:rFonts w:cs="Arial"/>
        </w:rPr>
        <w:t xml:space="preserve"> </w:t>
      </w:r>
    </w:p>
    <w:p w14:paraId="0DACE660" w14:textId="215A5025" w:rsidR="00106CA3" w:rsidRDefault="00106CA3" w:rsidP="00106CA3">
      <w:pPr>
        <w:pStyle w:val="Body"/>
        <w:rPr>
          <w:rFonts w:cs="Arial"/>
        </w:rPr>
      </w:pPr>
      <w:r w:rsidRPr="00106CA3">
        <w:rPr>
          <w:rFonts w:cs="Arial"/>
        </w:rPr>
        <w:t>Mejorar el emprendimiento en España supone actuar en las redes de apoyo y financiación, de manera que sea fácil y rápido crear empresas. Al mismo tiempo, se han de incentivar valores y habilidades que permitan una mayor creación de empresas al tiempo que se fomenta la segunda oportunidad del empresario y se habilitan mecanismos que eviten la pérdida de empresas viables por falta de relevo generacional.</w:t>
      </w:r>
    </w:p>
    <w:p w14:paraId="5ACBA4AD" w14:textId="417E3843" w:rsidR="00BB7E9F" w:rsidRPr="00EF02CB" w:rsidRDefault="00633D11" w:rsidP="00EF02CB">
      <w:pPr>
        <w:pStyle w:val="Ttulo3"/>
      </w:pPr>
      <w:bookmarkStart w:id="32" w:name="_Toc527630340"/>
      <w:r>
        <w:lastRenderedPageBreak/>
        <w:t>Líneas de actuación</w:t>
      </w:r>
      <w:bookmarkEnd w:id="32"/>
    </w:p>
    <w:p w14:paraId="517960D4" w14:textId="5752EE10" w:rsidR="00EF02CB" w:rsidRDefault="001A50AA" w:rsidP="00386169">
      <w:pPr>
        <w:spacing w:line="276" w:lineRule="auto"/>
        <w:rPr>
          <w:rFonts w:ascii="Century Gothic" w:hAnsi="Century Gothic" w:cs="Arial"/>
          <w:color w:val="000000"/>
          <w:kern w:val="24"/>
          <w:lang w:val="es-ES" w:eastAsia="es-ES"/>
        </w:rPr>
      </w:pPr>
      <w:r>
        <w:rPr>
          <w:rFonts w:ascii="Century Gothic" w:hAnsi="Century Gothic" w:cs="Arial"/>
          <w:color w:val="000000"/>
          <w:kern w:val="24"/>
          <w:lang w:val="es-ES" w:eastAsia="es-ES"/>
        </w:rPr>
        <w:t>El objetivo es</w:t>
      </w:r>
      <w:r w:rsidR="002A7B00">
        <w:rPr>
          <w:rFonts w:ascii="Century Gothic" w:hAnsi="Century Gothic" w:cs="Arial"/>
          <w:color w:val="000000"/>
          <w:kern w:val="24"/>
          <w:lang w:val="es-ES" w:eastAsia="es-ES"/>
        </w:rPr>
        <w:t xml:space="preserve"> </w:t>
      </w:r>
      <w:r w:rsidR="00D27273">
        <w:rPr>
          <w:rFonts w:ascii="Century Gothic" w:hAnsi="Century Gothic" w:cs="Arial"/>
          <w:color w:val="000000"/>
          <w:kern w:val="24"/>
          <w:lang w:val="es-ES" w:eastAsia="es-ES"/>
        </w:rPr>
        <w:t>incorporar a nuestro</w:t>
      </w:r>
      <w:r w:rsidR="00EF02CB" w:rsidRPr="00EF02CB">
        <w:rPr>
          <w:rFonts w:ascii="Century Gothic" w:hAnsi="Century Gothic" w:cs="Arial"/>
          <w:color w:val="000000"/>
          <w:kern w:val="24"/>
          <w:lang w:val="es-ES" w:eastAsia="es-ES"/>
        </w:rPr>
        <w:t xml:space="preserve"> model</w:t>
      </w:r>
      <w:r w:rsidR="00EF02CB">
        <w:rPr>
          <w:rFonts w:ascii="Century Gothic" w:hAnsi="Century Gothic" w:cs="Arial"/>
          <w:color w:val="000000"/>
          <w:kern w:val="24"/>
          <w:lang w:val="es-ES" w:eastAsia="es-ES"/>
        </w:rPr>
        <w:t xml:space="preserve">o educativo </w:t>
      </w:r>
      <w:r w:rsidR="00D27273">
        <w:rPr>
          <w:rFonts w:ascii="Century Gothic" w:hAnsi="Century Gothic" w:cs="Arial"/>
          <w:color w:val="000000"/>
          <w:kern w:val="24"/>
          <w:lang w:val="es-ES" w:eastAsia="es-ES"/>
        </w:rPr>
        <w:t xml:space="preserve">el </w:t>
      </w:r>
      <w:r w:rsidR="00EF02CB">
        <w:rPr>
          <w:rFonts w:ascii="Century Gothic" w:hAnsi="Century Gothic" w:cs="Arial"/>
          <w:color w:val="000000"/>
          <w:kern w:val="24"/>
          <w:lang w:val="es-ES" w:eastAsia="es-ES"/>
        </w:rPr>
        <w:t>emprendimiento</w:t>
      </w:r>
      <w:r w:rsidR="007C3D90">
        <w:rPr>
          <w:rFonts w:ascii="Century Gothic" w:hAnsi="Century Gothic" w:cs="Arial"/>
          <w:color w:val="000000"/>
          <w:kern w:val="24"/>
          <w:lang w:val="es-ES" w:eastAsia="es-ES"/>
        </w:rPr>
        <w:t xml:space="preserve">, el </w:t>
      </w:r>
      <w:r w:rsidR="00EF02CB" w:rsidRPr="00EF02CB">
        <w:rPr>
          <w:rFonts w:ascii="Century Gothic" w:hAnsi="Century Gothic" w:cs="Arial"/>
          <w:color w:val="000000"/>
          <w:kern w:val="24"/>
          <w:lang w:val="es-ES" w:eastAsia="es-ES"/>
        </w:rPr>
        <w:t>fomento del espíritu emp</w:t>
      </w:r>
      <w:r>
        <w:rPr>
          <w:rFonts w:ascii="Century Gothic" w:hAnsi="Century Gothic" w:cs="Arial"/>
          <w:color w:val="000000"/>
          <w:kern w:val="24"/>
          <w:lang w:val="es-ES" w:eastAsia="es-ES"/>
        </w:rPr>
        <w:t xml:space="preserve">rendedor, </w:t>
      </w:r>
      <w:r w:rsidR="00157989">
        <w:rPr>
          <w:rFonts w:ascii="Century Gothic" w:hAnsi="Century Gothic" w:cs="Arial"/>
          <w:color w:val="000000"/>
          <w:kern w:val="24"/>
          <w:lang w:val="es-ES" w:eastAsia="es-ES"/>
        </w:rPr>
        <w:t>y</w:t>
      </w:r>
      <w:r>
        <w:rPr>
          <w:rFonts w:ascii="Century Gothic" w:hAnsi="Century Gothic" w:cs="Arial"/>
          <w:color w:val="000000"/>
          <w:kern w:val="24"/>
          <w:lang w:val="es-ES" w:eastAsia="es-ES"/>
        </w:rPr>
        <w:t xml:space="preserve"> crear un entorno favorable </w:t>
      </w:r>
      <w:r w:rsidR="007036F4">
        <w:rPr>
          <w:rFonts w:ascii="Century Gothic" w:hAnsi="Century Gothic" w:cs="Arial"/>
          <w:color w:val="000000"/>
          <w:kern w:val="24"/>
          <w:lang w:val="es-ES" w:eastAsia="es-ES"/>
        </w:rPr>
        <w:t xml:space="preserve">para </w:t>
      </w:r>
      <w:r w:rsidR="007C4EFE">
        <w:rPr>
          <w:rFonts w:ascii="Century Gothic" w:hAnsi="Century Gothic" w:cs="Arial"/>
          <w:color w:val="000000"/>
          <w:kern w:val="24"/>
          <w:lang w:val="es-ES" w:eastAsia="es-ES"/>
        </w:rPr>
        <w:t>la puesta en marcha y desarrollo de iniciativas empresariales</w:t>
      </w:r>
      <w:r>
        <w:rPr>
          <w:rFonts w:ascii="Century Gothic" w:hAnsi="Century Gothic" w:cs="Arial"/>
          <w:color w:val="000000"/>
          <w:kern w:val="24"/>
          <w:lang w:val="es-ES" w:eastAsia="es-ES"/>
        </w:rPr>
        <w:t>.</w:t>
      </w:r>
    </w:p>
    <w:p w14:paraId="51EE9C18" w14:textId="19871A3C" w:rsidR="00EF02CB" w:rsidRDefault="00EF02CB" w:rsidP="00757E55">
      <w:pPr>
        <w:pStyle w:val="Prrafodelista"/>
        <w:numPr>
          <w:ilvl w:val="0"/>
          <w:numId w:val="32"/>
        </w:numPr>
        <w:rPr>
          <w:rFonts w:ascii="Century Gothic" w:hAnsi="Century Gothic"/>
          <w:lang w:val="es-ES"/>
        </w:rPr>
      </w:pPr>
      <w:r w:rsidRPr="00D13B47">
        <w:rPr>
          <w:rFonts w:ascii="Century Gothic" w:hAnsi="Century Gothic"/>
          <w:b/>
          <w:lang w:val="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D13B47">
        <w:rPr>
          <w:rFonts w:ascii="Century Gothic" w:hAnsi="Century Gothic"/>
          <w:b/>
          <w:lang w:val="es-ES"/>
        </w:rPr>
        <w:t xml:space="preserve"> </w:t>
      </w:r>
      <w:r w:rsidR="00D010A7">
        <w:rPr>
          <w:rFonts w:ascii="Century Gothic" w:hAnsi="Century Gothic"/>
          <w:b/>
          <w:lang w:val="es-ES"/>
        </w:rPr>
        <w:t>Impulsar el</w:t>
      </w:r>
      <w:r w:rsidRPr="00D13B47">
        <w:rPr>
          <w:rFonts w:ascii="Century Gothic" w:hAnsi="Century Gothic"/>
          <w:b/>
          <w:lang w:val="es-ES"/>
        </w:rPr>
        <w:t xml:space="preserve"> desarrollo de cualificaciones y la capacitación para el empleo</w:t>
      </w:r>
      <w:r w:rsidR="007C3D90">
        <w:rPr>
          <w:rFonts w:ascii="Century Gothic" w:hAnsi="Century Gothic"/>
          <w:b/>
          <w:lang w:val="es-ES"/>
        </w:rPr>
        <w:t>.</w:t>
      </w:r>
      <w:r>
        <w:rPr>
          <w:rFonts w:ascii="Century Gothic" w:hAnsi="Century Gothic"/>
          <w:lang w:val="es-ES"/>
        </w:rPr>
        <w:t xml:space="preserve"> </w:t>
      </w:r>
    </w:p>
    <w:p w14:paraId="49E731AA" w14:textId="1A63C07F" w:rsidR="00B8239A" w:rsidRPr="007426BB" w:rsidRDefault="007C3D90" w:rsidP="00757E55">
      <w:pPr>
        <w:pStyle w:val="Prrafodelista"/>
        <w:numPr>
          <w:ilvl w:val="1"/>
          <w:numId w:val="32"/>
        </w:numPr>
        <w:ind w:left="709" w:hanging="273"/>
        <w:rPr>
          <w:rFonts w:ascii="Century Gothic" w:hAnsi="Century Gothic"/>
          <w:lang w:val="es-ES"/>
        </w:rPr>
      </w:pPr>
      <w:r>
        <w:rPr>
          <w:rFonts w:ascii="Century Gothic" w:hAnsi="Century Gothic"/>
          <w:lang w:val="es-ES"/>
        </w:rPr>
        <w:t>In</w:t>
      </w:r>
      <w:r w:rsidR="00B8239A" w:rsidRPr="007426BB">
        <w:rPr>
          <w:rFonts w:ascii="Century Gothic" w:hAnsi="Century Gothic"/>
          <w:lang w:val="es-ES"/>
        </w:rPr>
        <w:t xml:space="preserve">clusión de cualificaciones y capacitaciones orientadas a la </w:t>
      </w:r>
      <w:r w:rsidR="002A7B00">
        <w:rPr>
          <w:rFonts w:ascii="Century Gothic" w:hAnsi="Century Gothic"/>
          <w:lang w:val="es-ES"/>
        </w:rPr>
        <w:t>gestión de empresas</w:t>
      </w:r>
      <w:r w:rsidR="00B8239A" w:rsidRPr="007426BB">
        <w:rPr>
          <w:rFonts w:ascii="Century Gothic" w:hAnsi="Century Gothic"/>
          <w:lang w:val="es-ES"/>
        </w:rPr>
        <w:t xml:space="preserve">, tanto </w:t>
      </w:r>
      <w:r w:rsidR="00A73CA9">
        <w:rPr>
          <w:rFonts w:ascii="Century Gothic" w:hAnsi="Century Gothic"/>
          <w:lang w:val="es-ES"/>
        </w:rPr>
        <w:t>en</w:t>
      </w:r>
      <w:r w:rsidR="00B8239A" w:rsidRPr="007426BB">
        <w:rPr>
          <w:rFonts w:ascii="Century Gothic" w:hAnsi="Century Gothic"/>
          <w:lang w:val="es-ES"/>
        </w:rPr>
        <w:t xml:space="preserve"> operativ</w:t>
      </w:r>
      <w:r w:rsidR="00A73CA9">
        <w:rPr>
          <w:rFonts w:ascii="Century Gothic" w:hAnsi="Century Gothic"/>
          <w:lang w:val="es-ES"/>
        </w:rPr>
        <w:t>a</w:t>
      </w:r>
      <w:r w:rsidR="00B8239A" w:rsidRPr="007426BB">
        <w:rPr>
          <w:rFonts w:ascii="Century Gothic" w:hAnsi="Century Gothic"/>
          <w:lang w:val="es-ES"/>
        </w:rPr>
        <w:t xml:space="preserve"> como </w:t>
      </w:r>
      <w:r w:rsidR="00A73CA9">
        <w:rPr>
          <w:rFonts w:ascii="Century Gothic" w:hAnsi="Century Gothic"/>
          <w:lang w:val="es-ES"/>
        </w:rPr>
        <w:t>en</w:t>
      </w:r>
      <w:r w:rsidR="00B8239A" w:rsidRPr="007426BB">
        <w:rPr>
          <w:rFonts w:ascii="Century Gothic" w:hAnsi="Century Gothic"/>
          <w:lang w:val="es-ES"/>
        </w:rPr>
        <w:t xml:space="preserve"> gestión</w:t>
      </w:r>
      <w:r w:rsidR="00A73CA9">
        <w:rPr>
          <w:rFonts w:ascii="Century Gothic" w:hAnsi="Century Gothic"/>
          <w:lang w:val="es-ES"/>
        </w:rPr>
        <w:t>, poniendo relevancia en aspectos concretos como la innovación, digitalización, etc</w:t>
      </w:r>
      <w:r w:rsidR="00B8239A" w:rsidRPr="007426BB">
        <w:rPr>
          <w:rFonts w:ascii="Century Gothic" w:hAnsi="Century Gothic"/>
          <w:lang w:val="es-ES"/>
        </w:rPr>
        <w:t>.</w:t>
      </w:r>
    </w:p>
    <w:p w14:paraId="456924A5" w14:textId="6B5C1B63" w:rsidR="00B8239A" w:rsidRPr="007A1D95" w:rsidRDefault="007A1D95" w:rsidP="00757E55">
      <w:pPr>
        <w:pStyle w:val="Prrafodelista"/>
        <w:numPr>
          <w:ilvl w:val="1"/>
          <w:numId w:val="32"/>
        </w:numPr>
        <w:ind w:left="709" w:hanging="273"/>
        <w:rPr>
          <w:rFonts w:ascii="Century Gothic" w:hAnsi="Century Gothic"/>
          <w:lang w:val="es-ES"/>
        </w:rPr>
      </w:pPr>
      <w:r w:rsidRPr="007A1D95">
        <w:rPr>
          <w:rFonts w:ascii="Century Gothic" w:hAnsi="Century Gothic"/>
          <w:lang w:val="es-ES"/>
        </w:rPr>
        <w:t>Detectar las necesidades de cualificación que requiere el mercado de trabajo en colaboración con los agentes sociales y trasladarlas lo antes posible a las ofertas de educación y formación, favoreciendo la participación de las empresas. En concreto en el ámbito de las</w:t>
      </w:r>
      <w:r w:rsidR="00B8239A" w:rsidRPr="007A1D95">
        <w:rPr>
          <w:rFonts w:ascii="Century Gothic" w:hAnsi="Century Gothic"/>
          <w:lang w:val="es-ES"/>
        </w:rPr>
        <w:t xml:space="preserve"> competencias digitales.</w:t>
      </w:r>
    </w:p>
    <w:p w14:paraId="0471701A" w14:textId="1DC0B01D" w:rsidR="00B8239A" w:rsidRDefault="007C3D90" w:rsidP="00757E55">
      <w:pPr>
        <w:pStyle w:val="Prrafodelista"/>
        <w:numPr>
          <w:ilvl w:val="1"/>
          <w:numId w:val="32"/>
        </w:numPr>
        <w:ind w:left="709" w:hanging="273"/>
        <w:rPr>
          <w:rFonts w:ascii="Century Gothic" w:hAnsi="Century Gothic"/>
          <w:lang w:val="es-ES"/>
        </w:rPr>
      </w:pPr>
      <w:r>
        <w:rPr>
          <w:rFonts w:ascii="Century Gothic" w:hAnsi="Century Gothic"/>
          <w:lang w:val="es-ES"/>
        </w:rPr>
        <w:t>Desarrollo de un programa de i</w:t>
      </w:r>
      <w:r w:rsidR="00272A83">
        <w:rPr>
          <w:rFonts w:ascii="Century Gothic" w:hAnsi="Century Gothic"/>
          <w:lang w:val="es-ES"/>
        </w:rPr>
        <w:t xml:space="preserve">nformación </w:t>
      </w:r>
      <w:r>
        <w:rPr>
          <w:rFonts w:ascii="Century Gothic" w:hAnsi="Century Gothic"/>
          <w:lang w:val="es-ES"/>
        </w:rPr>
        <w:t>a</w:t>
      </w:r>
      <w:r w:rsidR="00B8239A" w:rsidRPr="007426BB">
        <w:rPr>
          <w:rFonts w:ascii="Century Gothic" w:hAnsi="Century Gothic"/>
          <w:lang w:val="es-ES"/>
        </w:rPr>
        <w:t xml:space="preserve"> los extranjeros que se quieran instalar en España como empresarios o trabajadores (Living and work in Spain)</w:t>
      </w:r>
      <w:r w:rsidR="007C79A0" w:rsidRPr="007426BB">
        <w:rPr>
          <w:rFonts w:ascii="Century Gothic" w:hAnsi="Century Gothic"/>
          <w:lang w:val="es-ES"/>
        </w:rPr>
        <w:t>.</w:t>
      </w:r>
    </w:p>
    <w:p w14:paraId="0EE6519E" w14:textId="46CAAFE0" w:rsidR="00B8239A" w:rsidRPr="007426BB" w:rsidRDefault="007C79A0" w:rsidP="00757E55">
      <w:pPr>
        <w:pStyle w:val="Prrafodelista"/>
        <w:numPr>
          <w:ilvl w:val="1"/>
          <w:numId w:val="32"/>
        </w:numPr>
        <w:ind w:left="709" w:hanging="273"/>
        <w:rPr>
          <w:rFonts w:ascii="Century Gothic" w:hAnsi="Century Gothic"/>
          <w:lang w:val="es-ES"/>
        </w:rPr>
      </w:pPr>
      <w:r w:rsidRPr="007426BB">
        <w:rPr>
          <w:rFonts w:ascii="Century Gothic" w:hAnsi="Century Gothic"/>
          <w:lang w:val="es-ES"/>
        </w:rPr>
        <w:t>Valorar el d</w:t>
      </w:r>
      <w:r w:rsidR="00FB6964" w:rsidRPr="007426BB">
        <w:rPr>
          <w:rFonts w:ascii="Century Gothic" w:hAnsi="Century Gothic"/>
          <w:lang w:val="es-ES"/>
        </w:rPr>
        <w:t>esarrollo de</w:t>
      </w:r>
      <w:r w:rsidR="00B8239A" w:rsidRPr="007426BB">
        <w:rPr>
          <w:rFonts w:ascii="Century Gothic" w:hAnsi="Century Gothic"/>
          <w:lang w:val="es-ES"/>
        </w:rPr>
        <w:t xml:space="preserve"> la Universidad Dual</w:t>
      </w:r>
      <w:r w:rsidRPr="007426BB">
        <w:rPr>
          <w:rFonts w:ascii="Century Gothic" w:hAnsi="Century Gothic"/>
          <w:lang w:val="es-ES"/>
        </w:rPr>
        <w:t xml:space="preserve">, </w:t>
      </w:r>
      <w:r w:rsidR="007C3D90">
        <w:rPr>
          <w:rFonts w:ascii="Century Gothic" w:hAnsi="Century Gothic"/>
          <w:lang w:val="es-ES"/>
        </w:rPr>
        <w:t>tomando como modelo</w:t>
      </w:r>
      <w:r w:rsidRPr="007426BB">
        <w:rPr>
          <w:rFonts w:ascii="Century Gothic" w:hAnsi="Century Gothic"/>
          <w:lang w:val="es-ES"/>
        </w:rPr>
        <w:t xml:space="preserve"> la </w:t>
      </w:r>
      <w:r w:rsidR="00A73CA9">
        <w:rPr>
          <w:rFonts w:ascii="Century Gothic" w:hAnsi="Century Gothic"/>
          <w:lang w:val="es-ES"/>
        </w:rPr>
        <w:t>FP</w:t>
      </w:r>
      <w:r w:rsidRPr="007426BB">
        <w:rPr>
          <w:rFonts w:ascii="Century Gothic" w:hAnsi="Century Gothic"/>
          <w:lang w:val="es-ES"/>
        </w:rPr>
        <w:t xml:space="preserve"> dual.</w:t>
      </w:r>
    </w:p>
    <w:p w14:paraId="1F712165" w14:textId="0117A778" w:rsidR="00625F0A" w:rsidRDefault="00EF02CB" w:rsidP="00757E55">
      <w:pPr>
        <w:pStyle w:val="Prrafodelista"/>
        <w:numPr>
          <w:ilvl w:val="0"/>
          <w:numId w:val="32"/>
        </w:numPr>
        <w:rPr>
          <w:rFonts w:ascii="Century Gothic" w:hAnsi="Century Gothic"/>
          <w:lang w:val="es-ES"/>
        </w:rPr>
      </w:pPr>
      <w:r w:rsidRPr="00390038">
        <w:rPr>
          <w:rFonts w:ascii="Century Gothic" w:hAnsi="Century Gothic"/>
          <w:b/>
          <w:lang w:val="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390038">
        <w:rPr>
          <w:rFonts w:ascii="Century Gothic" w:hAnsi="Century Gothic"/>
          <w:b/>
          <w:lang w:val="es-ES"/>
        </w:rPr>
        <w:t xml:space="preserve"> Prestigiar y fomentar la Formación Profesional</w:t>
      </w:r>
      <w:r w:rsidR="007C3D90">
        <w:rPr>
          <w:rFonts w:ascii="Century Gothic" w:hAnsi="Century Gothic"/>
          <w:b/>
          <w:lang w:val="es-ES"/>
        </w:rPr>
        <w:t>.</w:t>
      </w:r>
    </w:p>
    <w:p w14:paraId="34D5C868" w14:textId="697A9ED5" w:rsidR="00B8239A" w:rsidRPr="00B8239A" w:rsidRDefault="00B8239A" w:rsidP="00757E55">
      <w:pPr>
        <w:pStyle w:val="Prrafodelista"/>
        <w:numPr>
          <w:ilvl w:val="1"/>
          <w:numId w:val="32"/>
        </w:numPr>
        <w:ind w:left="709" w:hanging="273"/>
        <w:rPr>
          <w:rFonts w:ascii="Century Gothic" w:hAnsi="Century Gothic"/>
          <w:lang w:val="es-ES"/>
        </w:rPr>
      </w:pPr>
      <w:r w:rsidRPr="00B8239A">
        <w:rPr>
          <w:rFonts w:ascii="Century Gothic" w:hAnsi="Century Gothic"/>
          <w:lang w:val="es-ES"/>
        </w:rPr>
        <w:t xml:space="preserve">Incentivar la </w:t>
      </w:r>
      <w:r w:rsidR="00A73CA9">
        <w:rPr>
          <w:rFonts w:ascii="Century Gothic" w:hAnsi="Century Gothic"/>
          <w:lang w:val="es-ES"/>
        </w:rPr>
        <w:t>FP</w:t>
      </w:r>
      <w:r w:rsidRPr="00B8239A">
        <w:rPr>
          <w:rFonts w:ascii="Century Gothic" w:hAnsi="Century Gothic"/>
          <w:lang w:val="es-ES"/>
        </w:rPr>
        <w:t xml:space="preserve"> como una opción alternativa de prestigio a la Educación Superior, incrementando su importancia dentro de la empresa </w:t>
      </w:r>
      <w:r w:rsidR="00A73CA9">
        <w:rPr>
          <w:rFonts w:ascii="Century Gothic" w:hAnsi="Century Gothic"/>
          <w:lang w:val="es-ES"/>
        </w:rPr>
        <w:t>y</w:t>
      </w:r>
      <w:r w:rsidRPr="00B8239A">
        <w:rPr>
          <w:rFonts w:ascii="Century Gothic" w:hAnsi="Century Gothic"/>
          <w:lang w:val="es-ES"/>
        </w:rPr>
        <w:t xml:space="preserve"> aumentando sus competencias lectivas en idiomas para darle un perfil más global.</w:t>
      </w:r>
    </w:p>
    <w:p w14:paraId="0876057E" w14:textId="347F0BFC" w:rsidR="00B320CD" w:rsidRPr="00930230" w:rsidRDefault="00B8239A" w:rsidP="00757E55">
      <w:pPr>
        <w:pStyle w:val="Prrafodelista"/>
        <w:numPr>
          <w:ilvl w:val="1"/>
          <w:numId w:val="32"/>
        </w:numPr>
        <w:ind w:left="709" w:hanging="273"/>
        <w:rPr>
          <w:rFonts w:ascii="Century Gothic" w:hAnsi="Century Gothic"/>
          <w:lang w:val="es-ES"/>
        </w:rPr>
      </w:pPr>
      <w:r w:rsidRPr="00930230">
        <w:rPr>
          <w:rFonts w:ascii="Century Gothic" w:hAnsi="Century Gothic"/>
          <w:lang w:val="es-ES"/>
        </w:rPr>
        <w:t>Impulsar la FP Dual entre las PYME, dando publicidad y abaratando su implantación en las mismas, mediante la cooperación</w:t>
      </w:r>
      <w:r w:rsidR="00A73CA9">
        <w:rPr>
          <w:rFonts w:ascii="Century Gothic" w:hAnsi="Century Gothic"/>
          <w:lang w:val="es-ES"/>
        </w:rPr>
        <w:t xml:space="preserve"> con</w:t>
      </w:r>
      <w:r w:rsidRPr="00930230">
        <w:rPr>
          <w:rFonts w:ascii="Century Gothic" w:hAnsi="Century Gothic"/>
          <w:lang w:val="es-ES"/>
        </w:rPr>
        <w:t xml:space="preserve"> grandes empresas</w:t>
      </w:r>
      <w:r w:rsidR="00DC13D7" w:rsidRPr="00930230">
        <w:rPr>
          <w:rFonts w:ascii="Century Gothic" w:hAnsi="Century Gothic"/>
          <w:lang w:val="es-ES"/>
        </w:rPr>
        <w:t xml:space="preserve">, </w:t>
      </w:r>
      <w:r w:rsidR="00A73CA9">
        <w:rPr>
          <w:rFonts w:ascii="Century Gothic" w:hAnsi="Century Gothic"/>
          <w:lang w:val="es-ES"/>
        </w:rPr>
        <w:t>AAPP</w:t>
      </w:r>
      <w:r w:rsidRPr="00930230">
        <w:rPr>
          <w:rFonts w:ascii="Century Gothic" w:hAnsi="Century Gothic"/>
          <w:lang w:val="es-ES"/>
        </w:rPr>
        <w:t xml:space="preserve"> y centros de formación.</w:t>
      </w:r>
      <w:r w:rsidR="00DC13D7" w:rsidRPr="00930230">
        <w:rPr>
          <w:rFonts w:ascii="Century Gothic" w:hAnsi="Century Gothic"/>
          <w:lang w:val="es-ES"/>
        </w:rPr>
        <w:t xml:space="preserve"> </w:t>
      </w:r>
    </w:p>
    <w:p w14:paraId="32BD5FBB" w14:textId="75C70175" w:rsidR="00EF02CB" w:rsidRDefault="00EF02CB" w:rsidP="00757E55">
      <w:pPr>
        <w:pStyle w:val="Prrafodelista"/>
        <w:numPr>
          <w:ilvl w:val="0"/>
          <w:numId w:val="32"/>
        </w:numPr>
        <w:rPr>
          <w:rFonts w:ascii="Century Gothic" w:hAnsi="Century Gothic"/>
          <w:lang w:val="es-ES"/>
        </w:rPr>
      </w:pPr>
      <w:r w:rsidRPr="00390038">
        <w:rPr>
          <w:rFonts w:ascii="Century Gothic" w:hAnsi="Century Gothic"/>
          <w:b/>
          <w:lang w:val="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390038">
        <w:rPr>
          <w:rFonts w:ascii="Century Gothic" w:hAnsi="Century Gothic"/>
          <w:b/>
          <w:lang w:val="es-ES"/>
        </w:rPr>
        <w:t xml:space="preserve"> Reforzar la cultura PYME y </w:t>
      </w:r>
      <w:r w:rsidR="0015589B">
        <w:rPr>
          <w:rFonts w:ascii="Century Gothic" w:hAnsi="Century Gothic"/>
          <w:b/>
          <w:lang w:val="es-ES"/>
        </w:rPr>
        <w:t xml:space="preserve">el </w:t>
      </w:r>
      <w:r w:rsidRPr="00390038">
        <w:rPr>
          <w:rFonts w:ascii="Century Gothic" w:hAnsi="Century Gothic"/>
          <w:b/>
          <w:lang w:val="es-ES"/>
        </w:rPr>
        <w:t>fomento del espíritu emprendedor</w:t>
      </w:r>
      <w:r>
        <w:rPr>
          <w:rFonts w:ascii="Century Gothic" w:hAnsi="Century Gothic"/>
          <w:lang w:val="es-ES"/>
        </w:rPr>
        <w:t xml:space="preserve">: </w:t>
      </w:r>
    </w:p>
    <w:p w14:paraId="260E622D" w14:textId="3EA4FD7C" w:rsidR="00FB6964" w:rsidRPr="007426BB" w:rsidRDefault="00FB6964" w:rsidP="00757E55">
      <w:pPr>
        <w:pStyle w:val="Prrafodelista"/>
        <w:numPr>
          <w:ilvl w:val="1"/>
          <w:numId w:val="32"/>
        </w:numPr>
        <w:ind w:left="709" w:hanging="273"/>
        <w:rPr>
          <w:rFonts w:ascii="Century Gothic" w:hAnsi="Century Gothic"/>
          <w:lang w:val="es-ES"/>
        </w:rPr>
      </w:pPr>
      <w:r w:rsidRPr="007426BB">
        <w:rPr>
          <w:rFonts w:ascii="Century Gothic" w:hAnsi="Century Gothic"/>
          <w:lang w:val="es-ES"/>
        </w:rPr>
        <w:t>Mejorar la imagen actual que la sociedad tiene de la PYME y</w:t>
      </w:r>
      <w:r w:rsidR="007C3D90">
        <w:rPr>
          <w:rFonts w:ascii="Century Gothic" w:hAnsi="Century Gothic"/>
          <w:lang w:val="es-ES"/>
        </w:rPr>
        <w:t xml:space="preserve"> del empresario</w:t>
      </w:r>
      <w:r w:rsidRPr="007426BB">
        <w:rPr>
          <w:rFonts w:ascii="Century Gothic" w:hAnsi="Century Gothic"/>
          <w:lang w:val="es-ES"/>
        </w:rPr>
        <w:t>.</w:t>
      </w:r>
    </w:p>
    <w:p w14:paraId="5186B6C8" w14:textId="50F83589" w:rsidR="00922BBA" w:rsidRPr="00922BBA" w:rsidRDefault="00922BBA" w:rsidP="00757E55">
      <w:pPr>
        <w:pStyle w:val="Prrafodelista"/>
        <w:numPr>
          <w:ilvl w:val="1"/>
          <w:numId w:val="32"/>
        </w:numPr>
        <w:ind w:left="709" w:hanging="273"/>
        <w:rPr>
          <w:rFonts w:ascii="Century Gothic" w:hAnsi="Century Gothic"/>
          <w:lang w:val="es-ES"/>
        </w:rPr>
      </w:pPr>
      <w:r w:rsidRPr="00922BBA">
        <w:rPr>
          <w:rFonts w:ascii="Century Gothic" w:hAnsi="Century Gothic"/>
          <w:lang w:val="es-ES"/>
        </w:rPr>
        <w:t>Continuar</w:t>
      </w:r>
      <w:r w:rsidR="00625F0A" w:rsidRPr="00922BBA">
        <w:rPr>
          <w:rFonts w:ascii="Century Gothic" w:hAnsi="Century Gothic"/>
          <w:lang w:val="es-ES"/>
        </w:rPr>
        <w:t xml:space="preserve"> impulsando el espíritu emprendedor </w:t>
      </w:r>
      <w:r w:rsidR="0012279F">
        <w:rPr>
          <w:rFonts w:ascii="Century Gothic" w:hAnsi="Century Gothic"/>
          <w:lang w:val="es-ES"/>
        </w:rPr>
        <w:t xml:space="preserve">con carácter general y más concretamente </w:t>
      </w:r>
      <w:r w:rsidR="00625F0A" w:rsidRPr="00922BBA">
        <w:rPr>
          <w:rFonts w:ascii="Century Gothic" w:hAnsi="Century Gothic"/>
          <w:lang w:val="es-ES"/>
        </w:rPr>
        <w:t>en todos los niveles educativos.</w:t>
      </w:r>
      <w:r w:rsidR="00A314F7" w:rsidRPr="00685DF0">
        <w:rPr>
          <w:rFonts w:ascii="Century Gothic" w:hAnsi="Century Gothic"/>
          <w:lang w:val="es-ES"/>
        </w:rPr>
        <w:t xml:space="preserve"> </w:t>
      </w:r>
    </w:p>
    <w:p w14:paraId="1FC6C20E" w14:textId="46249C14" w:rsidR="000A5161" w:rsidRPr="00922BBA" w:rsidRDefault="000A5161" w:rsidP="00757E55">
      <w:pPr>
        <w:pStyle w:val="Prrafodelista"/>
        <w:numPr>
          <w:ilvl w:val="1"/>
          <w:numId w:val="32"/>
        </w:numPr>
        <w:ind w:left="709" w:hanging="273"/>
        <w:rPr>
          <w:rFonts w:ascii="Century Gothic" w:hAnsi="Century Gothic"/>
          <w:lang w:val="es-ES"/>
        </w:rPr>
      </w:pPr>
      <w:r w:rsidRPr="00922BBA">
        <w:rPr>
          <w:rFonts w:ascii="Century Gothic" w:hAnsi="Century Gothic"/>
          <w:lang w:val="es-ES"/>
        </w:rPr>
        <w:t xml:space="preserve">Desarrollar políticas de apoyo al emprendimiento en </w:t>
      </w:r>
      <w:r w:rsidR="007A1D95" w:rsidRPr="00922BBA">
        <w:rPr>
          <w:rFonts w:ascii="Century Gothic" w:hAnsi="Century Gothic"/>
          <w:lang w:val="es-ES"/>
        </w:rPr>
        <w:t>Universidades y</w:t>
      </w:r>
      <w:r w:rsidRPr="00922BBA">
        <w:rPr>
          <w:rFonts w:ascii="Century Gothic" w:hAnsi="Century Gothic"/>
          <w:lang w:val="es-ES"/>
        </w:rPr>
        <w:t xml:space="preserve"> escuelas de negocio. Apoyar y fomentar la capacitación del capital humano en Universidades y escuelas de negocio, dotándoles de recursos y haciendo el seguimiento del impacto de dichas medidas.</w:t>
      </w:r>
    </w:p>
    <w:p w14:paraId="686F57D8" w14:textId="62C2E9A2" w:rsidR="00DA5416" w:rsidRDefault="00FB6964" w:rsidP="00757E55">
      <w:pPr>
        <w:pStyle w:val="Prrafodelista"/>
        <w:numPr>
          <w:ilvl w:val="1"/>
          <w:numId w:val="32"/>
        </w:numPr>
        <w:ind w:left="709" w:hanging="273"/>
        <w:rPr>
          <w:rFonts w:ascii="Century Gothic" w:hAnsi="Century Gothic"/>
          <w:lang w:val="es-ES"/>
        </w:rPr>
      </w:pPr>
      <w:r w:rsidRPr="007426BB">
        <w:rPr>
          <w:rFonts w:ascii="Century Gothic" w:hAnsi="Century Gothic"/>
          <w:lang w:val="es-ES"/>
        </w:rPr>
        <w:t xml:space="preserve">Desarrollo de la microempresa </w:t>
      </w:r>
      <w:r w:rsidR="00FB3B62">
        <w:rPr>
          <w:rFonts w:ascii="Century Gothic" w:hAnsi="Century Gothic"/>
          <w:lang w:val="es-ES"/>
        </w:rPr>
        <w:t xml:space="preserve">que establece la </w:t>
      </w:r>
      <w:r w:rsidR="006B7119">
        <w:rPr>
          <w:rFonts w:ascii="Century Gothic" w:hAnsi="Century Gothic"/>
          <w:lang w:val="es-ES"/>
        </w:rPr>
        <w:t>Ley de apoyo a emprendedores</w:t>
      </w:r>
      <w:r w:rsidRPr="007426BB">
        <w:rPr>
          <w:rFonts w:ascii="Century Gothic" w:hAnsi="Century Gothic"/>
          <w:lang w:val="es-ES"/>
        </w:rPr>
        <w:t>. Recoger las iniciativas de las CCAA a modo de buenas prácticas para su difusión y conocimiento por otros.</w:t>
      </w:r>
    </w:p>
    <w:p w14:paraId="1289E166" w14:textId="77777777" w:rsidR="003D5B73" w:rsidRDefault="003D5B73" w:rsidP="00757E55">
      <w:pPr>
        <w:pStyle w:val="Prrafodelista"/>
        <w:numPr>
          <w:ilvl w:val="1"/>
          <w:numId w:val="32"/>
        </w:numPr>
        <w:ind w:left="709" w:hanging="273"/>
        <w:rPr>
          <w:rFonts w:ascii="Century Gothic" w:hAnsi="Century Gothic"/>
          <w:lang w:val="es-ES"/>
        </w:rPr>
      </w:pPr>
      <w:r w:rsidRPr="005703D7">
        <w:rPr>
          <w:rFonts w:ascii="Century Gothic" w:hAnsi="Century Gothic"/>
          <w:lang w:val="es-ES"/>
        </w:rPr>
        <w:t>Incrementar los incentivos al emprendimiento para mayores de 40 años</w:t>
      </w:r>
      <w:r>
        <w:rPr>
          <w:rFonts w:ascii="Century Gothic" w:hAnsi="Century Gothic"/>
          <w:lang w:val="es-ES"/>
        </w:rPr>
        <w:t>.</w:t>
      </w:r>
    </w:p>
    <w:p w14:paraId="4E98B70F" w14:textId="4358ADB6" w:rsidR="00006F7D" w:rsidRPr="00FB6964" w:rsidRDefault="00006F7D" w:rsidP="00757E55">
      <w:pPr>
        <w:pStyle w:val="Prrafodelista"/>
        <w:numPr>
          <w:ilvl w:val="0"/>
          <w:numId w:val="32"/>
        </w:numPr>
        <w:rPr>
          <w:rFonts w:ascii="Century Gothic" w:hAnsi="Century Gothic"/>
          <w:lang w:val="es-ES"/>
        </w:rPr>
      </w:pPr>
      <w:r w:rsidRPr="00EF02CB">
        <w:rPr>
          <w:rFonts w:ascii="Century Gothic" w:hAnsi="Century Gothic"/>
          <w:b/>
          <w:lang w:val="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EF02CB">
        <w:rPr>
          <w:rFonts w:ascii="Century Gothic" w:hAnsi="Century Gothic"/>
          <w:b/>
          <w:lang w:val="es-ES"/>
        </w:rPr>
        <w:t xml:space="preserve"> </w:t>
      </w:r>
      <w:r w:rsidR="00CC7FC7">
        <w:rPr>
          <w:rFonts w:ascii="Century Gothic" w:hAnsi="Century Gothic"/>
          <w:b/>
          <w:lang w:val="es-ES"/>
        </w:rPr>
        <w:t>M</w:t>
      </w:r>
      <w:r w:rsidRPr="00EF02CB">
        <w:rPr>
          <w:rFonts w:ascii="Century Gothic" w:hAnsi="Century Gothic"/>
          <w:b/>
          <w:lang w:val="es-ES"/>
        </w:rPr>
        <w:t xml:space="preserve">edidas para incentivar </w:t>
      </w:r>
      <w:r>
        <w:rPr>
          <w:rFonts w:ascii="Century Gothic" w:hAnsi="Century Gothic"/>
          <w:b/>
          <w:lang w:val="es-ES"/>
        </w:rPr>
        <w:t>el ecosistema emprendedor.</w:t>
      </w:r>
    </w:p>
    <w:p w14:paraId="0AF13808" w14:textId="3829C5B2" w:rsidR="00922BBA" w:rsidRDefault="00006F7D" w:rsidP="00757E55">
      <w:pPr>
        <w:pStyle w:val="Prrafodelista"/>
        <w:numPr>
          <w:ilvl w:val="1"/>
          <w:numId w:val="32"/>
        </w:numPr>
        <w:ind w:left="709" w:hanging="273"/>
        <w:rPr>
          <w:rFonts w:ascii="Century Gothic" w:hAnsi="Century Gothic"/>
          <w:lang w:val="es-ES"/>
        </w:rPr>
      </w:pPr>
      <w:r w:rsidRPr="007426BB">
        <w:rPr>
          <w:rFonts w:ascii="Century Gothic" w:hAnsi="Century Gothic"/>
          <w:lang w:val="es-ES"/>
        </w:rPr>
        <w:t xml:space="preserve">Fomentar </w:t>
      </w:r>
      <w:r w:rsidR="00922BBA">
        <w:rPr>
          <w:rFonts w:ascii="Century Gothic" w:hAnsi="Century Gothic"/>
          <w:lang w:val="es-ES"/>
        </w:rPr>
        <w:t xml:space="preserve">y </w:t>
      </w:r>
      <w:r w:rsidR="00922BBA" w:rsidRPr="007426BB">
        <w:rPr>
          <w:rFonts w:ascii="Century Gothic" w:hAnsi="Century Gothic"/>
          <w:lang w:val="es-ES"/>
        </w:rPr>
        <w:t>hacer más eficientes y orientadas al cliente</w:t>
      </w:r>
      <w:r w:rsidR="00922BBA">
        <w:rPr>
          <w:rFonts w:ascii="Century Gothic" w:hAnsi="Century Gothic"/>
          <w:lang w:val="es-ES"/>
        </w:rPr>
        <w:t>,</w:t>
      </w:r>
      <w:r w:rsidR="00922BBA" w:rsidRPr="007426BB">
        <w:rPr>
          <w:rFonts w:ascii="Century Gothic" w:hAnsi="Century Gothic"/>
          <w:lang w:val="es-ES"/>
        </w:rPr>
        <w:t xml:space="preserve"> </w:t>
      </w:r>
      <w:r w:rsidRPr="007426BB">
        <w:rPr>
          <w:rFonts w:ascii="Century Gothic" w:hAnsi="Century Gothic"/>
          <w:lang w:val="es-ES"/>
        </w:rPr>
        <w:t>las redes existentes</w:t>
      </w:r>
      <w:r w:rsidR="00922BBA">
        <w:rPr>
          <w:rFonts w:ascii="Century Gothic" w:hAnsi="Century Gothic"/>
          <w:lang w:val="es-ES"/>
        </w:rPr>
        <w:t>, evitando duplicidades,</w:t>
      </w:r>
      <w:r w:rsidRPr="007426BB">
        <w:rPr>
          <w:rFonts w:ascii="Century Gothic" w:hAnsi="Century Gothic"/>
          <w:lang w:val="es-ES"/>
        </w:rPr>
        <w:t xml:space="preserve"> y desarrollar políticas </w:t>
      </w:r>
      <w:r w:rsidR="00CC7FC7">
        <w:rPr>
          <w:rFonts w:ascii="Century Gothic" w:hAnsi="Century Gothic"/>
          <w:lang w:val="es-ES"/>
        </w:rPr>
        <w:t>de</w:t>
      </w:r>
      <w:r w:rsidRPr="007426BB">
        <w:rPr>
          <w:rFonts w:ascii="Century Gothic" w:hAnsi="Century Gothic"/>
          <w:lang w:val="es-ES"/>
        </w:rPr>
        <w:t xml:space="preserve"> desarrollo de ecosistemas emprendedores</w:t>
      </w:r>
      <w:r w:rsidR="00922BBA">
        <w:rPr>
          <w:rFonts w:ascii="Century Gothic" w:hAnsi="Century Gothic"/>
          <w:lang w:val="es-ES"/>
        </w:rPr>
        <w:t xml:space="preserve">. Alinear </w:t>
      </w:r>
      <w:r w:rsidRPr="007426BB">
        <w:rPr>
          <w:rFonts w:ascii="Century Gothic" w:hAnsi="Century Gothic"/>
          <w:lang w:val="es-ES"/>
        </w:rPr>
        <w:t>las políticas de empleo y emprendimiento</w:t>
      </w:r>
      <w:r w:rsidR="000A5161">
        <w:rPr>
          <w:rFonts w:ascii="Century Gothic" w:hAnsi="Century Gothic"/>
          <w:lang w:val="es-ES"/>
        </w:rPr>
        <w:t xml:space="preserve"> </w:t>
      </w:r>
      <w:r w:rsidR="000A5161" w:rsidRPr="000A5161">
        <w:rPr>
          <w:rFonts w:ascii="Century Gothic" w:hAnsi="Century Gothic"/>
          <w:lang w:val="es-ES"/>
        </w:rPr>
        <w:t>y foment</w:t>
      </w:r>
      <w:r w:rsidR="00922BBA">
        <w:rPr>
          <w:rFonts w:ascii="Century Gothic" w:hAnsi="Century Gothic"/>
          <w:lang w:val="es-ES"/>
        </w:rPr>
        <w:t>ar</w:t>
      </w:r>
      <w:r w:rsidR="000A5161" w:rsidRPr="000A5161">
        <w:rPr>
          <w:rFonts w:ascii="Century Gothic" w:hAnsi="Century Gothic"/>
          <w:lang w:val="es-ES"/>
        </w:rPr>
        <w:t xml:space="preserve"> la colaboración público-privada.</w:t>
      </w:r>
      <w:r w:rsidR="00922BBA" w:rsidRPr="00922BBA">
        <w:rPr>
          <w:rFonts w:ascii="Century Gothic" w:hAnsi="Century Gothic"/>
          <w:lang w:val="es-ES"/>
        </w:rPr>
        <w:t xml:space="preserve"> </w:t>
      </w:r>
    </w:p>
    <w:p w14:paraId="4A1F53B8" w14:textId="4DD947B7" w:rsidR="0015589B" w:rsidRPr="00157989" w:rsidRDefault="00922BBA" w:rsidP="00757E55">
      <w:pPr>
        <w:pStyle w:val="Prrafodelista"/>
        <w:numPr>
          <w:ilvl w:val="1"/>
          <w:numId w:val="32"/>
        </w:numPr>
        <w:ind w:left="709" w:hanging="273"/>
        <w:rPr>
          <w:rFonts w:ascii="Century Gothic" w:hAnsi="Century Gothic"/>
          <w:lang w:val="es-ES"/>
        </w:rPr>
      </w:pPr>
      <w:r w:rsidRPr="00157989">
        <w:rPr>
          <w:rFonts w:ascii="Century Gothic" w:hAnsi="Century Gothic"/>
          <w:lang w:val="es-ES"/>
        </w:rPr>
        <w:lastRenderedPageBreak/>
        <w:t>Crear un repositorio de recursos y mejores prácticas en emprendimiento.</w:t>
      </w:r>
      <w:r w:rsidR="00157989" w:rsidRPr="00157989">
        <w:rPr>
          <w:rFonts w:ascii="Century Gothic" w:hAnsi="Century Gothic"/>
          <w:lang w:val="es-ES"/>
        </w:rPr>
        <w:t xml:space="preserve"> </w:t>
      </w:r>
      <w:r w:rsidR="0015589B" w:rsidRPr="00157989">
        <w:rPr>
          <w:rFonts w:ascii="Century Gothic" w:hAnsi="Century Gothic"/>
          <w:lang w:val="es-ES"/>
        </w:rPr>
        <w:t>Promover iniciativas del tipo "study and work"</w:t>
      </w:r>
      <w:r w:rsidR="0015589B" w:rsidRPr="00F70DEC">
        <w:rPr>
          <w:rFonts w:ascii="Century Gothic" w:hAnsi="Century Gothic"/>
          <w:vertAlign w:val="superscript"/>
          <w:lang w:val="es-ES"/>
        </w:rPr>
        <w:footnoteReference w:id="21"/>
      </w:r>
      <w:r w:rsidR="0015589B" w:rsidRPr="00157989">
        <w:rPr>
          <w:rFonts w:ascii="Century Gothic" w:hAnsi="Century Gothic"/>
          <w:lang w:val="es-ES"/>
        </w:rPr>
        <w:t xml:space="preserve"> para atraer talento.</w:t>
      </w:r>
    </w:p>
    <w:p w14:paraId="302B8531" w14:textId="7AB04530" w:rsidR="00381675" w:rsidRDefault="00381675" w:rsidP="00757E55">
      <w:pPr>
        <w:pStyle w:val="Prrafodelista"/>
        <w:numPr>
          <w:ilvl w:val="1"/>
          <w:numId w:val="32"/>
        </w:numPr>
        <w:ind w:left="709" w:hanging="273"/>
        <w:rPr>
          <w:rFonts w:ascii="Century Gothic" w:hAnsi="Century Gothic"/>
          <w:lang w:val="es-ES"/>
        </w:rPr>
      </w:pPr>
      <w:r>
        <w:rPr>
          <w:rFonts w:ascii="Century Gothic" w:hAnsi="Century Gothic"/>
          <w:lang w:val="es-ES"/>
        </w:rPr>
        <w:t>Valorar incentivos fiscales para favorecer la creación de empresas</w:t>
      </w:r>
    </w:p>
    <w:p w14:paraId="5EEDB439" w14:textId="4C7FA8B2" w:rsidR="00922BBA" w:rsidRPr="00922BBA" w:rsidRDefault="00922BBA" w:rsidP="00757E55">
      <w:pPr>
        <w:pStyle w:val="Prrafodelista"/>
        <w:numPr>
          <w:ilvl w:val="1"/>
          <w:numId w:val="32"/>
        </w:numPr>
        <w:ind w:left="709" w:hanging="273"/>
        <w:rPr>
          <w:rFonts w:ascii="Century Gothic" w:hAnsi="Century Gothic"/>
          <w:lang w:val="es-ES"/>
        </w:rPr>
      </w:pPr>
      <w:r>
        <w:rPr>
          <w:rFonts w:ascii="Century Gothic" w:hAnsi="Century Gothic"/>
          <w:lang w:val="es-ES"/>
        </w:rPr>
        <w:t xml:space="preserve">Seguir impulsando </w:t>
      </w:r>
      <w:r w:rsidRPr="009A7E37">
        <w:rPr>
          <w:rFonts w:ascii="Century Gothic" w:hAnsi="Century Gothic"/>
          <w:lang w:val="es-ES"/>
        </w:rPr>
        <w:t>la transferencia de tecnología y la colaboración público</w:t>
      </w:r>
      <w:r>
        <w:rPr>
          <w:rFonts w:ascii="Century Gothic" w:hAnsi="Century Gothic"/>
          <w:lang w:val="es-ES"/>
        </w:rPr>
        <w:t>-</w:t>
      </w:r>
      <w:r w:rsidRPr="009A7E37">
        <w:rPr>
          <w:rFonts w:ascii="Century Gothic" w:hAnsi="Century Gothic"/>
          <w:lang w:val="es-ES"/>
        </w:rPr>
        <w:t xml:space="preserve"> privada</w:t>
      </w:r>
      <w:r>
        <w:rPr>
          <w:rFonts w:ascii="Century Gothic" w:hAnsi="Century Gothic"/>
          <w:lang w:val="es-ES"/>
        </w:rPr>
        <w:t>,</w:t>
      </w:r>
      <w:r w:rsidRPr="00685DF0">
        <w:rPr>
          <w:rFonts w:ascii="Century Gothic" w:hAnsi="Century Gothic"/>
          <w:lang w:val="es-ES"/>
        </w:rPr>
        <w:t xml:space="preserve"> </w:t>
      </w:r>
      <w:r w:rsidRPr="009A7E37">
        <w:rPr>
          <w:rFonts w:ascii="Century Gothic" w:hAnsi="Century Gothic"/>
          <w:lang w:val="es-ES"/>
        </w:rPr>
        <w:t>reforza</w:t>
      </w:r>
      <w:r>
        <w:rPr>
          <w:rFonts w:ascii="Century Gothic" w:hAnsi="Century Gothic"/>
          <w:lang w:val="es-ES"/>
        </w:rPr>
        <w:t>ndo</w:t>
      </w:r>
      <w:r w:rsidRPr="009A7E37">
        <w:rPr>
          <w:rFonts w:ascii="Century Gothic" w:hAnsi="Century Gothic"/>
          <w:lang w:val="es-ES"/>
        </w:rPr>
        <w:t xml:space="preserve"> la labor del CDTI </w:t>
      </w:r>
      <w:r>
        <w:rPr>
          <w:rFonts w:ascii="Century Gothic" w:hAnsi="Century Gothic"/>
          <w:lang w:val="es-ES"/>
        </w:rPr>
        <w:t xml:space="preserve">como financiador </w:t>
      </w:r>
      <w:r w:rsidRPr="009A7E37">
        <w:rPr>
          <w:rFonts w:ascii="Century Gothic" w:hAnsi="Century Gothic"/>
          <w:lang w:val="es-ES"/>
        </w:rPr>
        <w:t>de empresas de base tecnológica</w:t>
      </w:r>
      <w:r>
        <w:rPr>
          <w:rFonts w:ascii="Century Gothic" w:hAnsi="Century Gothic"/>
          <w:lang w:val="es-ES"/>
        </w:rPr>
        <w:t xml:space="preserve">. Definir líneas de apoyo a pruebas de concepto. </w:t>
      </w:r>
      <w:r w:rsidRPr="000A5161">
        <w:rPr>
          <w:rFonts w:ascii="Century Gothic" w:hAnsi="Century Gothic"/>
          <w:lang w:val="es-ES"/>
        </w:rPr>
        <w:t>Mayor coordinación de los programas de transferencia tecnológica/I+D con otros instrumentos financieros.</w:t>
      </w:r>
    </w:p>
    <w:p w14:paraId="193261CC" w14:textId="7D8BBD91" w:rsidR="00625F0A" w:rsidRPr="00907F71" w:rsidRDefault="00625F0A" w:rsidP="00757E55">
      <w:pPr>
        <w:pStyle w:val="Prrafodelista"/>
        <w:numPr>
          <w:ilvl w:val="0"/>
          <w:numId w:val="32"/>
        </w:numPr>
        <w:rPr>
          <w:rFonts w:ascii="Century Gothic" w:hAnsi="Century Gothic" w:cs="Arial"/>
          <w:color w:val="000000"/>
          <w:kern w:val="24"/>
          <w:lang w:val="es-ES" w:eastAsia="es-ES"/>
        </w:rPr>
      </w:pPr>
      <w:r w:rsidRPr="00907F71">
        <w:rPr>
          <w:rFonts w:ascii="Century Gothic" w:hAnsi="Century Gothic" w:cs="Arial"/>
          <w:b/>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sidRPr="00907F71">
        <w:rPr>
          <w:rFonts w:ascii="Century Gothic" w:hAnsi="Century Gothic" w:cs="Arial"/>
          <w:b/>
          <w:color w:val="000000"/>
          <w:kern w:val="24"/>
          <w:lang w:val="es-ES" w:eastAsia="es-ES"/>
        </w:rPr>
        <w:t xml:space="preserve"> Continuar avanzando en la simplificación para constituir una PYME, así como en la mejora y desarrollo de servicios de soporte</w:t>
      </w:r>
      <w:r w:rsidR="00B729E6">
        <w:rPr>
          <w:rFonts w:ascii="Century Gothic" w:hAnsi="Century Gothic" w:cs="Arial"/>
          <w:color w:val="000000"/>
          <w:kern w:val="24"/>
          <w:lang w:val="es-ES" w:eastAsia="es-ES"/>
        </w:rPr>
        <w:t>.</w:t>
      </w:r>
    </w:p>
    <w:p w14:paraId="3CDE977E" w14:textId="3994133F" w:rsidR="00625F0A" w:rsidRPr="00187602" w:rsidRDefault="00625F0A" w:rsidP="00757E55">
      <w:pPr>
        <w:pStyle w:val="Prrafodelista"/>
        <w:numPr>
          <w:ilvl w:val="1"/>
          <w:numId w:val="32"/>
        </w:numPr>
        <w:ind w:left="709" w:hanging="273"/>
        <w:rPr>
          <w:rFonts w:ascii="Century Gothic" w:hAnsi="Century Gothic"/>
          <w:lang w:val="es-ES"/>
        </w:rPr>
      </w:pPr>
      <w:r>
        <w:rPr>
          <w:rFonts w:ascii="Century Gothic" w:hAnsi="Century Gothic"/>
          <w:lang w:val="es-ES"/>
        </w:rPr>
        <w:t>Seguir s</w:t>
      </w:r>
      <w:r w:rsidRPr="00187602">
        <w:rPr>
          <w:rFonts w:ascii="Century Gothic" w:hAnsi="Century Gothic"/>
          <w:lang w:val="es-ES"/>
        </w:rPr>
        <w:t>implifica</w:t>
      </w:r>
      <w:r>
        <w:rPr>
          <w:rFonts w:ascii="Century Gothic" w:hAnsi="Century Gothic"/>
          <w:lang w:val="es-ES"/>
        </w:rPr>
        <w:t>ndo</w:t>
      </w:r>
      <w:r w:rsidRPr="00187602">
        <w:rPr>
          <w:rFonts w:ascii="Century Gothic" w:hAnsi="Century Gothic"/>
          <w:lang w:val="es-ES"/>
        </w:rPr>
        <w:t xml:space="preserve"> el procedimiento </w:t>
      </w:r>
      <w:r w:rsidR="0012279F">
        <w:rPr>
          <w:rFonts w:ascii="Century Gothic" w:hAnsi="Century Gothic"/>
          <w:lang w:val="es-ES"/>
        </w:rPr>
        <w:t>para la creación de una empresa</w:t>
      </w:r>
      <w:r w:rsidRPr="00187602">
        <w:rPr>
          <w:rFonts w:ascii="Century Gothic" w:hAnsi="Century Gothic"/>
          <w:lang w:val="es-ES"/>
        </w:rPr>
        <w:t xml:space="preserve">. </w:t>
      </w:r>
      <w:r w:rsidR="00906B08">
        <w:rPr>
          <w:rFonts w:ascii="Century Gothic" w:hAnsi="Century Gothic"/>
          <w:lang w:val="es-ES"/>
        </w:rPr>
        <w:t>C</w:t>
      </w:r>
      <w:r>
        <w:rPr>
          <w:rFonts w:ascii="Century Gothic" w:hAnsi="Century Gothic"/>
          <w:lang w:val="es-ES"/>
        </w:rPr>
        <w:t>ulmina</w:t>
      </w:r>
      <w:r w:rsidR="00906B08">
        <w:rPr>
          <w:rFonts w:ascii="Century Gothic" w:hAnsi="Century Gothic"/>
          <w:lang w:val="es-ES"/>
        </w:rPr>
        <w:t>r</w:t>
      </w:r>
      <w:r>
        <w:rPr>
          <w:rFonts w:ascii="Century Gothic" w:hAnsi="Century Gothic"/>
          <w:lang w:val="es-ES"/>
        </w:rPr>
        <w:t xml:space="preserve"> </w:t>
      </w:r>
      <w:r w:rsidR="00906B08">
        <w:rPr>
          <w:rFonts w:ascii="Century Gothic" w:hAnsi="Century Gothic"/>
          <w:lang w:val="es-ES"/>
        </w:rPr>
        <w:t>el desarrollo de</w:t>
      </w:r>
      <w:r>
        <w:rPr>
          <w:rFonts w:ascii="Century Gothic" w:hAnsi="Century Gothic"/>
          <w:lang w:val="es-ES"/>
        </w:rPr>
        <w:t xml:space="preserve"> la </w:t>
      </w:r>
      <w:r w:rsidR="0066433A">
        <w:rPr>
          <w:rFonts w:ascii="Century Gothic" w:hAnsi="Century Gothic"/>
          <w:lang w:val="es-ES"/>
        </w:rPr>
        <w:t>Ley de apoyo a emprendedores</w:t>
      </w:r>
      <w:r>
        <w:rPr>
          <w:rFonts w:ascii="Century Gothic" w:hAnsi="Century Gothic"/>
          <w:lang w:val="es-ES"/>
        </w:rPr>
        <w:t>.</w:t>
      </w:r>
    </w:p>
    <w:p w14:paraId="42668215" w14:textId="5C3ABDE0" w:rsidR="00625F0A" w:rsidRPr="00187602" w:rsidRDefault="00625F0A" w:rsidP="00757E55">
      <w:pPr>
        <w:pStyle w:val="Prrafodelista"/>
        <w:numPr>
          <w:ilvl w:val="1"/>
          <w:numId w:val="32"/>
        </w:numPr>
        <w:ind w:left="709" w:hanging="273"/>
        <w:rPr>
          <w:rFonts w:ascii="Century Gothic" w:hAnsi="Century Gothic"/>
          <w:lang w:val="es-ES"/>
        </w:rPr>
      </w:pPr>
      <w:r w:rsidRPr="00187602">
        <w:rPr>
          <w:rFonts w:ascii="Century Gothic" w:hAnsi="Century Gothic"/>
          <w:lang w:val="es-ES"/>
        </w:rPr>
        <w:t>Crear guías de creación de empresas</w:t>
      </w:r>
      <w:r>
        <w:rPr>
          <w:rFonts w:ascii="Century Gothic" w:hAnsi="Century Gothic"/>
          <w:lang w:val="es-ES"/>
        </w:rPr>
        <w:t xml:space="preserve"> por sectores de manera que el emprendedor conozca de antemano los trámites y normativa que le afectan.</w:t>
      </w:r>
    </w:p>
    <w:p w14:paraId="71993A24" w14:textId="51933081" w:rsidR="00625F0A" w:rsidRPr="00187602" w:rsidRDefault="000370BF" w:rsidP="00757E55">
      <w:pPr>
        <w:pStyle w:val="Prrafodelista"/>
        <w:numPr>
          <w:ilvl w:val="1"/>
          <w:numId w:val="32"/>
        </w:numPr>
        <w:ind w:left="709" w:hanging="273"/>
        <w:rPr>
          <w:rFonts w:ascii="Century Gothic" w:hAnsi="Century Gothic"/>
          <w:lang w:val="es-ES"/>
        </w:rPr>
      </w:pPr>
      <w:r>
        <w:rPr>
          <w:rFonts w:ascii="Century Gothic" w:hAnsi="Century Gothic"/>
          <w:lang w:val="es-ES"/>
        </w:rPr>
        <w:t>Seguir mejorando los</w:t>
      </w:r>
      <w:r w:rsidR="00625F0A" w:rsidRPr="00187602">
        <w:rPr>
          <w:rFonts w:ascii="Century Gothic" w:hAnsi="Century Gothic"/>
          <w:lang w:val="es-ES"/>
        </w:rPr>
        <w:t xml:space="preserve"> servicios de tutorización</w:t>
      </w:r>
      <w:r w:rsidR="00625F0A">
        <w:rPr>
          <w:rFonts w:ascii="Century Gothic" w:hAnsi="Century Gothic"/>
          <w:lang w:val="es-ES"/>
        </w:rPr>
        <w:t xml:space="preserve"> que orienten al emprendedor a crear su empresa y hacer un seguimiento durante los primeros años de actividad, intentando aumentar el porcentaje de empresas que sobreviven en </w:t>
      </w:r>
      <w:r>
        <w:rPr>
          <w:rFonts w:ascii="Century Gothic" w:hAnsi="Century Gothic"/>
          <w:lang w:val="es-ES"/>
        </w:rPr>
        <w:t>esos</w:t>
      </w:r>
      <w:r w:rsidR="00625F0A">
        <w:rPr>
          <w:rFonts w:ascii="Century Gothic" w:hAnsi="Century Gothic"/>
          <w:lang w:val="es-ES"/>
        </w:rPr>
        <w:t xml:space="preserve"> primeros años.</w:t>
      </w:r>
    </w:p>
    <w:p w14:paraId="0CF093A1" w14:textId="54314377" w:rsidR="003375CB" w:rsidRDefault="00625F0A" w:rsidP="00757E55">
      <w:pPr>
        <w:pStyle w:val="Prrafodelista"/>
        <w:numPr>
          <w:ilvl w:val="1"/>
          <w:numId w:val="32"/>
        </w:numPr>
        <w:ind w:left="709" w:hanging="273"/>
        <w:rPr>
          <w:rFonts w:ascii="Century Gothic" w:hAnsi="Century Gothic"/>
          <w:lang w:val="es-ES"/>
        </w:rPr>
      </w:pPr>
      <w:r>
        <w:rPr>
          <w:rFonts w:ascii="Century Gothic" w:hAnsi="Century Gothic"/>
          <w:lang w:val="es-ES"/>
        </w:rPr>
        <w:t>Valorar la a</w:t>
      </w:r>
      <w:r w:rsidRPr="003375CB">
        <w:rPr>
          <w:rFonts w:ascii="Century Gothic" w:hAnsi="Century Gothic"/>
          <w:lang w:val="es-ES"/>
        </w:rPr>
        <w:t>plica</w:t>
      </w:r>
      <w:r>
        <w:rPr>
          <w:rFonts w:ascii="Century Gothic" w:hAnsi="Century Gothic"/>
          <w:lang w:val="es-ES"/>
        </w:rPr>
        <w:t>ción d</w:t>
      </w:r>
      <w:r w:rsidRPr="003375CB">
        <w:rPr>
          <w:rFonts w:ascii="Century Gothic" w:hAnsi="Century Gothic"/>
          <w:lang w:val="es-ES"/>
        </w:rPr>
        <w:t>el concepto de “Doing Business” para las CCAA</w:t>
      </w:r>
      <w:r>
        <w:rPr>
          <w:rFonts w:ascii="Century Gothic" w:hAnsi="Century Gothic"/>
          <w:lang w:val="es-ES"/>
        </w:rPr>
        <w:t>, de manera que el emprendedor sepa en qué regiones es más fácil hacer negocios.</w:t>
      </w:r>
    </w:p>
    <w:p w14:paraId="4238A1E0" w14:textId="75A9F839" w:rsidR="000A5161" w:rsidRPr="00906B08" w:rsidRDefault="000A5161" w:rsidP="00757E55">
      <w:pPr>
        <w:pStyle w:val="Prrafodelista"/>
        <w:numPr>
          <w:ilvl w:val="1"/>
          <w:numId w:val="32"/>
        </w:numPr>
        <w:ind w:left="709" w:hanging="273"/>
        <w:rPr>
          <w:rFonts w:ascii="Century Gothic" w:hAnsi="Century Gothic"/>
          <w:lang w:val="es-ES"/>
        </w:rPr>
      </w:pPr>
      <w:r w:rsidRPr="00906B08">
        <w:rPr>
          <w:rFonts w:ascii="Century Gothic" w:hAnsi="Century Gothic"/>
          <w:lang w:val="es-ES"/>
        </w:rPr>
        <w:t>Estudiar la posibilidad de adaptar el estatuto de la Nueva Empresa a las necesidades de las start-up</w:t>
      </w:r>
      <w:r w:rsidR="00906B08" w:rsidRPr="00906B08">
        <w:rPr>
          <w:rFonts w:ascii="Century Gothic" w:hAnsi="Century Gothic"/>
          <w:lang w:val="es-ES"/>
        </w:rPr>
        <w:t xml:space="preserve">s, así como flexibilizar </w:t>
      </w:r>
      <w:r w:rsidR="00906B08">
        <w:rPr>
          <w:rFonts w:ascii="Century Gothic" w:hAnsi="Century Gothic"/>
          <w:lang w:val="es-ES"/>
        </w:rPr>
        <w:t xml:space="preserve">para éstas </w:t>
      </w:r>
      <w:r w:rsidRPr="00906B08">
        <w:rPr>
          <w:rFonts w:ascii="Century Gothic" w:hAnsi="Century Gothic"/>
          <w:lang w:val="es-ES"/>
        </w:rPr>
        <w:t xml:space="preserve">el cumplimiento de normativas pensadas para empresas </w:t>
      </w:r>
      <w:r w:rsidR="0066433A">
        <w:rPr>
          <w:rFonts w:ascii="Century Gothic" w:hAnsi="Century Gothic"/>
          <w:lang w:val="es-ES"/>
        </w:rPr>
        <w:t xml:space="preserve">ya </w:t>
      </w:r>
      <w:r w:rsidRPr="00906B08">
        <w:rPr>
          <w:rFonts w:ascii="Century Gothic" w:hAnsi="Century Gothic"/>
          <w:lang w:val="es-ES"/>
        </w:rPr>
        <w:t>establecidas.</w:t>
      </w:r>
    </w:p>
    <w:p w14:paraId="045C5066" w14:textId="4B292376" w:rsidR="00006F7D" w:rsidRPr="008B6C6C" w:rsidRDefault="00006F7D" w:rsidP="00757E55">
      <w:pPr>
        <w:pStyle w:val="Prrafodelista"/>
        <w:numPr>
          <w:ilvl w:val="0"/>
          <w:numId w:val="32"/>
        </w:numPr>
        <w:rPr>
          <w:rFonts w:ascii="Century Gothic" w:hAnsi="Century Gothic"/>
          <w:b/>
          <w:lang w:val="es-ES"/>
        </w:rPr>
      </w:pPr>
      <w:r w:rsidRPr="008B6C6C">
        <w:rPr>
          <w:rFonts w:ascii="Century Gothic" w:hAnsi="Century Gothic"/>
          <w:b/>
          <w:lang w:val="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8B6C6C">
        <w:rPr>
          <w:rFonts w:ascii="Century Gothic" w:hAnsi="Century Gothic"/>
          <w:b/>
          <w:lang w:val="es-ES"/>
        </w:rPr>
        <w:t xml:space="preserve"> Favorecer y simplifi</w:t>
      </w:r>
      <w:r w:rsidR="0012279F">
        <w:rPr>
          <w:rFonts w:ascii="Century Gothic" w:hAnsi="Century Gothic"/>
          <w:b/>
          <w:lang w:val="es-ES"/>
        </w:rPr>
        <w:t>car la transmisión de empresas.</w:t>
      </w:r>
    </w:p>
    <w:p w14:paraId="14369300" w14:textId="6CAD6D25" w:rsidR="00625F0A" w:rsidRDefault="0012279F" w:rsidP="00757E55">
      <w:pPr>
        <w:pStyle w:val="Prrafodelista"/>
        <w:numPr>
          <w:ilvl w:val="1"/>
          <w:numId w:val="32"/>
        </w:numPr>
        <w:ind w:left="709" w:hanging="273"/>
        <w:rPr>
          <w:rFonts w:ascii="Century Gothic" w:hAnsi="Century Gothic"/>
          <w:lang w:val="es-ES"/>
        </w:rPr>
      </w:pPr>
      <w:r>
        <w:rPr>
          <w:rFonts w:ascii="Century Gothic" w:hAnsi="Century Gothic"/>
          <w:lang w:val="es-ES"/>
        </w:rPr>
        <w:t>Desarrollar</w:t>
      </w:r>
      <w:r w:rsidR="00625F0A">
        <w:rPr>
          <w:rFonts w:ascii="Century Gothic" w:hAnsi="Century Gothic"/>
          <w:lang w:val="es-ES"/>
        </w:rPr>
        <w:t xml:space="preserve"> una red de asesoramiento a vendedores y compradores</w:t>
      </w:r>
      <w:r w:rsidR="00625F0A" w:rsidRPr="00812554">
        <w:rPr>
          <w:rFonts w:ascii="Century Gothic" w:hAnsi="Century Gothic"/>
          <w:lang w:val="es-ES"/>
        </w:rPr>
        <w:t>.</w:t>
      </w:r>
      <w:r w:rsidR="000A5161">
        <w:rPr>
          <w:rFonts w:ascii="Century Gothic" w:hAnsi="Century Gothic"/>
          <w:lang w:val="es-ES"/>
        </w:rPr>
        <w:t xml:space="preserve"> </w:t>
      </w:r>
      <w:r w:rsidR="000A5161" w:rsidRPr="000A5161">
        <w:rPr>
          <w:rFonts w:ascii="Century Gothic" w:hAnsi="Century Gothic"/>
          <w:lang w:val="es-ES"/>
        </w:rPr>
        <w:t>Potenciar el papel de las grandes empresas en este ámbito.</w:t>
      </w:r>
    </w:p>
    <w:p w14:paraId="5DBA8089" w14:textId="13416642" w:rsidR="00006F7D" w:rsidRDefault="00006F7D" w:rsidP="00757E55">
      <w:pPr>
        <w:pStyle w:val="Prrafodelista"/>
        <w:numPr>
          <w:ilvl w:val="1"/>
          <w:numId w:val="32"/>
        </w:numPr>
        <w:ind w:left="709" w:hanging="273"/>
        <w:rPr>
          <w:rFonts w:ascii="Century Gothic" w:hAnsi="Century Gothic"/>
          <w:lang w:val="es-ES"/>
        </w:rPr>
      </w:pPr>
      <w:r>
        <w:rPr>
          <w:rFonts w:ascii="Century Gothic" w:hAnsi="Century Gothic"/>
          <w:lang w:val="es-ES"/>
        </w:rPr>
        <w:t>Llevar a cabo cursos de f</w:t>
      </w:r>
      <w:r w:rsidRPr="00812554">
        <w:rPr>
          <w:rFonts w:ascii="Century Gothic" w:hAnsi="Century Gothic"/>
          <w:lang w:val="es-ES"/>
        </w:rPr>
        <w:t xml:space="preserve">ormación del empresario </w:t>
      </w:r>
      <w:r>
        <w:rPr>
          <w:rFonts w:ascii="Century Gothic" w:hAnsi="Century Gothic"/>
          <w:lang w:val="es-ES"/>
        </w:rPr>
        <w:t xml:space="preserve">que le permita conocer las ventajas </w:t>
      </w:r>
      <w:r w:rsidR="0012279F">
        <w:rPr>
          <w:rFonts w:ascii="Century Gothic" w:hAnsi="Century Gothic"/>
          <w:lang w:val="es-ES"/>
        </w:rPr>
        <w:t>de</w:t>
      </w:r>
      <w:r>
        <w:rPr>
          <w:rFonts w:ascii="Century Gothic" w:hAnsi="Century Gothic"/>
          <w:lang w:val="es-ES"/>
        </w:rPr>
        <w:t xml:space="preserve"> la transmisión de empresas.</w:t>
      </w:r>
    </w:p>
    <w:p w14:paraId="4F2CAEEA" w14:textId="4E39623D" w:rsidR="00006F7D" w:rsidRPr="00A7736D" w:rsidRDefault="006D2398" w:rsidP="00757E55">
      <w:pPr>
        <w:pStyle w:val="Prrafodelista"/>
        <w:numPr>
          <w:ilvl w:val="1"/>
          <w:numId w:val="32"/>
        </w:numPr>
        <w:ind w:left="709" w:hanging="273"/>
        <w:rPr>
          <w:rFonts w:ascii="Century Gothic" w:hAnsi="Century Gothic"/>
          <w:lang w:val="es-ES"/>
        </w:rPr>
      </w:pPr>
      <w:r w:rsidRPr="00A7736D">
        <w:rPr>
          <w:rFonts w:ascii="Century Gothic" w:hAnsi="Century Gothic"/>
          <w:lang w:val="es-ES"/>
        </w:rPr>
        <w:t xml:space="preserve">Valorar </w:t>
      </w:r>
      <w:r w:rsidR="00006F7D" w:rsidRPr="00A7736D">
        <w:rPr>
          <w:rFonts w:ascii="Century Gothic" w:hAnsi="Century Gothic"/>
          <w:lang w:val="es-ES"/>
        </w:rPr>
        <w:t>medidas fiscales y de Seguridad Social que favorez</w:t>
      </w:r>
      <w:r w:rsidRPr="00A7736D">
        <w:rPr>
          <w:rFonts w:ascii="Century Gothic" w:hAnsi="Century Gothic"/>
          <w:lang w:val="es-ES"/>
        </w:rPr>
        <w:t>can la transmisión de empresas</w:t>
      </w:r>
      <w:r w:rsidR="00A7736D" w:rsidRPr="00A7736D">
        <w:rPr>
          <w:rFonts w:ascii="Century Gothic" w:hAnsi="Century Gothic"/>
          <w:lang w:val="es-ES"/>
        </w:rPr>
        <w:t xml:space="preserve">, así como </w:t>
      </w:r>
      <w:r w:rsidR="00006F7D" w:rsidRPr="00A7736D">
        <w:rPr>
          <w:rFonts w:ascii="Century Gothic" w:hAnsi="Century Gothic"/>
          <w:lang w:val="es-ES"/>
        </w:rPr>
        <w:t>instrumentos financier</w:t>
      </w:r>
      <w:r w:rsidR="00A7736D" w:rsidRPr="00A7736D">
        <w:rPr>
          <w:rFonts w:ascii="Century Gothic" w:hAnsi="Century Gothic"/>
          <w:lang w:val="es-ES"/>
        </w:rPr>
        <w:t>o</w:t>
      </w:r>
      <w:r w:rsidR="00006F7D" w:rsidRPr="00A7736D">
        <w:rPr>
          <w:rFonts w:ascii="Century Gothic" w:hAnsi="Century Gothic"/>
          <w:lang w:val="es-ES"/>
        </w:rPr>
        <w:t xml:space="preserve">s </w:t>
      </w:r>
      <w:r w:rsidR="00A7736D">
        <w:rPr>
          <w:rFonts w:ascii="Century Gothic" w:hAnsi="Century Gothic"/>
          <w:lang w:val="es-ES"/>
        </w:rPr>
        <w:t>especializados</w:t>
      </w:r>
      <w:r w:rsidR="00006F7D" w:rsidRPr="00A7736D">
        <w:rPr>
          <w:rFonts w:ascii="Century Gothic" w:hAnsi="Century Gothic"/>
          <w:lang w:val="es-ES"/>
        </w:rPr>
        <w:t>.</w:t>
      </w:r>
    </w:p>
    <w:p w14:paraId="003F268C" w14:textId="77777777" w:rsidR="00006F7D" w:rsidRDefault="00006F7D" w:rsidP="00757E55">
      <w:pPr>
        <w:pStyle w:val="Prrafodelista"/>
        <w:numPr>
          <w:ilvl w:val="0"/>
          <w:numId w:val="32"/>
        </w:numPr>
        <w:rPr>
          <w:rFonts w:ascii="Century Gothic" w:hAnsi="Century Gothic" w:cs="Arial"/>
          <w:b/>
          <w:color w:val="000000"/>
          <w:kern w:val="24"/>
          <w:lang w:val="es-ES" w:eastAsia="es-ES"/>
        </w:rPr>
      </w:pPr>
      <w:r>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Pr>
          <w:rFonts w:ascii="Century Gothic" w:hAnsi="Century Gothic" w:cs="Arial"/>
          <w:b/>
          <w:color w:val="000000"/>
          <w:kern w:val="24"/>
          <w:lang w:val="es-ES" w:eastAsia="es-ES"/>
        </w:rPr>
        <w:t xml:space="preserve"> Medidas de fomento de la segunda oportunidad.</w:t>
      </w:r>
    </w:p>
    <w:p w14:paraId="11B66CAE" w14:textId="1FBD6028" w:rsidR="00006F7D" w:rsidRDefault="00006F7D" w:rsidP="00757E55">
      <w:pPr>
        <w:pStyle w:val="Prrafodelista"/>
        <w:numPr>
          <w:ilvl w:val="1"/>
          <w:numId w:val="32"/>
        </w:numPr>
        <w:ind w:left="709" w:hanging="273"/>
        <w:rPr>
          <w:rFonts w:ascii="Century Gothic" w:hAnsi="Century Gothic"/>
          <w:lang w:val="es-ES"/>
        </w:rPr>
      </w:pPr>
      <w:r>
        <w:rPr>
          <w:rFonts w:ascii="Century Gothic" w:hAnsi="Century Gothic"/>
          <w:lang w:val="es-ES"/>
        </w:rPr>
        <w:t>Promover</w:t>
      </w:r>
      <w:r w:rsidRPr="00812554">
        <w:rPr>
          <w:rFonts w:ascii="Century Gothic" w:hAnsi="Century Gothic"/>
          <w:lang w:val="es-ES"/>
        </w:rPr>
        <w:t xml:space="preserve"> una imagen positiva del empresario que lo vuelve a intentar. </w:t>
      </w:r>
    </w:p>
    <w:p w14:paraId="1E73FBF2" w14:textId="77777777" w:rsidR="00006F7D" w:rsidRDefault="00006F7D" w:rsidP="00757E55">
      <w:pPr>
        <w:pStyle w:val="Prrafodelista"/>
        <w:numPr>
          <w:ilvl w:val="1"/>
          <w:numId w:val="32"/>
        </w:numPr>
        <w:ind w:left="709" w:hanging="273"/>
        <w:rPr>
          <w:rFonts w:ascii="Century Gothic" w:hAnsi="Century Gothic"/>
          <w:lang w:val="es-ES"/>
        </w:rPr>
      </w:pPr>
      <w:r w:rsidRPr="00812554">
        <w:rPr>
          <w:rFonts w:ascii="Century Gothic" w:hAnsi="Century Gothic"/>
          <w:lang w:val="es-ES"/>
        </w:rPr>
        <w:t xml:space="preserve">Establecer herramientas de alerta temprana que ayuden a las empresas a evitar situaciones de bancarrota. </w:t>
      </w:r>
    </w:p>
    <w:p w14:paraId="77BA56DA" w14:textId="77777777" w:rsidR="00573A63" w:rsidRPr="00FB3B62" w:rsidRDefault="00CC7FC7" w:rsidP="00757E55">
      <w:pPr>
        <w:pStyle w:val="Prrafodelista"/>
        <w:numPr>
          <w:ilvl w:val="1"/>
          <w:numId w:val="32"/>
        </w:numPr>
        <w:ind w:left="709" w:hanging="273"/>
        <w:rPr>
          <w:rFonts w:ascii="Century Gothic" w:hAnsi="Century Gothic"/>
          <w:lang w:val="es-ES"/>
        </w:rPr>
      </w:pPr>
      <w:r w:rsidRPr="00CC7FC7">
        <w:rPr>
          <w:rFonts w:ascii="Century Gothic" w:hAnsi="Century Gothic"/>
          <w:lang w:val="es-ES"/>
        </w:rPr>
        <w:t>Garantizar que los empresarios que vuelven a empezar disfruten del mismo tratamiento que las nuevas empresas, incluso en lo relativo a los sistemas de apoyo</w:t>
      </w:r>
      <w:r>
        <w:rPr>
          <w:rFonts w:ascii="Century Gothic" w:hAnsi="Century Gothic"/>
          <w:lang w:val="es-ES"/>
        </w:rPr>
        <w:t xml:space="preserve"> y financiación.</w:t>
      </w:r>
      <w:r w:rsidR="00006F7D" w:rsidRPr="00A7736D">
        <w:rPr>
          <w:rFonts w:ascii="Century Gothic" w:hAnsi="Century Gothic"/>
          <w:lang w:val="es-ES"/>
        </w:rPr>
        <w:t xml:space="preserve"> </w:t>
      </w:r>
      <w:r w:rsidR="00573A63">
        <w:rPr>
          <w:rFonts w:ascii="Century Gothic" w:hAnsi="Century Gothic"/>
          <w:lang w:val="es-ES"/>
        </w:rPr>
        <w:t>Simplificar los trámites administrativos para cerrar una empresa.</w:t>
      </w:r>
    </w:p>
    <w:p w14:paraId="139C8E20" w14:textId="7C29CE8C" w:rsidR="00006F7D" w:rsidRDefault="00006F7D" w:rsidP="00757E55">
      <w:pPr>
        <w:pStyle w:val="Prrafodelista"/>
        <w:numPr>
          <w:ilvl w:val="1"/>
          <w:numId w:val="32"/>
        </w:numPr>
        <w:ind w:left="709" w:hanging="273"/>
        <w:rPr>
          <w:rFonts w:ascii="Century Gothic" w:hAnsi="Century Gothic"/>
          <w:lang w:val="es-ES"/>
        </w:rPr>
      </w:pPr>
      <w:r w:rsidRPr="00812554">
        <w:rPr>
          <w:rFonts w:ascii="Century Gothic" w:hAnsi="Century Gothic"/>
          <w:lang w:val="es-ES"/>
        </w:rPr>
        <w:lastRenderedPageBreak/>
        <w:t xml:space="preserve">Evaluar las modificaciones introducidas en la Ley Concursal y en la de segunda oportunidad </w:t>
      </w:r>
      <w:r>
        <w:rPr>
          <w:rFonts w:ascii="Century Gothic" w:hAnsi="Century Gothic"/>
          <w:lang w:val="es-ES"/>
        </w:rPr>
        <w:t>con el objeto de</w:t>
      </w:r>
      <w:r w:rsidRPr="00812554">
        <w:rPr>
          <w:rFonts w:ascii="Century Gothic" w:hAnsi="Century Gothic"/>
          <w:lang w:val="es-ES"/>
        </w:rPr>
        <w:t xml:space="preserve"> detect</w:t>
      </w:r>
      <w:r>
        <w:rPr>
          <w:rFonts w:ascii="Century Gothic" w:hAnsi="Century Gothic"/>
          <w:lang w:val="es-ES"/>
        </w:rPr>
        <w:t>ar</w:t>
      </w:r>
      <w:r w:rsidRPr="00812554">
        <w:rPr>
          <w:rFonts w:ascii="Century Gothic" w:hAnsi="Century Gothic"/>
          <w:lang w:val="es-ES"/>
        </w:rPr>
        <w:t xml:space="preserve"> ineficiencias.</w:t>
      </w:r>
    </w:p>
    <w:p w14:paraId="778E4687" w14:textId="5C60BD0A" w:rsidR="00E14754" w:rsidRPr="000F1FC8" w:rsidRDefault="00E14754" w:rsidP="000F1FC8">
      <w:pPr>
        <w:pStyle w:val="Ttulo2"/>
        <w:keepLines/>
        <w:numPr>
          <w:ilvl w:val="1"/>
          <w:numId w:val="28"/>
        </w:numPr>
        <w:spacing w:after="120" w:line="276" w:lineRule="auto"/>
        <w:rPr>
          <w:rFonts w:cs="Arial"/>
          <w:color w:val="003399"/>
          <w:sz w:val="24"/>
          <w:lang w:val="es-ES"/>
        </w:rPr>
      </w:pPr>
      <w:bookmarkStart w:id="33" w:name="_Toc527630341"/>
      <w:r w:rsidRPr="000F1FC8">
        <w:rPr>
          <w:rFonts w:cs="Arial"/>
          <w:color w:val="003399"/>
          <w:sz w:val="24"/>
          <w:lang w:val="es-ES"/>
        </w:rPr>
        <w:t>Gestión empresarial y talento</w:t>
      </w:r>
      <w:bookmarkEnd w:id="33"/>
    </w:p>
    <w:p w14:paraId="28349192" w14:textId="77777777" w:rsidR="00C6767D" w:rsidRDefault="00C6767D" w:rsidP="00C6767D">
      <w:pPr>
        <w:pStyle w:val="Ttulo3"/>
      </w:pPr>
      <w:bookmarkStart w:id="34" w:name="_Toc527630342"/>
      <w:r>
        <w:t>Marco conceptual y diagnóstico</w:t>
      </w:r>
      <w:bookmarkEnd w:id="34"/>
    </w:p>
    <w:p w14:paraId="3034A12C" w14:textId="77777777" w:rsidR="000B4FD4" w:rsidRPr="003778EA" w:rsidRDefault="000B4FD4" w:rsidP="000B4FD4">
      <w:pPr>
        <w:pStyle w:val="Body"/>
      </w:pPr>
      <w:r>
        <w:t xml:space="preserve">Si queremos que las PYME mejoren su competitividad uno de los aspectos en los que hay que incidir es en su productividad, entendida como </w:t>
      </w:r>
      <w:r w:rsidRPr="0081646A">
        <w:t xml:space="preserve">la relación entre la cantidad de bienes y servicios producidos y la cantidad de recursos </w:t>
      </w:r>
      <w:r>
        <w:t>utilizados</w:t>
      </w:r>
      <w:r w:rsidRPr="003778EA">
        <w:t xml:space="preserve">. </w:t>
      </w:r>
    </w:p>
    <w:p w14:paraId="6E17CFE0" w14:textId="46588184" w:rsidR="000B4FD4" w:rsidRDefault="0012279F" w:rsidP="000B4FD4">
      <w:pPr>
        <w:pStyle w:val="Body"/>
      </w:pPr>
      <w:r>
        <w:t>P</w:t>
      </w:r>
      <w:r w:rsidR="000B4FD4" w:rsidRPr="00B9588E">
        <w:t xml:space="preserve">ara aumentar la productividad de la empresa </w:t>
      </w:r>
      <w:r>
        <w:t xml:space="preserve">es importante considerar </w:t>
      </w:r>
      <w:r w:rsidR="000B4FD4">
        <w:t>tanto</w:t>
      </w:r>
      <w:r w:rsidR="000B4FD4" w:rsidRPr="00B9588E">
        <w:t xml:space="preserve"> el capital humano</w:t>
      </w:r>
      <w:r>
        <w:t>,</w:t>
      </w:r>
      <w:r w:rsidR="000B4FD4" w:rsidRPr="00B9588E">
        <w:t xml:space="preserve"> </w:t>
      </w:r>
      <w:r w:rsidR="000B4FD4">
        <w:t xml:space="preserve">entendido </w:t>
      </w:r>
      <w:r w:rsidR="000B4FD4" w:rsidRPr="00B9588E">
        <w:t xml:space="preserve">como la inversión realizada por la organización para </w:t>
      </w:r>
      <w:r w:rsidR="003C5534" w:rsidRPr="003C5534">
        <w:t>identificar necesidades, definir perfiles, reclutar, seleccionar, retener</w:t>
      </w:r>
      <w:r w:rsidR="001101BE">
        <w:t xml:space="preserve"> </w:t>
      </w:r>
      <w:r w:rsidR="000B4FD4" w:rsidRPr="00B9588E">
        <w:t xml:space="preserve">y formar a sus </w:t>
      </w:r>
      <w:r w:rsidR="000B4FD4">
        <w:t>empleados, como disponer de una</w:t>
      </w:r>
      <w:r w:rsidR="000B4FD4" w:rsidRPr="00B9588E">
        <w:t xml:space="preserve"> población trabajadora </w:t>
      </w:r>
      <w:r w:rsidR="000B4FD4">
        <w:t>con</w:t>
      </w:r>
      <w:r w:rsidR="000B4FD4" w:rsidRPr="00B9588E">
        <w:t xml:space="preserve"> conocimientos y habilidades que </w:t>
      </w:r>
      <w:r w:rsidR="00F85D05">
        <w:t>tengan</w:t>
      </w:r>
      <w:r w:rsidR="000B4FD4" w:rsidRPr="00B9588E">
        <w:t xml:space="preserve"> relación directa con l</w:t>
      </w:r>
      <w:r w:rsidR="000B4FD4">
        <w:t>a</w:t>
      </w:r>
      <w:r w:rsidR="000B4FD4" w:rsidRPr="00B9588E">
        <w:t xml:space="preserve">s </w:t>
      </w:r>
      <w:r w:rsidR="000B4FD4">
        <w:t>necesidades de las empresas</w:t>
      </w:r>
      <w:r w:rsidR="000B4FD4" w:rsidRPr="00B9588E">
        <w:t>.</w:t>
      </w:r>
      <w:r w:rsidR="000B4FD4">
        <w:t xml:space="preserve"> </w:t>
      </w:r>
    </w:p>
    <w:p w14:paraId="228EBBBD" w14:textId="6BCC0AAF" w:rsidR="000B4FD4" w:rsidRDefault="000B4FD4" w:rsidP="000B4FD4">
      <w:pPr>
        <w:pStyle w:val="Body"/>
      </w:pPr>
      <w:r>
        <w:t xml:space="preserve">Así, </w:t>
      </w:r>
      <w:r w:rsidR="00D6032F">
        <w:t xml:space="preserve">esta </w:t>
      </w:r>
      <w:r w:rsidR="001101BE">
        <w:t>la</w:t>
      </w:r>
      <w:r>
        <w:t xml:space="preserve"> palanca está relacionada con la mejora de uno de los factores internos que afectan a la productividad: los recursos humanos (tanto empleados como cuadros directivos), pero también, con uno de los factores externos, el referido a disponer de mano de obra cualificada. </w:t>
      </w:r>
    </w:p>
    <w:p w14:paraId="4E1D5060" w14:textId="0A0D81E3" w:rsidR="00F85D05" w:rsidRDefault="000B4FD4" w:rsidP="00F85D05">
      <w:pPr>
        <w:pStyle w:val="Body"/>
      </w:pPr>
      <w:r w:rsidRPr="0081646A">
        <w:t>Según la Comisión Europea</w:t>
      </w:r>
      <w:r w:rsidRPr="0081646A">
        <w:rPr>
          <w:vertAlign w:val="superscript"/>
          <w:lang w:val="en-GB"/>
        </w:rPr>
        <w:footnoteReference w:id="22"/>
      </w:r>
      <w:r w:rsidRPr="0081646A">
        <w:t>, las empresas españolas muestran bajos niveles de productividad</w:t>
      </w:r>
      <w:r>
        <w:t>,</w:t>
      </w:r>
      <w:r w:rsidRPr="0081646A">
        <w:t xml:space="preserve"> </w:t>
      </w:r>
      <w:r>
        <w:t xml:space="preserve">cuyo origen se </w:t>
      </w:r>
      <w:r w:rsidR="001101BE">
        <w:t>debe a</w:t>
      </w:r>
      <w:r>
        <w:t xml:space="preserve"> la asignación de capital y mano de obra antes de la crisis.</w:t>
      </w:r>
      <w:r w:rsidRPr="00453D45">
        <w:t xml:space="preserve"> </w:t>
      </w:r>
      <w:r>
        <w:t xml:space="preserve">La inversión se concentró mayoritariamente en los sectores de bienes no exportables con bajos rendimientos marginales, en particular en la construcción y los servicios inmobiliarios, dejando de lado la inversión en otras áreas más productivas como la I+D+i. </w:t>
      </w:r>
    </w:p>
    <w:p w14:paraId="699AA392" w14:textId="158D9F1E" w:rsidR="00C13C70" w:rsidRDefault="00F85D05" w:rsidP="00707C10">
      <w:pPr>
        <w:pStyle w:val="Body"/>
      </w:pPr>
      <w:r>
        <w:t>En este mismo sentido</w:t>
      </w:r>
      <w:r w:rsidR="000B4FD4">
        <w:t>, la OCDE</w:t>
      </w:r>
      <w:r w:rsidR="000B4FD4">
        <w:rPr>
          <w:rStyle w:val="Refdenotaalpie"/>
        </w:rPr>
        <w:footnoteReference w:id="23"/>
      </w:r>
      <w:r w:rsidR="000B4FD4">
        <w:t xml:space="preserve"> indica que </w:t>
      </w:r>
      <w:r>
        <w:t>nuestra</w:t>
      </w:r>
      <w:r w:rsidR="000B4FD4">
        <w:t xml:space="preserve"> productividad laboral</w:t>
      </w:r>
      <w:r>
        <w:t xml:space="preserve"> </w:t>
      </w:r>
      <w:r w:rsidR="000B4FD4">
        <w:t xml:space="preserve">es baja en general, aunque ésta </w:t>
      </w:r>
      <w:r w:rsidR="001B7AB2">
        <w:t>empeora</w:t>
      </w:r>
      <w:r w:rsidR="000B4FD4">
        <w:t xml:space="preserve"> </w:t>
      </w:r>
      <w:r>
        <w:t>cuanta</w:t>
      </w:r>
      <w:r w:rsidR="000B4FD4">
        <w:t xml:space="preserve"> más pequeña es la empresa</w:t>
      </w:r>
      <w:r w:rsidR="007C4EFE">
        <w:t xml:space="preserve"> (</w:t>
      </w:r>
      <w:r w:rsidR="007C4EFE" w:rsidRPr="0081646A">
        <w:rPr>
          <w:highlight w:val="yellow"/>
        </w:rPr>
        <w:t xml:space="preserve">gráfico </w:t>
      </w:r>
      <w:r w:rsidR="007C4EFE">
        <w:t>8)</w:t>
      </w:r>
      <w:r w:rsidR="000B4FD4">
        <w:t>.</w:t>
      </w:r>
      <w:bookmarkStart w:id="35" w:name="_Toc498688912"/>
      <w:bookmarkStart w:id="36" w:name="_Toc500783377"/>
    </w:p>
    <w:p w14:paraId="223B96F9" w14:textId="77777777" w:rsidR="00764C39" w:rsidRDefault="00764C39">
      <w:r>
        <w:br w:type="page"/>
      </w:r>
    </w:p>
    <w:tbl>
      <w:tblPr>
        <w:tblStyle w:val="Style1"/>
        <w:tblW w:w="0" w:type="auto"/>
        <w:tblLook w:val="04A0" w:firstRow="1" w:lastRow="0" w:firstColumn="1" w:lastColumn="0" w:noHBand="0" w:noVBand="1"/>
      </w:tblPr>
      <w:tblGrid>
        <w:gridCol w:w="9071"/>
      </w:tblGrid>
      <w:tr w:rsidR="000B4FD4" w:rsidRPr="007916CD" w14:paraId="79A3622F" w14:textId="77777777" w:rsidTr="00764C39">
        <w:tc>
          <w:tcPr>
            <w:tcW w:w="9071" w:type="dxa"/>
          </w:tcPr>
          <w:p w14:paraId="6BA02474" w14:textId="18CD978C" w:rsidR="000B4FD4" w:rsidRPr="003668B0" w:rsidRDefault="000B4FD4" w:rsidP="00707C10">
            <w:pPr>
              <w:pStyle w:val="Body"/>
              <w:spacing w:after="0"/>
              <w:jc w:val="center"/>
              <w:rPr>
                <w:sz w:val="18"/>
                <w:szCs w:val="18"/>
              </w:rPr>
            </w:pPr>
            <w:bookmarkStart w:id="37" w:name="_Toc526942116"/>
            <w:r w:rsidRPr="003668B0">
              <w:rPr>
                <w:sz w:val="18"/>
                <w:szCs w:val="18"/>
              </w:rPr>
              <w:lastRenderedPageBreak/>
              <w:t xml:space="preserve">Gráfico </w:t>
            </w:r>
            <w:r w:rsidRPr="003668B0">
              <w:rPr>
                <w:sz w:val="18"/>
                <w:szCs w:val="18"/>
                <w:lang w:val="en-GB"/>
              </w:rPr>
              <w:fldChar w:fldCharType="begin"/>
            </w:r>
            <w:r w:rsidRPr="003668B0">
              <w:rPr>
                <w:sz w:val="18"/>
                <w:szCs w:val="18"/>
              </w:rPr>
              <w:instrText xml:space="preserve"> SEQ Gráfico \* ARABIC </w:instrText>
            </w:r>
            <w:r w:rsidRPr="003668B0">
              <w:rPr>
                <w:sz w:val="18"/>
                <w:szCs w:val="18"/>
                <w:lang w:val="en-GB"/>
              </w:rPr>
              <w:fldChar w:fldCharType="separate"/>
            </w:r>
            <w:r w:rsidR="00764C39">
              <w:rPr>
                <w:noProof/>
                <w:sz w:val="18"/>
                <w:szCs w:val="18"/>
              </w:rPr>
              <w:t>8</w:t>
            </w:r>
            <w:r w:rsidRPr="003668B0">
              <w:rPr>
                <w:sz w:val="18"/>
                <w:szCs w:val="18"/>
              </w:rPr>
              <w:fldChar w:fldCharType="end"/>
            </w:r>
            <w:r w:rsidRPr="003668B0">
              <w:rPr>
                <w:sz w:val="18"/>
                <w:szCs w:val="18"/>
              </w:rPr>
              <w:t>. Crecimiento de la productividad y productividad laboral por tamaño de empresa.</w:t>
            </w:r>
            <w:bookmarkEnd w:id="35"/>
            <w:bookmarkEnd w:id="36"/>
            <w:bookmarkEnd w:id="37"/>
          </w:p>
        </w:tc>
      </w:tr>
      <w:tr w:rsidR="000B4FD4" w14:paraId="29362B75" w14:textId="77777777" w:rsidTr="00764C39">
        <w:tc>
          <w:tcPr>
            <w:tcW w:w="9071" w:type="dxa"/>
          </w:tcPr>
          <w:p w14:paraId="0BFAA26F" w14:textId="55DD54B6" w:rsidR="000B4FD4" w:rsidRDefault="00C13C70" w:rsidP="00707C10">
            <w:pPr>
              <w:pStyle w:val="Body"/>
              <w:spacing w:after="0"/>
              <w:jc w:val="center"/>
            </w:pPr>
            <w:r>
              <w:object w:dxaOrig="10410" w:dyaOrig="8640" w14:anchorId="150D0990">
                <v:shape id="_x0000_i1028" type="#_x0000_t75" style="width:400.25pt;height:334.35pt" o:ole="">
                  <v:imagedata r:id="rId30" o:title=""/>
                </v:shape>
                <o:OLEObject Type="Embed" ProgID="PBrush" ShapeID="_x0000_i1028" DrawAspect="Content" ObjectID="_1602306098" r:id="rId31"/>
              </w:object>
            </w:r>
          </w:p>
        </w:tc>
      </w:tr>
      <w:tr w:rsidR="000B4FD4" w:rsidRPr="002E37B6" w14:paraId="61A9702C" w14:textId="77777777" w:rsidTr="00764C39">
        <w:tc>
          <w:tcPr>
            <w:tcW w:w="9071" w:type="dxa"/>
          </w:tcPr>
          <w:p w14:paraId="1E2DE4A6" w14:textId="77777777" w:rsidR="000B4FD4" w:rsidRPr="002E37B6" w:rsidRDefault="000B4FD4" w:rsidP="00707C10">
            <w:pPr>
              <w:pStyle w:val="Body"/>
              <w:spacing w:after="0"/>
              <w:rPr>
                <w:i/>
                <w:sz w:val="16"/>
                <w:szCs w:val="16"/>
                <w:lang w:val="es-ES_tradnl"/>
              </w:rPr>
            </w:pPr>
            <w:r w:rsidRPr="002E37B6">
              <w:rPr>
                <w:i/>
                <w:sz w:val="16"/>
                <w:szCs w:val="16"/>
                <w:lang w:val="es-ES_tradnl"/>
              </w:rPr>
              <w:t xml:space="preserve">Fuente. </w:t>
            </w:r>
            <w:r w:rsidRPr="002E37B6">
              <w:rPr>
                <w:bCs/>
                <w:i/>
                <w:sz w:val="16"/>
                <w:szCs w:val="16"/>
                <w:lang w:val="es-ES_tradnl"/>
              </w:rPr>
              <w:t>Estudios Económicos de la OCDE – España. Marzo 2017</w:t>
            </w:r>
          </w:p>
        </w:tc>
      </w:tr>
    </w:tbl>
    <w:p w14:paraId="3C4126D8" w14:textId="77777777" w:rsidR="000B4FD4" w:rsidRDefault="000B4FD4" w:rsidP="000B4FD4">
      <w:pPr>
        <w:pStyle w:val="Body"/>
        <w:spacing w:after="0"/>
      </w:pPr>
    </w:p>
    <w:p w14:paraId="2A7C04A9" w14:textId="7EFC36C3" w:rsidR="000B4FD4" w:rsidRDefault="000B4FD4" w:rsidP="000B4FD4">
      <w:pPr>
        <w:pStyle w:val="Body"/>
      </w:pPr>
      <w:r>
        <w:t>En el caso de las PYME, este problema en la productividad es doble: baja productividad en comparación con las grandes del país y en comparación con las PYME de otros paí</w:t>
      </w:r>
      <w:r w:rsidR="00D6032F">
        <w:t>ses de nuestro entorno europeo:</w:t>
      </w:r>
    </w:p>
    <w:p w14:paraId="72CB9937" w14:textId="77777777" w:rsidR="000B4FD4" w:rsidRDefault="000B4FD4" w:rsidP="00757E55">
      <w:pPr>
        <w:pStyle w:val="Body"/>
        <w:numPr>
          <w:ilvl w:val="0"/>
          <w:numId w:val="38"/>
        </w:numPr>
      </w:pPr>
      <w:r>
        <w:t>Las principales causas de la brecha de productividad entre las pequeñas y las grandes empresas son los efectos de las economías de escala y la limitada capacidad de inversión en I+D+i. Según datos de la OCDE</w:t>
      </w:r>
      <w:r>
        <w:rPr>
          <w:rStyle w:val="Refdenotaalpie"/>
        </w:rPr>
        <w:footnoteReference w:id="24"/>
      </w:r>
      <w:r>
        <w:t>, el valor añadido por persona empleada en las microempresas españolas es el 52% del valor en una gran empresa. Este valor se sitúa en torno al 80% para las pequeñas empresas.</w:t>
      </w:r>
    </w:p>
    <w:p w14:paraId="07C1BA4F" w14:textId="1A3F8617" w:rsidR="000B4FD4" w:rsidRDefault="000B4FD4" w:rsidP="00757E55">
      <w:pPr>
        <w:pStyle w:val="Body"/>
        <w:numPr>
          <w:ilvl w:val="0"/>
          <w:numId w:val="38"/>
        </w:numPr>
      </w:pPr>
      <w:r>
        <w:t xml:space="preserve">Por otro lado, si comparamos la productividad de las PYME en España con la de otros Estados Miembros de la UE, el análisis también arroja resultados deficitarios. Aunque las grandes empresas españolas son realmente algo más productivas que sus homólogas francesas e italianas, la brecha de productividad es negativa para las empresas más pequeñas y aumenta a medida que disminuye el tamaño, como muestra el siguiente gráfico donde se observa que la brecha de productividad entre las grandes empresas </w:t>
      </w:r>
      <w:r>
        <w:lastRenderedPageBreak/>
        <w:t>y las pequeñas es mucho mayor en España que en los países de nuestro entorno (</w:t>
      </w:r>
      <w:r>
        <w:rPr>
          <w:highlight w:val="yellow"/>
        </w:rPr>
        <w:t xml:space="preserve">gráfico </w:t>
      </w:r>
      <w:r w:rsidR="00244B12">
        <w:t>9</w:t>
      </w:r>
      <w:r>
        <w:t>).</w:t>
      </w:r>
      <w:r w:rsidRPr="006A07C5">
        <w:rPr>
          <w:rFonts w:cs="Arial"/>
          <w:noProof/>
          <w:color w:val="003399"/>
          <w:sz w:val="24"/>
          <w:lang w:eastAsia="es-ES"/>
        </w:rPr>
        <w:t xml:space="preserve"> </w:t>
      </w:r>
    </w:p>
    <w:tbl>
      <w:tblPr>
        <w:tblStyle w:val="Listamedia2"/>
        <w:tblW w:w="5191" w:type="pct"/>
        <w:tblInd w:w="-34" w:type="dxa"/>
        <w:tblBorders>
          <w:top w:val="none" w:sz="0" w:space="0" w:color="auto"/>
          <w:left w:val="none" w:sz="0" w:space="0" w:color="auto"/>
          <w:bottom w:val="none" w:sz="0" w:space="0" w:color="auto"/>
          <w:right w:val="none" w:sz="0" w:space="0" w:color="auto"/>
        </w:tblBorders>
        <w:tblLayout w:type="fixed"/>
        <w:tblCellMar>
          <w:top w:w="108" w:type="dxa"/>
          <w:bottom w:w="108" w:type="dxa"/>
        </w:tblCellMar>
        <w:tblLook w:val="04A0" w:firstRow="1" w:lastRow="0" w:firstColumn="1" w:lastColumn="0" w:noHBand="0" w:noVBand="1"/>
      </w:tblPr>
      <w:tblGrid>
        <w:gridCol w:w="3183"/>
        <w:gridCol w:w="3185"/>
        <w:gridCol w:w="3050"/>
      </w:tblGrid>
      <w:tr w:rsidR="000B4FD4" w:rsidRPr="007916CD" w14:paraId="7DAF9BF1" w14:textId="77777777" w:rsidTr="003A36C4">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auto"/>
            <w:vAlign w:val="center"/>
          </w:tcPr>
          <w:p w14:paraId="2E152EC2" w14:textId="35CAD733" w:rsidR="000B4FD4" w:rsidRPr="008B6C6C" w:rsidRDefault="000B4FD4" w:rsidP="002E37B6">
            <w:pPr>
              <w:pStyle w:val="Descripcin1"/>
              <w:jc w:val="center"/>
              <w:rPr>
                <w:b w:val="0"/>
              </w:rPr>
            </w:pPr>
            <w:bookmarkStart w:id="38" w:name="_Toc498688913"/>
            <w:bookmarkStart w:id="39" w:name="_Toc500783378"/>
            <w:bookmarkStart w:id="40" w:name="_Toc526942117"/>
            <w:r w:rsidRPr="008B6C6C">
              <w:rPr>
                <w:b w:val="0"/>
              </w:rPr>
              <w:t xml:space="preserve">Gráfico </w:t>
            </w:r>
            <w:bookmarkStart w:id="41" w:name="Productividad"/>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9</w:t>
            </w:r>
            <w:r w:rsidRPr="008B6C6C">
              <w:rPr>
                <w:b w:val="0"/>
              </w:rPr>
              <w:fldChar w:fldCharType="end"/>
            </w:r>
            <w:bookmarkEnd w:id="41"/>
            <w:r w:rsidRPr="008B6C6C">
              <w:rPr>
                <w:b w:val="0"/>
              </w:rPr>
              <w:t>. Productividad de la mano de obra por tamaño de la empresa, 2012 (Grandes empresas = 100)</w:t>
            </w:r>
            <w:bookmarkEnd w:id="38"/>
            <w:bookmarkEnd w:id="39"/>
            <w:bookmarkEnd w:id="40"/>
          </w:p>
        </w:tc>
      </w:tr>
      <w:tr w:rsidR="000B4FD4" w:rsidRPr="00CE2C32" w14:paraId="2C85515B" w14:textId="77777777" w:rsidTr="003A36C4">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90" w:type="pct"/>
            <w:tcBorders>
              <w:top w:val="none" w:sz="0" w:space="0" w:color="auto"/>
              <w:left w:val="none" w:sz="0" w:space="0" w:color="auto"/>
              <w:bottom w:val="none" w:sz="0" w:space="0" w:color="auto"/>
              <w:right w:val="none" w:sz="0" w:space="0" w:color="auto"/>
            </w:tcBorders>
            <w:shd w:val="clear" w:color="auto" w:fill="auto"/>
            <w:vAlign w:val="center"/>
          </w:tcPr>
          <w:p w14:paraId="54FE7A17" w14:textId="636773D7" w:rsidR="000B4FD4" w:rsidRPr="0036597B" w:rsidRDefault="003A36C4" w:rsidP="00782F72">
            <w:pPr>
              <w:contextualSpacing/>
              <w:jc w:val="center"/>
              <w:rPr>
                <w:rFonts w:ascii="Century Gothic" w:hAnsi="Century Gothic" w:cs="Arial"/>
                <w:color w:val="000000"/>
                <w:sz w:val="18"/>
                <w:szCs w:val="18"/>
                <w:lang w:val="es-ES_tradnl"/>
              </w:rPr>
            </w:pPr>
            <w:r>
              <w:rPr>
                <w:rFonts w:ascii="Century Gothic" w:hAnsi="Century Gothic" w:cs="Arial"/>
                <w:noProof/>
                <w:color w:val="000000"/>
                <w:sz w:val="18"/>
                <w:szCs w:val="18"/>
                <w:lang w:val="es-ES" w:eastAsia="es-ES"/>
              </w:rPr>
              <w:drawing>
                <wp:inline distT="0" distB="0" distL="0" distR="0" wp14:anchorId="7BC2F60A" wp14:editId="18B14316">
                  <wp:extent cx="1981200" cy="24142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2414270"/>
                          </a:xfrm>
                          <a:prstGeom prst="rect">
                            <a:avLst/>
                          </a:prstGeom>
                          <a:noFill/>
                        </pic:spPr>
                      </pic:pic>
                    </a:graphicData>
                  </a:graphic>
                </wp:inline>
              </w:drawing>
            </w:r>
          </w:p>
        </w:tc>
        <w:tc>
          <w:tcPr>
            <w:tcW w:w="1691" w:type="pct"/>
            <w:tcBorders>
              <w:top w:val="none" w:sz="0" w:space="0" w:color="auto"/>
              <w:left w:val="none" w:sz="0" w:space="0" w:color="auto"/>
              <w:bottom w:val="none" w:sz="0" w:space="0" w:color="auto"/>
              <w:right w:val="none" w:sz="0" w:space="0" w:color="auto"/>
            </w:tcBorders>
            <w:shd w:val="clear" w:color="auto" w:fill="auto"/>
          </w:tcPr>
          <w:p w14:paraId="419EA2D7" w14:textId="6D294826" w:rsidR="000B4FD4" w:rsidRPr="0036597B" w:rsidRDefault="003A36C4" w:rsidP="00782F7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_tradnl"/>
              </w:rPr>
            </w:pPr>
            <w:r>
              <w:rPr>
                <w:rFonts w:ascii="Century Gothic" w:hAnsi="Century Gothic" w:cs="Arial"/>
                <w:noProof/>
                <w:color w:val="000000"/>
                <w:sz w:val="18"/>
                <w:szCs w:val="18"/>
                <w:lang w:val="es-ES" w:eastAsia="es-ES"/>
              </w:rPr>
              <w:drawing>
                <wp:inline distT="0" distB="0" distL="0" distR="0" wp14:anchorId="4B44BF00" wp14:editId="3B70B054">
                  <wp:extent cx="1981200" cy="24142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414270"/>
                          </a:xfrm>
                          <a:prstGeom prst="rect">
                            <a:avLst/>
                          </a:prstGeom>
                          <a:noFill/>
                        </pic:spPr>
                      </pic:pic>
                    </a:graphicData>
                  </a:graphic>
                </wp:inline>
              </w:drawing>
            </w:r>
          </w:p>
        </w:tc>
        <w:tc>
          <w:tcPr>
            <w:tcW w:w="1620" w:type="pct"/>
            <w:tcBorders>
              <w:top w:val="none" w:sz="0" w:space="0" w:color="auto"/>
              <w:left w:val="none" w:sz="0" w:space="0" w:color="auto"/>
              <w:bottom w:val="none" w:sz="0" w:space="0" w:color="auto"/>
            </w:tcBorders>
            <w:shd w:val="clear" w:color="auto" w:fill="auto"/>
          </w:tcPr>
          <w:p w14:paraId="7DD9EDD0" w14:textId="61140068" w:rsidR="000B4FD4" w:rsidRPr="0036597B" w:rsidRDefault="003A36C4" w:rsidP="00782F72">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_tradnl"/>
              </w:rPr>
            </w:pPr>
            <w:r>
              <w:rPr>
                <w:rFonts w:ascii="Century Gothic" w:hAnsi="Century Gothic" w:cs="Arial"/>
                <w:noProof/>
                <w:color w:val="000000"/>
                <w:sz w:val="18"/>
                <w:szCs w:val="18"/>
                <w:lang w:val="es-ES" w:eastAsia="es-ES"/>
              </w:rPr>
              <w:drawing>
                <wp:inline distT="0" distB="0" distL="0" distR="0" wp14:anchorId="446E187A" wp14:editId="422A0524">
                  <wp:extent cx="1981200" cy="24142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2414270"/>
                          </a:xfrm>
                          <a:prstGeom prst="rect">
                            <a:avLst/>
                          </a:prstGeom>
                          <a:noFill/>
                        </pic:spPr>
                      </pic:pic>
                    </a:graphicData>
                  </a:graphic>
                </wp:inline>
              </w:drawing>
            </w:r>
          </w:p>
        </w:tc>
      </w:tr>
      <w:tr w:rsidR="000B4FD4" w:rsidRPr="007916CD" w14:paraId="4867BF62" w14:textId="77777777" w:rsidTr="003A36C4">
        <w:trPr>
          <w:trHeight w:val="250"/>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one" w:sz="0" w:space="0" w:color="auto"/>
              <w:bottom w:val="none" w:sz="0" w:space="0" w:color="auto"/>
              <w:right w:val="none" w:sz="0" w:space="0" w:color="auto"/>
            </w:tcBorders>
            <w:shd w:val="clear" w:color="auto" w:fill="auto"/>
            <w:vAlign w:val="center"/>
          </w:tcPr>
          <w:p w14:paraId="2EB09C45" w14:textId="3C244066" w:rsidR="000B4FD4" w:rsidRPr="0036597B" w:rsidRDefault="000B4FD4" w:rsidP="00782F72">
            <w:pPr>
              <w:contextualSpacing/>
              <w:rPr>
                <w:rFonts w:ascii="Century Gothic" w:hAnsi="Century Gothic" w:cs="Arial"/>
                <w:i/>
                <w:sz w:val="16"/>
                <w:szCs w:val="18"/>
                <w:lang w:val="es-ES_tradnl" w:eastAsia="en-GB"/>
              </w:rPr>
            </w:pPr>
            <w:r w:rsidRPr="0036597B">
              <w:rPr>
                <w:rFonts w:ascii="Century Gothic" w:hAnsi="Century Gothic" w:cs="Arial"/>
                <w:i/>
                <w:sz w:val="16"/>
                <w:szCs w:val="18"/>
                <w:lang w:val="es-ES_tradnl" w:eastAsia="en-GB"/>
              </w:rPr>
              <w:t xml:space="preserve">Fuente: </w:t>
            </w:r>
            <w:r w:rsidRPr="001A174C">
              <w:rPr>
                <w:rFonts w:ascii="Century Gothic" w:hAnsi="Century Gothic" w:cs="Arial"/>
                <w:i/>
                <w:sz w:val="16"/>
                <w:szCs w:val="18"/>
                <w:lang w:val="es-ES_tradnl" w:eastAsia="en-GB"/>
              </w:rPr>
              <w:t>OCDE (2015), Entrepreneurship at glance</w:t>
            </w:r>
            <w:r>
              <w:rPr>
                <w:rFonts w:ascii="Century Gothic" w:hAnsi="Century Gothic" w:cs="Arial"/>
                <w:i/>
                <w:sz w:val="16"/>
                <w:szCs w:val="18"/>
                <w:lang w:val="es-ES_tradnl" w:eastAsia="en-GB"/>
              </w:rPr>
              <w:t xml:space="preserve"> y </w:t>
            </w:r>
            <w:r w:rsidRPr="00E20CEF">
              <w:rPr>
                <w:rFonts w:ascii="Century Gothic" w:hAnsi="Century Gothic" w:cs="Arial"/>
                <w:i/>
                <w:sz w:val="16"/>
                <w:szCs w:val="18"/>
                <w:lang w:val="es-ES_tradnl" w:eastAsia="en-GB"/>
              </w:rPr>
              <w:t>Comisión Europea (2017), Semestre Europeo - Informe sobre Españ</w:t>
            </w:r>
            <w:r w:rsidR="00575D1E">
              <w:rPr>
                <w:rFonts w:ascii="Century Gothic" w:hAnsi="Century Gothic" w:cs="Arial"/>
                <w:i/>
                <w:sz w:val="16"/>
                <w:szCs w:val="18"/>
                <w:lang w:val="es-ES_tradnl" w:eastAsia="en-GB"/>
              </w:rPr>
              <w:t>a</w:t>
            </w:r>
          </w:p>
        </w:tc>
      </w:tr>
    </w:tbl>
    <w:p w14:paraId="4F25F4E8" w14:textId="77777777" w:rsidR="000B4FD4" w:rsidRDefault="000B4FD4" w:rsidP="000B4FD4">
      <w:pPr>
        <w:pStyle w:val="Body"/>
        <w:spacing w:after="0"/>
      </w:pPr>
    </w:p>
    <w:p w14:paraId="7E314E1B" w14:textId="4AEAA81E" w:rsidR="000B4FD4" w:rsidRDefault="000B4FD4" w:rsidP="000B4FD4">
      <w:pPr>
        <w:pStyle w:val="Body"/>
      </w:pPr>
      <w:r>
        <w:t>Aunque son diversos factores los que inciden en la baja productividad, uno de los</w:t>
      </w:r>
      <w:r w:rsidRPr="00A47003">
        <w:t xml:space="preserve"> motivo</w:t>
      </w:r>
      <w:r>
        <w:t>s</w:t>
      </w:r>
      <w:r w:rsidRPr="00A47003">
        <w:t xml:space="preserve"> es la baja productividad del factor trabajo, sobre la que incide, además de la baja productividad del capital, una insuficiente </w:t>
      </w:r>
      <w:r>
        <w:t>preparación (formación y habilidades)</w:t>
      </w:r>
      <w:r w:rsidR="00250FF6">
        <w:t xml:space="preserve"> </w:t>
      </w:r>
      <w:r w:rsidRPr="00A47003">
        <w:t>y el elevado peso de la contratación temporal</w:t>
      </w:r>
      <w:r>
        <w:rPr>
          <w:rStyle w:val="Refdenotaalpie"/>
        </w:rPr>
        <w:footnoteReference w:id="25"/>
      </w:r>
      <w:r w:rsidRPr="00A47003">
        <w:t xml:space="preserve">. </w:t>
      </w:r>
    </w:p>
    <w:p w14:paraId="38E318AD" w14:textId="042D5284" w:rsidR="003C5534" w:rsidRPr="003C5534" w:rsidRDefault="003C5534" w:rsidP="003C5534">
      <w:pPr>
        <w:pStyle w:val="Body"/>
      </w:pPr>
      <w:r w:rsidRPr="003C5534">
        <w:t xml:space="preserve">Otro factor que afecta directamente a la preparación y capacitación del factor trabajo </w:t>
      </w:r>
      <w:r w:rsidR="00575D1E">
        <w:t>de</w:t>
      </w:r>
      <w:r w:rsidRPr="003C5534">
        <w:t xml:space="preserve"> las PYME es la identificación correcta de las necesidades de capital humano (perfiles) </w:t>
      </w:r>
      <w:r w:rsidR="00575D1E">
        <w:t xml:space="preserve">y </w:t>
      </w:r>
      <w:r w:rsidR="00575D1E" w:rsidRPr="003C5534">
        <w:t xml:space="preserve">su adecuada selección </w:t>
      </w:r>
      <w:r w:rsidRPr="003C5534">
        <w:t xml:space="preserve">para un buen ajuste puesto-persona. Este elemento </w:t>
      </w:r>
      <w:r w:rsidR="00575D1E">
        <w:t>es</w:t>
      </w:r>
      <w:r w:rsidRPr="003C5534">
        <w:t xml:space="preserve"> crítico en los sectores, coyunturas y puestos de trabajo vinculados a la temporalidad inherente al sistema productivo español y a los diferentes momentos del ciclo económico.</w:t>
      </w:r>
    </w:p>
    <w:p w14:paraId="5CB9EA7C" w14:textId="5AE37378" w:rsidR="003C5534" w:rsidRDefault="003C5534" w:rsidP="000B4FD4">
      <w:pPr>
        <w:pStyle w:val="Body"/>
      </w:pPr>
      <w:r w:rsidRPr="003C5534">
        <w:t xml:space="preserve">La incorporación de capital humano ajustado, en cuanto a capacitación, habilidades y actitudes, a las necesidades de las PYME y a sus posibilidades de evolución y expansión puede mejorar sensiblemente la productividad de las mismas.  </w:t>
      </w:r>
    </w:p>
    <w:p w14:paraId="1471AA6B" w14:textId="737DC02B" w:rsidR="00250FF6" w:rsidRDefault="00250FF6" w:rsidP="000B4FD4">
      <w:pPr>
        <w:pStyle w:val="Body"/>
      </w:pPr>
      <w:r>
        <w:t>El último elemento a tener en cuenta y que, en cierta medida, tiene relación con el anterior</w:t>
      </w:r>
      <w:r w:rsidR="00635BDD">
        <w:t>,</w:t>
      </w:r>
      <w:r>
        <w:t xml:space="preserve"> es contar con una gestión adecuada de los recursos humanos. </w:t>
      </w:r>
      <w:r w:rsidRPr="00250FF6">
        <w:t>Según el Randstad Employer Brand Research 2017, el salario, la posibilidad de conciliación</w:t>
      </w:r>
      <w:r w:rsidR="00B85F0C">
        <w:t>,</w:t>
      </w:r>
      <w:r w:rsidRPr="00250FF6">
        <w:t xml:space="preserve"> </w:t>
      </w:r>
      <w:r w:rsidR="00B85F0C">
        <w:t>un buen clima en el trabajo</w:t>
      </w:r>
      <w:r w:rsidR="00B85F0C" w:rsidRPr="00250FF6">
        <w:t xml:space="preserve"> </w:t>
      </w:r>
      <w:r w:rsidRPr="00250FF6">
        <w:t>o</w:t>
      </w:r>
      <w:r w:rsidR="00140AC0">
        <w:t xml:space="preserve"> la </w:t>
      </w:r>
      <w:r w:rsidR="00B85F0C">
        <w:t>estabilidad laboral</w:t>
      </w:r>
      <w:r w:rsidR="00140AC0">
        <w:t xml:space="preserve"> están entre los </w:t>
      </w:r>
      <w:r w:rsidR="00B85F0C">
        <w:t xml:space="preserve">elementos </w:t>
      </w:r>
      <w:r w:rsidRPr="00250FF6">
        <w:t>más valora</w:t>
      </w:r>
      <w:r w:rsidR="00140AC0">
        <w:t>dos por</w:t>
      </w:r>
      <w:r w:rsidRPr="00250FF6">
        <w:t xml:space="preserve"> los </w:t>
      </w:r>
      <w:r>
        <w:t>empleados españoles</w:t>
      </w:r>
      <w:r w:rsidRPr="00250FF6">
        <w:t>.</w:t>
      </w:r>
      <w:r w:rsidR="00B85F0C">
        <w:t xml:space="preserve"> </w:t>
      </w:r>
      <w:r>
        <w:t xml:space="preserve"> </w:t>
      </w:r>
      <w:r>
        <w:lastRenderedPageBreak/>
        <w:t xml:space="preserve">Por tanto, la capacidad de la empresa para lograr ser </w:t>
      </w:r>
      <w:r w:rsidRPr="00250FF6">
        <w:t>un lugar atractivo para trabajar</w:t>
      </w:r>
      <w:r w:rsidR="00140AC0">
        <w:t xml:space="preserve"> es fundamental para atraer y retener talento</w:t>
      </w:r>
      <w:r>
        <w:rPr>
          <w:rStyle w:val="Refdenotaalpie"/>
        </w:rPr>
        <w:footnoteReference w:id="26"/>
      </w:r>
      <w:r w:rsidR="006D17BC">
        <w:t xml:space="preserve"> (véase </w:t>
      </w:r>
      <w:r w:rsidR="006D17BC" w:rsidRPr="003B090B">
        <w:rPr>
          <w:highlight w:val="yellow"/>
        </w:rPr>
        <w:t>gráfico 10</w:t>
      </w:r>
      <w:r w:rsidR="006D17BC">
        <w:t>)</w:t>
      </w:r>
      <w:r>
        <w:t>.</w:t>
      </w:r>
    </w:p>
    <w:tbl>
      <w:tblPr>
        <w:tblStyle w:val="Style1"/>
        <w:tblW w:w="0" w:type="auto"/>
        <w:tblLook w:val="04A0" w:firstRow="1" w:lastRow="0" w:firstColumn="1" w:lastColumn="0" w:noHBand="0" w:noVBand="1"/>
      </w:tblPr>
      <w:tblGrid>
        <w:gridCol w:w="9071"/>
      </w:tblGrid>
      <w:tr w:rsidR="00CB0CAF" w:rsidRPr="007916CD" w14:paraId="43FD2479" w14:textId="77777777" w:rsidTr="00CB0CAF">
        <w:tc>
          <w:tcPr>
            <w:tcW w:w="9211" w:type="dxa"/>
          </w:tcPr>
          <w:p w14:paraId="7EC418EC" w14:textId="116C56BF" w:rsidR="00CB0CAF" w:rsidRPr="00CB0CAF" w:rsidRDefault="00CB0CAF" w:rsidP="00CB0CAF">
            <w:pPr>
              <w:pStyle w:val="Descripcin1"/>
              <w:jc w:val="center"/>
              <w:rPr>
                <w:b w:val="0"/>
                <w:szCs w:val="24"/>
              </w:rPr>
            </w:pPr>
            <w:bookmarkStart w:id="42" w:name="_Toc526942118"/>
            <w:r w:rsidRPr="00CB0CAF">
              <w:rPr>
                <w:b w:val="0"/>
                <w:szCs w:val="24"/>
              </w:rPr>
              <w:t xml:space="preserve">Gráfico </w:t>
            </w:r>
            <w:r w:rsidRPr="00CB0CAF">
              <w:rPr>
                <w:b w:val="0"/>
                <w:szCs w:val="24"/>
              </w:rPr>
              <w:fldChar w:fldCharType="begin"/>
            </w:r>
            <w:r w:rsidRPr="00CB0CAF">
              <w:rPr>
                <w:b w:val="0"/>
                <w:szCs w:val="24"/>
              </w:rPr>
              <w:instrText xml:space="preserve"> SEQ Gráfico \* ARABIC </w:instrText>
            </w:r>
            <w:r w:rsidRPr="00CB0CAF">
              <w:rPr>
                <w:b w:val="0"/>
                <w:szCs w:val="24"/>
              </w:rPr>
              <w:fldChar w:fldCharType="separate"/>
            </w:r>
            <w:r w:rsidR="00764C39">
              <w:rPr>
                <w:b w:val="0"/>
                <w:noProof/>
                <w:szCs w:val="24"/>
              </w:rPr>
              <w:t>10</w:t>
            </w:r>
            <w:r w:rsidRPr="00CB0CAF">
              <w:rPr>
                <w:b w:val="0"/>
                <w:szCs w:val="24"/>
              </w:rPr>
              <w:fldChar w:fldCharType="end"/>
            </w:r>
            <w:r w:rsidRPr="00CB0CAF">
              <w:rPr>
                <w:b w:val="0"/>
                <w:szCs w:val="24"/>
              </w:rPr>
              <w:t>. Factores más importantes al elegir una empresa para trabajar</w:t>
            </w:r>
            <w:bookmarkEnd w:id="42"/>
          </w:p>
        </w:tc>
      </w:tr>
      <w:tr w:rsidR="00CB0CAF" w14:paraId="302C14F9" w14:textId="77777777" w:rsidTr="00CB0CAF">
        <w:tc>
          <w:tcPr>
            <w:tcW w:w="9211" w:type="dxa"/>
          </w:tcPr>
          <w:p w14:paraId="616D10D8" w14:textId="3D0F88E7" w:rsidR="00CB0CAF" w:rsidRDefault="00CB0CAF" w:rsidP="00CB0CAF">
            <w:pPr>
              <w:pStyle w:val="Body"/>
              <w:jc w:val="center"/>
            </w:pPr>
            <w:r w:rsidRPr="00CB0CAF">
              <w:rPr>
                <w:noProof/>
                <w:lang w:eastAsia="es-ES"/>
              </w:rPr>
              <w:drawing>
                <wp:inline distT="0" distB="0" distL="0" distR="0" wp14:anchorId="1803EBE6" wp14:editId="266CB89A">
                  <wp:extent cx="5610225" cy="2631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8145" cy="2635345"/>
                          </a:xfrm>
                          <a:prstGeom prst="rect">
                            <a:avLst/>
                          </a:prstGeom>
                        </pic:spPr>
                      </pic:pic>
                    </a:graphicData>
                  </a:graphic>
                </wp:inline>
              </w:drawing>
            </w:r>
          </w:p>
        </w:tc>
      </w:tr>
      <w:tr w:rsidR="00CB0CAF" w14:paraId="778D5BF2" w14:textId="77777777" w:rsidTr="00CB0CAF">
        <w:tc>
          <w:tcPr>
            <w:tcW w:w="9211" w:type="dxa"/>
            <w:vAlign w:val="center"/>
          </w:tcPr>
          <w:p w14:paraId="1165557D" w14:textId="6B77EFC3" w:rsidR="00CB0CAF" w:rsidRPr="00F85F16" w:rsidRDefault="00CB0CAF" w:rsidP="00CB0CAF">
            <w:pPr>
              <w:pStyle w:val="Body"/>
              <w:jc w:val="left"/>
              <w:rPr>
                <w:lang w:val="en-GB"/>
              </w:rPr>
            </w:pPr>
            <w:r w:rsidRPr="00F85F16">
              <w:rPr>
                <w:rFonts w:cs="Arial"/>
                <w:i/>
                <w:sz w:val="16"/>
                <w:szCs w:val="18"/>
                <w:lang w:val="en-GB" w:eastAsia="en-GB"/>
              </w:rPr>
              <w:t xml:space="preserve">Fuente: </w:t>
            </w:r>
            <w:r w:rsidRPr="00CB0CAF">
              <w:rPr>
                <w:rFonts w:cs="Arial"/>
                <w:i/>
                <w:sz w:val="16"/>
                <w:szCs w:val="18"/>
                <w:lang w:val="en-GB" w:eastAsia="en-GB"/>
              </w:rPr>
              <w:t>Randstad Employer Brand Research 2017</w:t>
            </w:r>
          </w:p>
        </w:tc>
      </w:tr>
    </w:tbl>
    <w:p w14:paraId="16165E80" w14:textId="77777777" w:rsidR="00CB0CAF" w:rsidRPr="00F85F16" w:rsidRDefault="00CB0CAF" w:rsidP="00CB0CAF">
      <w:pPr>
        <w:pStyle w:val="Body"/>
        <w:spacing w:after="0"/>
        <w:rPr>
          <w:lang w:val="en-GB"/>
        </w:rPr>
      </w:pPr>
    </w:p>
    <w:p w14:paraId="6919B3B3" w14:textId="53C0E106" w:rsidR="005C18F7" w:rsidRDefault="005C18F7" w:rsidP="005B1D1C">
      <w:pPr>
        <w:pStyle w:val="Body"/>
      </w:pPr>
      <w:r>
        <w:t xml:space="preserve">Un aspecto a considerar en este ámbito es </w:t>
      </w:r>
      <w:r w:rsidR="002256C5">
        <w:t xml:space="preserve">el entorno organizativo y </w:t>
      </w:r>
      <w:r>
        <w:t xml:space="preserve">su capacidad para generar iniciativas emprendedoras dentro de la </w:t>
      </w:r>
      <w:r w:rsidR="002256C5">
        <w:t>empresa</w:t>
      </w:r>
      <w:r w:rsidR="005B1D1C">
        <w:t xml:space="preserve">, </w:t>
      </w:r>
      <w:r>
        <w:t>lo que se denomina intraemprendimiento</w:t>
      </w:r>
      <w:r w:rsidR="002256C5">
        <w:t xml:space="preserve"> o emprendimiento corporativo</w:t>
      </w:r>
      <w:r w:rsidR="005B1D1C">
        <w:t>, y que se puede definir como el “conjunto de iniciativas que desarrollan las organizaciones emprendedoras para crear valor y mejorar su capacidad competitiva, bien mediante el impulso de actividades innovadoras de origen interno, bien mediante la incorporación de actividades y conocimiento externo susceptibles de sinergias internas y nuevas oportunidades de negocio”</w:t>
      </w:r>
      <w:r w:rsidR="005B1D1C">
        <w:rPr>
          <w:rStyle w:val="Refdenotaalpie"/>
        </w:rPr>
        <w:footnoteReference w:id="27"/>
      </w:r>
      <w:r w:rsidR="005B1D1C">
        <w:t>.</w:t>
      </w:r>
    </w:p>
    <w:p w14:paraId="29858B1B" w14:textId="381D58E9" w:rsidR="001E7C12" w:rsidRDefault="001E7C12" w:rsidP="001E7C12">
      <w:pPr>
        <w:pStyle w:val="Body"/>
      </w:pPr>
      <w:r>
        <w:t>En España la tasa de actividad emprendedora que llevan a cabo los empleados emprendedores es baja. Según la edición del informe GEM 2017, solo el 1,4% de la población española de 18 a 64 años ha participado activamente/liderado la generación y puesta en marcha de ideas/iniciativas emprendedoras en las organizaciones en las que desempeñaba su trabajo. Si queremos que nuestras empresas innoven un factor crucial a desarrollar es el del intraemprendimiento.</w:t>
      </w:r>
    </w:p>
    <w:p w14:paraId="66112A6B" w14:textId="77777777" w:rsidR="001E7C12" w:rsidRDefault="001E7C12" w:rsidP="000B4FD4">
      <w:pPr>
        <w:pStyle w:val="Body"/>
      </w:pPr>
      <w:r>
        <w:t>Como ya hemos comentado anteriormente, uno de los elementos que afectan a la productividad es l</w:t>
      </w:r>
      <w:r w:rsidR="00635BDD">
        <w:t>a formación y preparación de los trabajadores</w:t>
      </w:r>
      <w:r>
        <w:t xml:space="preserve">. </w:t>
      </w:r>
    </w:p>
    <w:p w14:paraId="247588B9" w14:textId="3AC24E63" w:rsidR="000B4FD4" w:rsidRDefault="00624F55" w:rsidP="000B4FD4">
      <w:pPr>
        <w:pStyle w:val="Body"/>
      </w:pPr>
      <w:r>
        <w:t xml:space="preserve">En este ámbito señalar la importancia que </w:t>
      </w:r>
      <w:r w:rsidR="00635BDD">
        <w:t>e</w:t>
      </w:r>
      <w:r w:rsidR="00BA5E0D">
        <w:t xml:space="preserve">l </w:t>
      </w:r>
      <w:r w:rsidR="00BA5E0D" w:rsidRPr="009C2815">
        <w:t>sistema</w:t>
      </w:r>
      <w:r w:rsidR="000B4FD4" w:rsidRPr="009C2815">
        <w:t xml:space="preserve"> de Formación para el Empleo</w:t>
      </w:r>
      <w:r w:rsidR="000B4FD4">
        <w:t xml:space="preserve"> (FPE)</w:t>
      </w:r>
      <w:r>
        <w:t xml:space="preserve"> tiene para las PYME</w:t>
      </w:r>
      <w:r w:rsidR="00635BDD">
        <w:t>.</w:t>
      </w:r>
      <w:r w:rsidR="00140AC0">
        <w:t xml:space="preserve"> R</w:t>
      </w:r>
      <w:r w:rsidR="000B4FD4">
        <w:t>eformado</w:t>
      </w:r>
      <w:r w:rsidR="000B4FD4" w:rsidRPr="003C07A2">
        <w:t xml:space="preserve"> por la</w:t>
      </w:r>
      <w:r w:rsidR="000B4FD4">
        <w:t xml:space="preserve"> Ley 30/2015, </w:t>
      </w:r>
      <w:r w:rsidR="000B4FD4" w:rsidRPr="003C07A2">
        <w:t xml:space="preserve">se concibe como una herramienta a disposición tanto de las empresas como de los trabajadores para fomentar una formación permanente y </w:t>
      </w:r>
      <w:r w:rsidR="000B4FD4" w:rsidRPr="003C07A2">
        <w:lastRenderedPageBreak/>
        <w:t>gratuita que se ajuste a sus necesidades. Los objetivos clave de esta formación son permitir al trabajador crecer profesionalmente, mejorar sus oportunidades de empleo, contribuir a la productividad y competitividad de las empresas y que tanto la formación como la experiencia profesional sean acreditables.</w:t>
      </w:r>
      <w:r w:rsidR="000B4FD4">
        <w:t xml:space="preserve"> </w:t>
      </w:r>
      <w:r w:rsidR="000B4FD4" w:rsidRPr="003C07A2">
        <w:t xml:space="preserve">Se establecen </w:t>
      </w:r>
      <w:r w:rsidR="000B4FD4">
        <w:t>principalmente dos tipologías, la formación programada por las empresas para sus trabajadores, y la oferta formativa de la</w:t>
      </w:r>
      <w:r w:rsidR="009C2815">
        <w:t xml:space="preserve">s administraciones competentes </w:t>
      </w:r>
      <w:r w:rsidR="000B4FD4">
        <w:t>para trabajadores ocupados y</w:t>
      </w:r>
      <w:r w:rsidR="009C2815">
        <w:t xml:space="preserve"> para trabajadores desempleados</w:t>
      </w:r>
      <w:r w:rsidR="000B4FD4">
        <w:t>.</w:t>
      </w:r>
    </w:p>
    <w:p w14:paraId="5C3FD5C7" w14:textId="2763A755" w:rsidR="00A70B3C" w:rsidRDefault="00EE2317" w:rsidP="00EE2317">
      <w:pPr>
        <w:pStyle w:val="Body"/>
      </w:pPr>
      <w:r>
        <w:t xml:space="preserve">De cara a las PYME, </w:t>
      </w:r>
      <w:r w:rsidR="00A70B3C">
        <w:t xml:space="preserve">la FPE </w:t>
      </w:r>
      <w:r>
        <w:t>debe g</w:t>
      </w:r>
      <w:r w:rsidR="00A70B3C">
        <w:t xml:space="preserve">arantizar el ajuste de la oferta de formación con la demanda, asegurando que la formación que se ofrece casa realmente con lo que las PYME demandan, tanto para contratar </w:t>
      </w:r>
      <w:r>
        <w:t>nuevos empleados</w:t>
      </w:r>
      <w:r w:rsidR="00A70B3C">
        <w:t xml:space="preserve"> como para mejorar las habilidades</w:t>
      </w:r>
      <w:r>
        <w:t xml:space="preserve"> de los trabajadores ocupados. </w:t>
      </w:r>
    </w:p>
    <w:p w14:paraId="4C0ADEA6" w14:textId="540CE775" w:rsidR="000B4FD4" w:rsidRDefault="00EE2317" w:rsidP="000B4FD4">
      <w:pPr>
        <w:pStyle w:val="Body"/>
      </w:pPr>
      <w:r>
        <w:t>Por tanto, l</w:t>
      </w:r>
      <w:r w:rsidR="000B4FD4">
        <w:t xml:space="preserve">a utilidad de la FPE para la PYME es doble: por un lado, mejorar la </w:t>
      </w:r>
      <w:r w:rsidR="000B4FD4" w:rsidRPr="009C2815">
        <w:t>empleabilidad</w:t>
      </w:r>
      <w:r w:rsidR="000B4FD4">
        <w:t xml:space="preserve"> de los trabajadores desempleados, aumentando el </w:t>
      </w:r>
      <w:r w:rsidR="000B4FD4" w:rsidRPr="009C2815">
        <w:t>talento disponible</w:t>
      </w:r>
      <w:r w:rsidR="000B4FD4">
        <w:t xml:space="preserve"> para las PYMES; y por otro, mejorar las habilidades y conocimientos de los trabajadores de las PYME y las </w:t>
      </w:r>
      <w:r w:rsidR="000B4FD4" w:rsidRPr="009C2815">
        <w:t>técnicas de gestión</w:t>
      </w:r>
      <w:r w:rsidR="00906772">
        <w:t xml:space="preserve"> para sus cuadros directivos.</w:t>
      </w:r>
    </w:p>
    <w:p w14:paraId="243E61C1" w14:textId="245EC6FF" w:rsidR="00836022" w:rsidRDefault="000B4FD4" w:rsidP="00906772">
      <w:pPr>
        <w:pStyle w:val="Body"/>
      </w:pPr>
      <w:r w:rsidRPr="009D598D">
        <w:t xml:space="preserve">En lo concerniente a la </w:t>
      </w:r>
      <w:r w:rsidRPr="00635BDD">
        <w:t>mejora de la empleabilidad</w:t>
      </w:r>
      <w:r>
        <w:t xml:space="preserve"> hay un alto porcentaje de los desempleados con un nivel de cualificación bajo derivado del abandono escolar temprano. Así, en el </w:t>
      </w:r>
      <w:r w:rsidRPr="00E7125B">
        <w:rPr>
          <w:highlight w:val="yellow"/>
        </w:rPr>
        <w:t>segundo trimestre de 2017</w:t>
      </w:r>
      <w:r>
        <w:t>, según la EPA, el 54,61% de los desempleados no había superado más allá de la primera etapa de educación secundaria y el 13,61% no tenía estudios secundarios. Los bajos niveles de cualificación están asociados con menores tasas de empleo, de paro y de paro de larga duración así como con mayores dificultades de reincorporación al mercado de trabajo, especialmente cuando exigen un cambio en el sector de actividad o la ocupación</w:t>
      </w:r>
      <w:r>
        <w:rPr>
          <w:rStyle w:val="Refdenotaalpie"/>
        </w:rPr>
        <w:footnoteReference w:id="28"/>
      </w:r>
      <w:r>
        <w:t>.</w:t>
      </w:r>
      <w:r w:rsidRPr="00444A0F">
        <w:t xml:space="preserve"> </w:t>
      </w:r>
    </w:p>
    <w:p w14:paraId="580C5E0B" w14:textId="3FCEBF05" w:rsidR="000B4FD4" w:rsidRDefault="000B4FD4" w:rsidP="00906772">
      <w:pPr>
        <w:pStyle w:val="Body"/>
      </w:pPr>
      <w:r>
        <w:t xml:space="preserve">La mayor parte de los desempleados de larga duración carecen de habilidades básicas y de cualificaciones reconocidas, por lo que programas de reconversión profesional podrían ayudarles a adquirir las habilidades oportunas para encontrar nuevos empleos. España cuenta con una oferta relativamente extensa de programas de “educación para adultos” y estos programas podrían reorientarse hacia la formación dirigida al empleo para desempleados de larga duración. Además, hay una elevada proporción de </w:t>
      </w:r>
      <w:r w:rsidR="00575D1E">
        <w:t>éstos</w:t>
      </w:r>
      <w:r>
        <w:t xml:space="preserve"> que corre el riesgo de perder habilidades</w:t>
      </w:r>
      <w:r>
        <w:rPr>
          <w:rStyle w:val="Refdenotaalpie"/>
        </w:rPr>
        <w:footnoteReference w:id="29"/>
      </w:r>
      <w:r>
        <w:t>.</w:t>
      </w:r>
    </w:p>
    <w:p w14:paraId="6D80C0BB" w14:textId="20F4FF7A" w:rsidR="000B4FD4" w:rsidRDefault="000B4FD4" w:rsidP="00906772">
      <w:pPr>
        <w:pStyle w:val="Body"/>
      </w:pPr>
      <w:r w:rsidRPr="00BD67B1">
        <w:t xml:space="preserve">La </w:t>
      </w:r>
      <w:r w:rsidRPr="00635BDD">
        <w:t>mejora de las habilidades de gestión</w:t>
      </w:r>
      <w:r w:rsidRPr="00BD67B1">
        <w:t xml:space="preserve"> </w:t>
      </w:r>
      <w:r>
        <w:t>es otro elemento fundamental para aumentar la productividad y competitividad de las PYME. Así, bases de datos como el World Management Survey</w:t>
      </w:r>
      <w:r>
        <w:rPr>
          <w:rStyle w:val="Refdenotaalpie"/>
        </w:rPr>
        <w:footnoteReference w:id="30"/>
      </w:r>
      <w:r>
        <w:t xml:space="preserve"> (que puntúa de 1 a 5 las capacidades de gestión dentro de las propias empresas) sitúan a España (2,9/5) por debajo de países como Francia (3,6/5), Alemania (4,5/5), e Italia (3,2/5). </w:t>
      </w:r>
    </w:p>
    <w:p w14:paraId="3DAD31A1" w14:textId="5507D444" w:rsidR="000B4FD4" w:rsidRPr="00777B2D" w:rsidRDefault="000B4FD4" w:rsidP="000B4FD4">
      <w:pPr>
        <w:pStyle w:val="Body"/>
      </w:pPr>
      <w:r w:rsidRPr="00777B2D">
        <w:lastRenderedPageBreak/>
        <w:t xml:space="preserve">Además, </w:t>
      </w:r>
      <w:r>
        <w:t xml:space="preserve">como ya hemos mencionado, </w:t>
      </w:r>
      <w:r w:rsidRPr="00777B2D">
        <w:t>existe una relación entre tamaño de la empresa y tasa de temporalidad: las empresas pequeñas tienen tasas de temporalidad más altas que las empresas grandes (el 13,7% de las empresas de entre 5 y 9 trabajadores tienen más del 80% de sus trabajadores con contrato temporal), tal y como se desprende de los datos del Ministerio de Empleo y Seguridad Social</w:t>
      </w:r>
      <w:r>
        <w:t xml:space="preserve"> (véase </w:t>
      </w:r>
      <w:r w:rsidRPr="006E08FD">
        <w:rPr>
          <w:highlight w:val="yellow"/>
        </w:rPr>
        <w:t xml:space="preserve">gráfico </w:t>
      </w:r>
      <w:r w:rsidR="00E40DE4">
        <w:t>1</w:t>
      </w:r>
      <w:r w:rsidR="00AC651F">
        <w:t>1</w:t>
      </w:r>
      <w:r>
        <w:t>)</w:t>
      </w:r>
      <w:r w:rsidRPr="00777B2D">
        <w:t xml:space="preserve">. </w:t>
      </w:r>
    </w:p>
    <w:tbl>
      <w:tblPr>
        <w:tblStyle w:val="Listamedia2"/>
        <w:tblW w:w="4904" w:type="pct"/>
        <w:jc w:val="center"/>
        <w:tblBorders>
          <w:top w:val="none" w:sz="0" w:space="0" w:color="auto"/>
          <w:left w:val="none" w:sz="0" w:space="0" w:color="auto"/>
          <w:bottom w:val="none" w:sz="0" w:space="0" w:color="auto"/>
          <w:right w:val="none" w:sz="0" w:space="0" w:color="auto"/>
        </w:tblBorders>
        <w:tblCellMar>
          <w:top w:w="108" w:type="dxa"/>
          <w:bottom w:w="108" w:type="dxa"/>
        </w:tblCellMar>
        <w:tblLook w:val="04A0" w:firstRow="1" w:lastRow="0" w:firstColumn="1" w:lastColumn="0" w:noHBand="0" w:noVBand="1"/>
      </w:tblPr>
      <w:tblGrid>
        <w:gridCol w:w="8897"/>
      </w:tblGrid>
      <w:tr w:rsidR="000B4FD4" w:rsidRPr="007916CD" w14:paraId="4BAD6BA1" w14:textId="77777777" w:rsidTr="00140AC0">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3855B92B" w14:textId="07AEA86A" w:rsidR="000B4FD4" w:rsidRPr="008B6C6C" w:rsidRDefault="000B4FD4" w:rsidP="00140AC0">
            <w:pPr>
              <w:pStyle w:val="Descripcin1"/>
              <w:jc w:val="center"/>
              <w:rPr>
                <w:b w:val="0"/>
              </w:rPr>
            </w:pPr>
            <w:bookmarkStart w:id="43" w:name="_Toc498688914"/>
            <w:bookmarkStart w:id="44" w:name="_Toc500783379"/>
            <w:bookmarkStart w:id="45" w:name="_Toc526942119"/>
            <w:r w:rsidRPr="008B6C6C">
              <w:rPr>
                <w:b w:val="0"/>
              </w:rPr>
              <w:t xml:space="preserve">Gráfico </w:t>
            </w:r>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11</w:t>
            </w:r>
            <w:r w:rsidRPr="008B6C6C">
              <w:rPr>
                <w:b w:val="0"/>
              </w:rPr>
              <w:fldChar w:fldCharType="end"/>
            </w:r>
            <w:r w:rsidRPr="008B6C6C">
              <w:rPr>
                <w:b w:val="0"/>
              </w:rPr>
              <w:t>. Porcentaje de empresas, según porcentaje de trabajadores con contrato temporal, 2015</w:t>
            </w:r>
            <w:bookmarkEnd w:id="43"/>
            <w:bookmarkEnd w:id="44"/>
            <w:bookmarkEnd w:id="45"/>
          </w:p>
        </w:tc>
      </w:tr>
      <w:tr w:rsidR="000B4FD4" w:rsidRPr="0036597B" w14:paraId="3E7889EB" w14:textId="77777777" w:rsidTr="00140AC0">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5706E47E" w14:textId="6AF0A078" w:rsidR="000B4FD4" w:rsidRPr="0036597B" w:rsidRDefault="007734C2" w:rsidP="00782F72">
            <w:pPr>
              <w:contextualSpacing/>
              <w:jc w:val="center"/>
              <w:rPr>
                <w:rFonts w:ascii="Century Gothic" w:hAnsi="Century Gothic" w:cs="Arial"/>
                <w:color w:val="000000"/>
                <w:sz w:val="18"/>
                <w:szCs w:val="18"/>
                <w:lang w:val="es-ES_tradnl"/>
              </w:rPr>
            </w:pPr>
            <w:r>
              <w:rPr>
                <w:rFonts w:ascii="Century Gothic" w:hAnsi="Century Gothic" w:cs="Arial"/>
                <w:noProof/>
                <w:color w:val="000000"/>
                <w:sz w:val="18"/>
                <w:szCs w:val="18"/>
                <w:lang w:val="es-ES" w:eastAsia="es-ES"/>
              </w:rPr>
              <w:drawing>
                <wp:inline distT="0" distB="0" distL="0" distR="0" wp14:anchorId="7D0FD27E" wp14:editId="4E908D94">
                  <wp:extent cx="4000454" cy="2872596"/>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4900" cy="2875788"/>
                          </a:xfrm>
                          <a:prstGeom prst="rect">
                            <a:avLst/>
                          </a:prstGeom>
                          <a:noFill/>
                        </pic:spPr>
                      </pic:pic>
                    </a:graphicData>
                  </a:graphic>
                </wp:inline>
              </w:drawing>
            </w:r>
          </w:p>
        </w:tc>
      </w:tr>
      <w:tr w:rsidR="000B4FD4" w:rsidRPr="007916CD" w14:paraId="5EBFC874" w14:textId="77777777" w:rsidTr="00140AC0">
        <w:trPr>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left w:val="none" w:sz="0" w:space="0" w:color="auto"/>
              <w:bottom w:val="none" w:sz="0" w:space="0" w:color="auto"/>
              <w:right w:val="none" w:sz="0" w:space="0" w:color="auto"/>
            </w:tcBorders>
            <w:shd w:val="clear" w:color="auto" w:fill="auto"/>
            <w:vAlign w:val="center"/>
          </w:tcPr>
          <w:p w14:paraId="314FD589" w14:textId="77777777" w:rsidR="000B4FD4" w:rsidRPr="0036597B" w:rsidRDefault="000B4FD4" w:rsidP="00782F72">
            <w:pPr>
              <w:contextualSpacing/>
              <w:rPr>
                <w:rFonts w:ascii="Century Gothic" w:hAnsi="Century Gothic" w:cs="Arial"/>
                <w:color w:val="000000"/>
                <w:sz w:val="18"/>
                <w:szCs w:val="18"/>
                <w:lang w:val="es-ES_tradnl"/>
              </w:rPr>
            </w:pPr>
            <w:r w:rsidRPr="0036597B">
              <w:rPr>
                <w:rFonts w:ascii="Century Gothic" w:hAnsi="Century Gothic" w:cs="Arial"/>
                <w:i/>
                <w:sz w:val="16"/>
                <w:szCs w:val="18"/>
                <w:lang w:val="es-ES_tradnl" w:eastAsia="en-GB"/>
              </w:rPr>
              <w:t>Fuente: elaboración</w:t>
            </w:r>
            <w:r>
              <w:rPr>
                <w:rFonts w:ascii="Century Gothic" w:hAnsi="Century Gothic" w:cs="Arial"/>
                <w:i/>
                <w:sz w:val="16"/>
                <w:szCs w:val="18"/>
                <w:lang w:val="es-ES_tradnl" w:eastAsia="en-GB"/>
              </w:rPr>
              <w:t xml:space="preserve"> </w:t>
            </w:r>
            <w:r w:rsidRPr="0036597B">
              <w:rPr>
                <w:rFonts w:ascii="Century Gothic" w:hAnsi="Century Gothic" w:cs="Arial"/>
                <w:i/>
                <w:sz w:val="16"/>
                <w:szCs w:val="18"/>
                <w:lang w:val="es-ES_tradnl" w:eastAsia="en-GB"/>
              </w:rPr>
              <w:t>propia a partir de datos de</w:t>
            </w:r>
            <w:r>
              <w:rPr>
                <w:rFonts w:ascii="Century Gothic" w:hAnsi="Century Gothic" w:cs="Arial"/>
                <w:i/>
                <w:sz w:val="16"/>
                <w:szCs w:val="18"/>
                <w:lang w:val="es-ES_tradnl" w:eastAsia="en-GB"/>
              </w:rPr>
              <w:t xml:space="preserve">l </w:t>
            </w:r>
            <w:r w:rsidRPr="001A174C">
              <w:rPr>
                <w:rFonts w:ascii="Century Gothic" w:hAnsi="Century Gothic" w:cs="Arial"/>
                <w:i/>
                <w:sz w:val="16"/>
                <w:szCs w:val="18"/>
                <w:lang w:val="es-ES_tradnl" w:eastAsia="en-GB"/>
              </w:rPr>
              <w:t>Ministerio de Empleo y Seguridad Social, Encuesta Anual Laboral</w:t>
            </w:r>
          </w:p>
        </w:tc>
      </w:tr>
    </w:tbl>
    <w:p w14:paraId="7E79E241" w14:textId="77777777" w:rsidR="000B4FD4" w:rsidRDefault="000B4FD4" w:rsidP="000B4FD4">
      <w:pPr>
        <w:pStyle w:val="Body"/>
        <w:spacing w:after="0"/>
      </w:pPr>
    </w:p>
    <w:p w14:paraId="24E9C8D5" w14:textId="77777777" w:rsidR="000B4FD4" w:rsidRDefault="000B4FD4" w:rsidP="000B4FD4">
      <w:pPr>
        <w:pStyle w:val="Body"/>
        <w:spacing w:after="0"/>
      </w:pPr>
      <w:r>
        <w:t>La i</w:t>
      </w:r>
      <w:r w:rsidRPr="00721F06">
        <w:t>nversión de la PYME en formación de los trabajadores temporales es menor que de los trabajadore</w:t>
      </w:r>
      <w:r>
        <w:t xml:space="preserve">s indefinidos, lo que repercute, por tanto, </w:t>
      </w:r>
      <w:r w:rsidRPr="00721F06">
        <w:t>en una menor productividad de los empleados de las empresas de menor tamaño.</w:t>
      </w:r>
    </w:p>
    <w:p w14:paraId="37CA588A" w14:textId="77777777" w:rsidR="000B4FD4" w:rsidRDefault="000B4FD4" w:rsidP="000B4FD4">
      <w:pPr>
        <w:pStyle w:val="Body"/>
        <w:spacing w:after="0"/>
      </w:pPr>
    </w:p>
    <w:p w14:paraId="68B372B5" w14:textId="77777777" w:rsidR="000B4FD4" w:rsidRDefault="000B4FD4" w:rsidP="000B4FD4">
      <w:pPr>
        <w:pStyle w:val="Body"/>
        <w:spacing w:after="0"/>
      </w:pPr>
      <w:r>
        <w:t xml:space="preserve">Es evidente que la mejora de la productividad pasa por la mejora de las habilidades y formación de los empleados y de los cuadros directivos de nuestras PYME. Estamos inmersos en la llamada cuarta revolución industrial, marcada por la convergencia de tecnologías digitales, físicas y biológicas que están cambiando a gran velocidad y con gran impacto en la forma de trabajo y de relaciones entre los agentes económicos. </w:t>
      </w:r>
    </w:p>
    <w:p w14:paraId="47447C05" w14:textId="77777777" w:rsidR="000B4FD4" w:rsidRDefault="000B4FD4" w:rsidP="000B4FD4">
      <w:pPr>
        <w:pStyle w:val="Body"/>
        <w:spacing w:after="0"/>
      </w:pPr>
    </w:p>
    <w:p w14:paraId="4F4D2678" w14:textId="66309289" w:rsidR="00625F0A" w:rsidRDefault="000B4FD4" w:rsidP="000B4FD4">
      <w:pPr>
        <w:pStyle w:val="Body"/>
        <w:spacing w:after="0"/>
      </w:pPr>
      <w:r>
        <w:t xml:space="preserve">En este contexto es imprescindible que las PYME sepan innovar y adaptarse al nuevo escenario. Para ello el primer paso es invertir en talento y tecnología al tiempo que se adoptan nuevas técnicas de gestión empresarial </w:t>
      </w:r>
      <w:r w:rsidR="00140AC0">
        <w:t xml:space="preserve">y de recursos humanos </w:t>
      </w:r>
      <w:r>
        <w:t>para hacer frente a los nuevos retos.</w:t>
      </w:r>
    </w:p>
    <w:p w14:paraId="3C38C72E" w14:textId="77777777" w:rsidR="00676906" w:rsidRDefault="00676906" w:rsidP="000B4FD4">
      <w:pPr>
        <w:pStyle w:val="Body"/>
        <w:spacing w:after="0"/>
      </w:pPr>
    </w:p>
    <w:p w14:paraId="48FC97B5" w14:textId="7E098123" w:rsidR="00676906" w:rsidRDefault="00676906" w:rsidP="000B4FD4">
      <w:pPr>
        <w:pStyle w:val="Body"/>
        <w:spacing w:after="0"/>
      </w:pPr>
      <w:r w:rsidRPr="00676906">
        <w:t xml:space="preserve">El aumento de la productividad de nuestras PYME pasa por mejorar la productividad del factor humano. En ello incide una gestión adecuada de los recursos humanos, una formación ajustada a las necesidades empresariales y bajar la temporalidad en la contratación. Además, hay que seguir avanzando en mejorar la empleabilidad de la población en edad </w:t>
      </w:r>
      <w:r w:rsidRPr="00676906">
        <w:lastRenderedPageBreak/>
        <w:t xml:space="preserve">de trabajar, con programas de formación adaptados a las necesidades del mercado </w:t>
      </w:r>
      <w:r>
        <w:t>laboral</w:t>
      </w:r>
      <w:r w:rsidRPr="00676906">
        <w:t xml:space="preserve"> y al nuevo paradigma de la digitalización.</w:t>
      </w:r>
    </w:p>
    <w:p w14:paraId="074503FC" w14:textId="77777777" w:rsidR="00C6767D" w:rsidRDefault="00633D11" w:rsidP="00C6767D">
      <w:pPr>
        <w:pStyle w:val="Ttulo3"/>
      </w:pPr>
      <w:bookmarkStart w:id="46" w:name="_Toc527630343"/>
      <w:r>
        <w:t>Líneas de actuación</w:t>
      </w:r>
      <w:bookmarkEnd w:id="46"/>
    </w:p>
    <w:p w14:paraId="7DB69104" w14:textId="3F893F07" w:rsidR="00C6767D" w:rsidRPr="00F33F47" w:rsidRDefault="00C6767D" w:rsidP="00C6767D">
      <w:pPr>
        <w:pStyle w:val="Body"/>
      </w:pPr>
      <w:r>
        <w:t xml:space="preserve">La segunda palanca de actuación es la mejora de las habilidades de gestión de las PYME, una mayor capacidad de atracción del talento y un aumento de la empleabilidad de la población activa. </w:t>
      </w:r>
    </w:p>
    <w:p w14:paraId="207F095D" w14:textId="77777777" w:rsidR="00C6767D" w:rsidRPr="00EF02CB" w:rsidRDefault="00C6767D" w:rsidP="00C6767D">
      <w:pPr>
        <w:rPr>
          <w:rFonts w:ascii="Century Gothic" w:hAnsi="Century Gothic"/>
          <w:lang w:val="es-ES"/>
        </w:rPr>
      </w:pPr>
      <w:r>
        <w:rPr>
          <w:rFonts w:ascii="Century Gothic" w:hAnsi="Century Gothic" w:cs="Arial"/>
          <w:color w:val="000000"/>
          <w:kern w:val="24"/>
          <w:lang w:val="es-ES" w:eastAsia="es-ES"/>
        </w:rPr>
        <w:t>Para ello, se proponen las siguientes líneas de actuación:</w:t>
      </w:r>
    </w:p>
    <w:p w14:paraId="4496F992" w14:textId="77777777" w:rsidR="00C6767D" w:rsidRPr="00C6767D" w:rsidRDefault="00C6767D" w:rsidP="00757E55">
      <w:pPr>
        <w:pStyle w:val="Prrafodelista"/>
        <w:numPr>
          <w:ilvl w:val="0"/>
          <w:numId w:val="32"/>
        </w:numPr>
        <w:rPr>
          <w:rFonts w:ascii="Century Gothic" w:hAnsi="Century Gothic"/>
          <w:b/>
          <w:lang w:val="es-ES"/>
        </w:rPr>
      </w:pPr>
      <w:r w:rsidRPr="00390038">
        <w:rPr>
          <w:rFonts w:ascii="Century Gothic" w:hAnsi="Century Gothic"/>
          <w:b/>
          <w:lang w:val="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390038">
        <w:rPr>
          <w:rFonts w:ascii="Century Gothic" w:hAnsi="Century Gothic"/>
          <w:b/>
          <w:lang w:val="es-ES"/>
        </w:rPr>
        <w:t xml:space="preserve"> Medidas para la atracción y retención del talento en las PYME:</w:t>
      </w:r>
      <w:r w:rsidRPr="00C6767D">
        <w:rPr>
          <w:rFonts w:ascii="Century Gothic" w:hAnsi="Century Gothic"/>
          <w:b/>
          <w:lang w:val="es-ES"/>
        </w:rPr>
        <w:t xml:space="preserve"> </w:t>
      </w:r>
    </w:p>
    <w:p w14:paraId="6EF12623" w14:textId="7E270C6E" w:rsidR="0042654D" w:rsidRDefault="001101BE" w:rsidP="00757E55">
      <w:pPr>
        <w:pStyle w:val="Prrafodelista"/>
        <w:numPr>
          <w:ilvl w:val="1"/>
          <w:numId w:val="32"/>
        </w:numPr>
        <w:rPr>
          <w:rFonts w:ascii="Century Gothic" w:hAnsi="Century Gothic"/>
          <w:lang w:val="es-ES"/>
        </w:rPr>
      </w:pPr>
      <w:r>
        <w:rPr>
          <w:rFonts w:ascii="Century Gothic" w:hAnsi="Century Gothic"/>
          <w:lang w:val="es-ES"/>
        </w:rPr>
        <w:t>Fomentar los</w:t>
      </w:r>
      <w:r w:rsidR="00C6767D" w:rsidRPr="00C6767D">
        <w:rPr>
          <w:rFonts w:ascii="Century Gothic" w:hAnsi="Century Gothic" w:cs="Arial"/>
          <w:bCs/>
          <w:szCs w:val="20"/>
          <w:lang w:val="es-ES" w:eastAsia="en-US"/>
        </w:rPr>
        <w:t xml:space="preserve"> planes de carrera profesional </w:t>
      </w:r>
      <w:r>
        <w:rPr>
          <w:rFonts w:ascii="Century Gothic" w:hAnsi="Century Gothic" w:cs="Arial"/>
          <w:bCs/>
          <w:szCs w:val="20"/>
          <w:lang w:val="es-ES" w:eastAsia="en-US"/>
        </w:rPr>
        <w:t>en las</w:t>
      </w:r>
      <w:r>
        <w:rPr>
          <w:rFonts w:ascii="Century Gothic" w:hAnsi="Century Gothic"/>
          <w:lang w:val="es-ES"/>
        </w:rPr>
        <w:t xml:space="preserve"> PYME a través de contratos </w:t>
      </w:r>
      <w:r w:rsidR="00C6767D" w:rsidRPr="00390038">
        <w:rPr>
          <w:rFonts w:ascii="Century Gothic" w:hAnsi="Century Gothic"/>
          <w:lang w:val="es-ES"/>
        </w:rPr>
        <w:t>indefinido</w:t>
      </w:r>
      <w:r>
        <w:rPr>
          <w:rFonts w:ascii="Century Gothic" w:hAnsi="Century Gothic"/>
          <w:lang w:val="es-ES"/>
        </w:rPr>
        <w:t>s</w:t>
      </w:r>
      <w:r w:rsidR="00C6767D" w:rsidRPr="00390038">
        <w:rPr>
          <w:rFonts w:ascii="Century Gothic" w:hAnsi="Century Gothic"/>
          <w:lang w:val="es-ES"/>
        </w:rPr>
        <w:t xml:space="preserve"> que den mayor estabilidad a sus empleados </w:t>
      </w:r>
      <w:r>
        <w:rPr>
          <w:rFonts w:ascii="Century Gothic" w:hAnsi="Century Gothic"/>
          <w:lang w:val="es-ES"/>
        </w:rPr>
        <w:t>para</w:t>
      </w:r>
      <w:r w:rsidR="00C6767D" w:rsidRPr="00390038">
        <w:rPr>
          <w:rFonts w:ascii="Century Gothic" w:hAnsi="Century Gothic"/>
          <w:lang w:val="es-ES"/>
        </w:rPr>
        <w:t xml:space="preserve"> </w:t>
      </w:r>
      <w:r w:rsidR="002D7758">
        <w:rPr>
          <w:rFonts w:ascii="Century Gothic" w:hAnsi="Century Gothic"/>
          <w:lang w:val="es-ES"/>
        </w:rPr>
        <w:t>fidelizarlos</w:t>
      </w:r>
      <w:r w:rsidR="00C6767D" w:rsidRPr="00390038">
        <w:rPr>
          <w:rFonts w:ascii="Century Gothic" w:hAnsi="Century Gothic"/>
          <w:lang w:val="es-ES"/>
        </w:rPr>
        <w:t>.</w:t>
      </w:r>
      <w:r w:rsidR="00C6767D">
        <w:rPr>
          <w:rFonts w:ascii="Century Gothic" w:hAnsi="Century Gothic"/>
          <w:lang w:val="es-ES"/>
        </w:rPr>
        <w:t xml:space="preserve"> </w:t>
      </w:r>
    </w:p>
    <w:p w14:paraId="65D607E9" w14:textId="7B6DB3A1" w:rsidR="00190045" w:rsidRDefault="00A314F7" w:rsidP="00757E55">
      <w:pPr>
        <w:pStyle w:val="Prrafodelista"/>
        <w:numPr>
          <w:ilvl w:val="1"/>
          <w:numId w:val="32"/>
        </w:numPr>
        <w:rPr>
          <w:rFonts w:ascii="Century Gothic" w:hAnsi="Century Gothic"/>
          <w:lang w:val="es-ES"/>
        </w:rPr>
      </w:pPr>
      <w:r>
        <w:rPr>
          <w:rFonts w:ascii="Century Gothic" w:hAnsi="Century Gothic"/>
          <w:lang w:val="es-ES"/>
        </w:rPr>
        <w:t>Introducir medidas de simplificación administrativa en el ámbito laboral, que permita a las empresas menor carga a la hora de contratar.</w:t>
      </w:r>
      <w:r w:rsidR="000A5161" w:rsidRPr="000A5161">
        <w:rPr>
          <w:rFonts w:ascii="Century Gothic" w:hAnsi="Century Gothic"/>
          <w:sz w:val="22"/>
          <w:szCs w:val="24"/>
          <w:lang w:val="es-ES" w:eastAsia="es-ES"/>
        </w:rPr>
        <w:t xml:space="preserve"> </w:t>
      </w:r>
      <w:r w:rsidR="000A5161" w:rsidRPr="000A5161">
        <w:rPr>
          <w:rFonts w:ascii="Century Gothic" w:hAnsi="Century Gothic"/>
          <w:lang w:val="es-ES"/>
        </w:rPr>
        <w:t>Agilizar los tiempos y abaratar los costes en la concesión de visados y autorizaciones de residencia que solicitan las start-up para contratar a empleados cualificados extranjeros.</w:t>
      </w:r>
    </w:p>
    <w:p w14:paraId="2FE0A496" w14:textId="648BEF1F" w:rsidR="00916325" w:rsidRDefault="00916325" w:rsidP="00757E55">
      <w:pPr>
        <w:pStyle w:val="Prrafodelista"/>
        <w:numPr>
          <w:ilvl w:val="1"/>
          <w:numId w:val="32"/>
        </w:numPr>
        <w:rPr>
          <w:rFonts w:ascii="Century Gothic" w:hAnsi="Century Gothic"/>
          <w:lang w:val="es-ES"/>
        </w:rPr>
      </w:pPr>
      <w:r>
        <w:rPr>
          <w:rFonts w:ascii="Century Gothic" w:hAnsi="Century Gothic"/>
          <w:lang w:val="es-ES"/>
        </w:rPr>
        <w:t xml:space="preserve">Fomentar </w:t>
      </w:r>
      <w:r w:rsidRPr="00916325">
        <w:rPr>
          <w:rFonts w:ascii="Century Gothic" w:hAnsi="Century Gothic"/>
          <w:lang w:val="es-ES"/>
        </w:rPr>
        <w:t>el conocimiento y acceso a herramientas e instrumentos profesionalizados que facilit</w:t>
      </w:r>
      <w:r w:rsidR="001101BE">
        <w:rPr>
          <w:rFonts w:ascii="Century Gothic" w:hAnsi="Century Gothic"/>
          <w:lang w:val="es-ES"/>
        </w:rPr>
        <w:t>a</w:t>
      </w:r>
      <w:r w:rsidRPr="00916325">
        <w:rPr>
          <w:rFonts w:ascii="Century Gothic" w:hAnsi="Century Gothic"/>
          <w:lang w:val="es-ES"/>
        </w:rPr>
        <w:t xml:space="preserve">n la selección, </w:t>
      </w:r>
      <w:r w:rsidR="00836022">
        <w:rPr>
          <w:rFonts w:ascii="Century Gothic" w:hAnsi="Century Gothic"/>
          <w:lang w:val="es-ES"/>
        </w:rPr>
        <w:t>la contratación, la formación y la retención de empleados</w:t>
      </w:r>
      <w:r w:rsidRPr="00916325">
        <w:rPr>
          <w:rFonts w:ascii="Century Gothic" w:hAnsi="Century Gothic"/>
          <w:lang w:val="es-ES"/>
        </w:rPr>
        <w:t>, así como las estrategias y fórmulas más eficaces y eficientes en materia de contratación</w:t>
      </w:r>
      <w:r>
        <w:rPr>
          <w:rFonts w:ascii="Century Gothic" w:hAnsi="Century Gothic"/>
          <w:lang w:val="es-ES"/>
        </w:rPr>
        <w:t xml:space="preserve"> laboral.</w:t>
      </w:r>
    </w:p>
    <w:p w14:paraId="41EBC44A" w14:textId="4796AA38" w:rsidR="00916325" w:rsidRDefault="00916325" w:rsidP="00757E55">
      <w:pPr>
        <w:pStyle w:val="Prrafodelista"/>
        <w:numPr>
          <w:ilvl w:val="1"/>
          <w:numId w:val="32"/>
        </w:numPr>
        <w:rPr>
          <w:rFonts w:ascii="Century Gothic" w:hAnsi="Century Gothic"/>
          <w:lang w:val="es-ES"/>
        </w:rPr>
      </w:pPr>
      <w:r w:rsidRPr="00916325">
        <w:rPr>
          <w:rFonts w:ascii="Century Gothic" w:hAnsi="Century Gothic"/>
          <w:lang w:val="es-ES"/>
        </w:rPr>
        <w:t>Favorecer el conocimiento entre las PYME de las modalidades de contratación y fórmulas de flexibilidad más idóneas en cada coyuntura y otras herramientas para la adecuada incorporación de trabajadores</w:t>
      </w:r>
      <w:r>
        <w:rPr>
          <w:rFonts w:ascii="Century Gothic" w:hAnsi="Century Gothic"/>
          <w:lang w:val="es-ES"/>
        </w:rPr>
        <w:t>.</w:t>
      </w:r>
    </w:p>
    <w:p w14:paraId="06307C46" w14:textId="630D6084" w:rsidR="000A5161" w:rsidRDefault="000A5161" w:rsidP="00757E55">
      <w:pPr>
        <w:pStyle w:val="Prrafodelista"/>
        <w:numPr>
          <w:ilvl w:val="1"/>
          <w:numId w:val="32"/>
        </w:numPr>
        <w:rPr>
          <w:rFonts w:ascii="Century Gothic" w:hAnsi="Century Gothic"/>
          <w:lang w:val="es-ES"/>
        </w:rPr>
      </w:pPr>
      <w:r w:rsidRPr="000A5161">
        <w:rPr>
          <w:rFonts w:ascii="Century Gothic" w:hAnsi="Century Gothic"/>
          <w:lang w:val="es-ES"/>
        </w:rPr>
        <w:t>Promover iniciativas que faciliten a las start-up la incorporación en el equipo emprendedor de personas con conocimientos complementarios.</w:t>
      </w:r>
    </w:p>
    <w:p w14:paraId="179DDB5E" w14:textId="77777777" w:rsidR="000B170B" w:rsidRDefault="006D2398" w:rsidP="00517BA8">
      <w:pPr>
        <w:pStyle w:val="Prrafodelista"/>
        <w:numPr>
          <w:ilvl w:val="1"/>
          <w:numId w:val="32"/>
        </w:numPr>
        <w:rPr>
          <w:rFonts w:ascii="Century Gothic" w:hAnsi="Century Gothic"/>
          <w:lang w:val="es-ES"/>
        </w:rPr>
      </w:pPr>
      <w:r w:rsidRPr="000B170B">
        <w:rPr>
          <w:rFonts w:ascii="Century Gothic" w:hAnsi="Century Gothic"/>
          <w:lang w:val="es-ES"/>
        </w:rPr>
        <w:t>Estudio y, en su caso, i</w:t>
      </w:r>
      <w:r w:rsidR="00A02986" w:rsidRPr="000B170B">
        <w:rPr>
          <w:rFonts w:ascii="Century Gothic" w:hAnsi="Century Gothic"/>
          <w:lang w:val="es-ES"/>
        </w:rPr>
        <w:t>nclusión de líneas y objetivos específicos para PYME en los Planes Anuales de Políticas de Empleo, incluyendo indicadores y elementos para su evaluación</w:t>
      </w:r>
      <w:r w:rsidRPr="000B170B">
        <w:rPr>
          <w:rFonts w:ascii="Century Gothic" w:hAnsi="Century Gothic"/>
          <w:lang w:val="es-ES"/>
        </w:rPr>
        <w:t xml:space="preserve">, todo ello en el marco de la </w:t>
      </w:r>
      <w:r w:rsidRPr="000B170B">
        <w:rPr>
          <w:rFonts w:ascii="Century Gothic" w:hAnsi="Century Gothic"/>
          <w:highlight w:val="yellow"/>
          <w:lang w:val="es-ES"/>
        </w:rPr>
        <w:t>Conferencia Sectorial de Empleo y Asuntos laborales</w:t>
      </w:r>
      <w:r w:rsidR="00A02986" w:rsidRPr="000B170B">
        <w:rPr>
          <w:rFonts w:ascii="Century Gothic" w:hAnsi="Century Gothic"/>
          <w:highlight w:val="yellow"/>
          <w:lang w:val="es-ES"/>
        </w:rPr>
        <w:t>.</w:t>
      </w:r>
    </w:p>
    <w:p w14:paraId="10EFFD16" w14:textId="413489F9" w:rsidR="0012279F" w:rsidRPr="000B170B" w:rsidRDefault="0012279F" w:rsidP="00517BA8">
      <w:pPr>
        <w:pStyle w:val="Prrafodelista"/>
        <w:numPr>
          <w:ilvl w:val="1"/>
          <w:numId w:val="32"/>
        </w:numPr>
        <w:rPr>
          <w:rFonts w:ascii="Century Gothic" w:hAnsi="Century Gothic"/>
          <w:lang w:val="es-ES"/>
        </w:rPr>
      </w:pPr>
      <w:r w:rsidRPr="000B170B">
        <w:rPr>
          <w:rFonts w:ascii="Century Gothic" w:hAnsi="Century Gothic"/>
          <w:lang w:val="es-ES"/>
        </w:rPr>
        <w:t>Valorar la creación de un estatuto del freelance emprendedor</w:t>
      </w:r>
      <w:r w:rsidRPr="000500C4">
        <w:rPr>
          <w:rFonts w:ascii="Century Gothic" w:hAnsi="Century Gothic"/>
          <w:vertAlign w:val="superscript"/>
          <w:lang w:val="es-ES"/>
        </w:rPr>
        <w:footnoteReference w:id="31"/>
      </w:r>
      <w:r w:rsidRPr="000B170B">
        <w:rPr>
          <w:rFonts w:ascii="Century Gothic" w:hAnsi="Century Gothic"/>
          <w:lang w:val="es-ES"/>
        </w:rPr>
        <w:t xml:space="preserve"> distinto del contrato mercantil.</w:t>
      </w:r>
    </w:p>
    <w:p w14:paraId="43FD38A3" w14:textId="77777777" w:rsidR="00044AA4" w:rsidRDefault="00C6767D" w:rsidP="00757E55">
      <w:pPr>
        <w:pStyle w:val="Prrafodelista"/>
        <w:numPr>
          <w:ilvl w:val="0"/>
          <w:numId w:val="32"/>
        </w:numPr>
        <w:rPr>
          <w:rFonts w:ascii="Century Gothic" w:hAnsi="Century Gothic"/>
          <w:b/>
          <w:lang w:val="es-ES"/>
        </w:rPr>
      </w:pPr>
      <w:r w:rsidRPr="00390038">
        <w:rPr>
          <w:rFonts w:ascii="Century Gothic" w:hAnsi="Century Gothic"/>
          <w:b/>
          <w:lang w:val="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390038">
        <w:rPr>
          <w:rFonts w:ascii="Century Gothic" w:hAnsi="Century Gothic"/>
          <w:b/>
          <w:lang w:val="es-ES"/>
        </w:rPr>
        <w:t xml:space="preserve"> Mejorar la formación para la gestión empresarial</w:t>
      </w:r>
      <w:r w:rsidRPr="00F2152C">
        <w:rPr>
          <w:rFonts w:ascii="Century Gothic" w:hAnsi="Century Gothic"/>
          <w:b/>
          <w:lang w:val="es-ES"/>
        </w:rPr>
        <w:t xml:space="preserve">: </w:t>
      </w:r>
    </w:p>
    <w:p w14:paraId="64728E6B" w14:textId="494FF1C3" w:rsidR="00044AA4" w:rsidRDefault="00C6767D" w:rsidP="00757E55">
      <w:pPr>
        <w:pStyle w:val="Prrafodelista"/>
        <w:numPr>
          <w:ilvl w:val="1"/>
          <w:numId w:val="32"/>
        </w:numPr>
        <w:rPr>
          <w:rFonts w:ascii="Century Gothic" w:hAnsi="Century Gothic"/>
          <w:lang w:val="es-ES"/>
        </w:rPr>
      </w:pPr>
      <w:r w:rsidRPr="00F2152C">
        <w:rPr>
          <w:rFonts w:ascii="Century Gothic" w:hAnsi="Century Gothic"/>
          <w:lang w:val="es-ES"/>
        </w:rPr>
        <w:t xml:space="preserve">Desarrollar planes formativos </w:t>
      </w:r>
      <w:r w:rsidR="001101BE">
        <w:rPr>
          <w:rFonts w:ascii="Century Gothic" w:hAnsi="Century Gothic"/>
          <w:lang w:val="es-ES"/>
        </w:rPr>
        <w:t>para</w:t>
      </w:r>
      <w:r w:rsidRPr="00F2152C">
        <w:rPr>
          <w:rFonts w:ascii="Century Gothic" w:hAnsi="Century Gothic"/>
          <w:lang w:val="es-ES"/>
        </w:rPr>
        <w:t xml:space="preserve"> mejorar las competencias de gestión específic</w:t>
      </w:r>
      <w:r w:rsidR="00E61E7D">
        <w:rPr>
          <w:rFonts w:ascii="Century Gothic" w:hAnsi="Century Gothic"/>
          <w:lang w:val="es-ES"/>
        </w:rPr>
        <w:t>a</w:t>
      </w:r>
      <w:r w:rsidRPr="00F2152C">
        <w:rPr>
          <w:rFonts w:ascii="Century Gothic" w:hAnsi="Century Gothic"/>
          <w:lang w:val="es-ES"/>
        </w:rPr>
        <w:t>s por colectivos (cuadros directivos o técnicos encar</w:t>
      </w:r>
      <w:r w:rsidR="00245C9B">
        <w:rPr>
          <w:rFonts w:ascii="Century Gothic" w:hAnsi="Century Gothic"/>
          <w:lang w:val="es-ES"/>
        </w:rPr>
        <w:t>gados de administrar las PYME), dando valor a características como la cooperación empresarial</w:t>
      </w:r>
      <w:r w:rsidR="00C70EE6">
        <w:rPr>
          <w:rFonts w:ascii="Century Gothic" w:hAnsi="Century Gothic"/>
          <w:lang w:val="es-ES"/>
        </w:rPr>
        <w:t>, el conocimiento de la propiedad industrial e intelectual, etc</w:t>
      </w:r>
      <w:r w:rsidR="00245C9B">
        <w:rPr>
          <w:rFonts w:ascii="Century Gothic" w:hAnsi="Century Gothic"/>
          <w:lang w:val="es-ES"/>
        </w:rPr>
        <w:t>.</w:t>
      </w:r>
    </w:p>
    <w:p w14:paraId="19CE8A79" w14:textId="25D3D560" w:rsidR="002915BC" w:rsidRDefault="002915BC" w:rsidP="00757E55">
      <w:pPr>
        <w:pStyle w:val="Prrafodelista"/>
        <w:numPr>
          <w:ilvl w:val="1"/>
          <w:numId w:val="32"/>
        </w:numPr>
        <w:rPr>
          <w:rFonts w:ascii="Century Gothic" w:hAnsi="Century Gothic"/>
          <w:lang w:val="es-ES"/>
        </w:rPr>
      </w:pPr>
      <w:r>
        <w:rPr>
          <w:rFonts w:ascii="Century Gothic" w:hAnsi="Century Gothic"/>
          <w:lang w:val="es-ES"/>
        </w:rPr>
        <w:lastRenderedPageBreak/>
        <w:t>Promover los dobles grados (</w:t>
      </w:r>
      <w:r w:rsidR="00906772">
        <w:rPr>
          <w:rFonts w:ascii="Century Gothic" w:hAnsi="Century Gothic"/>
          <w:lang w:val="es-ES"/>
        </w:rPr>
        <w:t xml:space="preserve">tipo </w:t>
      </w:r>
      <w:r>
        <w:rPr>
          <w:rFonts w:ascii="Century Gothic" w:hAnsi="Century Gothic"/>
          <w:lang w:val="es-ES"/>
        </w:rPr>
        <w:t xml:space="preserve">ingeniería y administración de empresas) </w:t>
      </w:r>
      <w:r w:rsidR="001101BE">
        <w:rPr>
          <w:rFonts w:ascii="Century Gothic" w:hAnsi="Century Gothic"/>
          <w:lang w:val="es-ES"/>
        </w:rPr>
        <w:t>y</w:t>
      </w:r>
      <w:r>
        <w:rPr>
          <w:rFonts w:ascii="Century Gothic" w:hAnsi="Century Gothic"/>
          <w:lang w:val="es-ES"/>
        </w:rPr>
        <w:t xml:space="preserve"> prácticas de estudiantes universitarios</w:t>
      </w:r>
      <w:r w:rsidR="00E61E7D">
        <w:rPr>
          <w:rFonts w:ascii="Century Gothic" w:hAnsi="Century Gothic"/>
          <w:lang w:val="es-ES"/>
        </w:rPr>
        <w:t xml:space="preserve"> en PYME</w:t>
      </w:r>
      <w:r w:rsidR="00783C8D">
        <w:rPr>
          <w:rFonts w:ascii="Century Gothic" w:hAnsi="Century Gothic"/>
          <w:lang w:val="es-ES"/>
        </w:rPr>
        <w:t>s</w:t>
      </w:r>
      <w:r w:rsidR="00E61E7D">
        <w:rPr>
          <w:rFonts w:ascii="Century Gothic" w:hAnsi="Century Gothic"/>
          <w:lang w:val="es-ES"/>
        </w:rPr>
        <w:t xml:space="preserve"> internacionalizadas,</w:t>
      </w:r>
      <w:r w:rsidR="00D7148F">
        <w:rPr>
          <w:rFonts w:ascii="Century Gothic" w:hAnsi="Century Gothic"/>
          <w:lang w:val="es-ES"/>
        </w:rPr>
        <w:t xml:space="preserve"> como fórmulas para conseguir un empresariado más preparado</w:t>
      </w:r>
      <w:r>
        <w:rPr>
          <w:rFonts w:ascii="Century Gothic" w:hAnsi="Century Gothic"/>
          <w:lang w:val="es-ES"/>
        </w:rPr>
        <w:t>.</w:t>
      </w:r>
    </w:p>
    <w:p w14:paraId="33E896BA" w14:textId="07762F0B" w:rsidR="00F473BF" w:rsidRPr="00F473BF" w:rsidRDefault="00F473BF" w:rsidP="00757E55">
      <w:pPr>
        <w:pStyle w:val="Prrafodelista"/>
        <w:numPr>
          <w:ilvl w:val="1"/>
          <w:numId w:val="32"/>
        </w:numPr>
        <w:rPr>
          <w:rFonts w:ascii="Century Gothic" w:hAnsi="Century Gothic"/>
          <w:lang w:val="es-ES"/>
        </w:rPr>
      </w:pPr>
      <w:r w:rsidRPr="00F473BF">
        <w:rPr>
          <w:rFonts w:ascii="Century Gothic" w:hAnsi="Century Gothic"/>
          <w:lang w:val="es-ES"/>
        </w:rPr>
        <w:t xml:space="preserve">Fomentar el intercambio de trabajadores y directivos entre grandes empresas y PYMES. </w:t>
      </w:r>
      <w:r w:rsidR="00906772">
        <w:rPr>
          <w:rFonts w:ascii="Century Gothic" w:hAnsi="Century Gothic"/>
          <w:lang w:val="es-ES"/>
        </w:rPr>
        <w:t>Serían</w:t>
      </w:r>
      <w:r w:rsidRPr="00F473BF">
        <w:rPr>
          <w:rFonts w:ascii="Century Gothic" w:hAnsi="Century Gothic"/>
          <w:lang w:val="es-ES"/>
        </w:rPr>
        <w:t xml:space="preserve"> programas de intercambio entre profesionales, en todos sus niveles, y tanto de forma intrasectorial como de carácter transversal. </w:t>
      </w:r>
    </w:p>
    <w:p w14:paraId="23A2F124" w14:textId="59701521" w:rsidR="00037A99" w:rsidRDefault="00C6767D" w:rsidP="00757E55">
      <w:pPr>
        <w:pStyle w:val="Prrafodelista"/>
        <w:numPr>
          <w:ilvl w:val="1"/>
          <w:numId w:val="32"/>
        </w:numPr>
        <w:rPr>
          <w:rFonts w:ascii="Century Gothic" w:hAnsi="Century Gothic"/>
          <w:lang w:val="es-ES"/>
        </w:rPr>
      </w:pPr>
      <w:r w:rsidRPr="00037A99">
        <w:rPr>
          <w:rFonts w:ascii="Century Gothic" w:hAnsi="Century Gothic"/>
          <w:lang w:val="es-ES"/>
        </w:rPr>
        <w:t xml:space="preserve">Impulsar códigos de buenas prácticas en la empresa familiar </w:t>
      </w:r>
      <w:r w:rsidR="00906772">
        <w:rPr>
          <w:rFonts w:ascii="Century Gothic" w:hAnsi="Century Gothic"/>
          <w:lang w:val="es-ES"/>
        </w:rPr>
        <w:t>que</w:t>
      </w:r>
      <w:r w:rsidRPr="00037A99">
        <w:rPr>
          <w:rFonts w:ascii="Century Gothic" w:hAnsi="Century Gothic"/>
          <w:lang w:val="es-ES"/>
        </w:rPr>
        <w:t xml:space="preserve"> profesionali</w:t>
      </w:r>
      <w:r w:rsidR="00906772">
        <w:rPr>
          <w:rFonts w:ascii="Century Gothic" w:hAnsi="Century Gothic"/>
          <w:lang w:val="es-ES"/>
        </w:rPr>
        <w:t>cen</w:t>
      </w:r>
      <w:r w:rsidRPr="00037A99">
        <w:rPr>
          <w:rFonts w:ascii="Century Gothic" w:hAnsi="Century Gothic"/>
          <w:lang w:val="es-ES"/>
        </w:rPr>
        <w:t xml:space="preserve"> su gestión.</w:t>
      </w:r>
    </w:p>
    <w:p w14:paraId="133C8B9C" w14:textId="5BF4B276" w:rsidR="000A5161" w:rsidRDefault="000A5161" w:rsidP="00757E55">
      <w:pPr>
        <w:pStyle w:val="Prrafodelista"/>
        <w:numPr>
          <w:ilvl w:val="1"/>
          <w:numId w:val="32"/>
        </w:numPr>
        <w:ind w:left="1077" w:hanging="357"/>
        <w:rPr>
          <w:rFonts w:ascii="Century Gothic" w:hAnsi="Century Gothic"/>
          <w:lang w:val="es-ES"/>
        </w:rPr>
      </w:pPr>
      <w:r w:rsidRPr="000A5161">
        <w:rPr>
          <w:rFonts w:ascii="Century Gothic" w:hAnsi="Century Gothic"/>
          <w:lang w:val="es-ES"/>
        </w:rPr>
        <w:t>Facilitar el uso de esquemas de incentivos para el talento basados en opciones de compra sobre acciones o participaciones sociales.</w:t>
      </w:r>
    </w:p>
    <w:p w14:paraId="3D09B9DC" w14:textId="77777777" w:rsidR="001D7410" w:rsidRDefault="001D7410" w:rsidP="00757E55">
      <w:pPr>
        <w:pStyle w:val="Prrafodelista"/>
        <w:numPr>
          <w:ilvl w:val="0"/>
          <w:numId w:val="32"/>
        </w:numPr>
        <w:rPr>
          <w:rFonts w:ascii="Century Gothic" w:hAnsi="Century Gothic"/>
          <w:b/>
          <w:lang w:val="es-ES"/>
        </w:rPr>
      </w:pPr>
      <w:r w:rsidRPr="00390038">
        <w:rPr>
          <w:rFonts w:ascii="Century Gothic" w:hAnsi="Century Gothic"/>
          <w:b/>
          <w:lang w:val="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Avanzar en las competencias digitales de empresarios y empleados.</w:t>
      </w:r>
    </w:p>
    <w:p w14:paraId="392C0736" w14:textId="0B374F7B" w:rsidR="001D7410" w:rsidRDefault="001D7410" w:rsidP="00757E55">
      <w:pPr>
        <w:pStyle w:val="Prrafodelista"/>
        <w:numPr>
          <w:ilvl w:val="1"/>
          <w:numId w:val="32"/>
        </w:numPr>
        <w:rPr>
          <w:rFonts w:ascii="Century Gothic" w:hAnsi="Century Gothic"/>
          <w:lang w:val="es-ES"/>
        </w:rPr>
      </w:pPr>
      <w:r>
        <w:rPr>
          <w:rFonts w:ascii="Century Gothic" w:hAnsi="Century Gothic"/>
          <w:lang w:val="es-ES"/>
        </w:rPr>
        <w:t xml:space="preserve">Establecer </w:t>
      </w:r>
      <w:r w:rsidRPr="001D7410">
        <w:rPr>
          <w:rFonts w:ascii="Century Gothic" w:hAnsi="Century Gothic"/>
          <w:lang w:val="es-ES"/>
        </w:rPr>
        <w:t>estrategias de destrezas digitales y apoyar medidas concretas para llevar las capacidades digitales a todos los niveles de educación y formación, apoyar a los profesores y educadores y promover la participación activa de la</w:t>
      </w:r>
      <w:r>
        <w:rPr>
          <w:rFonts w:ascii="Century Gothic" w:hAnsi="Century Gothic"/>
          <w:lang w:val="es-ES"/>
        </w:rPr>
        <w:t>s empresas</w:t>
      </w:r>
      <w:r w:rsidRPr="001D7410">
        <w:rPr>
          <w:rFonts w:ascii="Century Gothic" w:hAnsi="Century Gothic"/>
          <w:lang w:val="es-ES"/>
        </w:rPr>
        <w:t xml:space="preserve">. </w:t>
      </w:r>
      <w:r>
        <w:rPr>
          <w:rFonts w:ascii="Century Gothic" w:hAnsi="Century Gothic"/>
          <w:lang w:val="es-ES"/>
        </w:rPr>
        <w:t>Se d</w:t>
      </w:r>
      <w:r w:rsidRPr="001D7410">
        <w:rPr>
          <w:rFonts w:ascii="Century Gothic" w:hAnsi="Century Gothic"/>
          <w:lang w:val="es-ES"/>
        </w:rPr>
        <w:t xml:space="preserve">ebe alentar a las partes interesadas </w:t>
      </w:r>
      <w:r w:rsidR="00115FAB">
        <w:rPr>
          <w:rFonts w:ascii="Century Gothic" w:hAnsi="Century Gothic"/>
          <w:lang w:val="es-ES"/>
        </w:rPr>
        <w:t>a</w:t>
      </w:r>
      <w:r w:rsidRPr="001D7410">
        <w:rPr>
          <w:rFonts w:ascii="Century Gothic" w:hAnsi="Century Gothic"/>
          <w:lang w:val="es-ES"/>
        </w:rPr>
        <w:t xml:space="preserve"> compartir lecciones de éxito y buenas prácticas</w:t>
      </w:r>
      <w:r w:rsidR="00501C7D">
        <w:rPr>
          <w:rFonts w:ascii="Century Gothic" w:hAnsi="Century Gothic"/>
          <w:lang w:val="es-ES"/>
        </w:rPr>
        <w:t>, generando</w:t>
      </w:r>
      <w:r w:rsidR="00501C7D" w:rsidRPr="00501C7D">
        <w:rPr>
          <w:rFonts w:ascii="Century Gothic" w:hAnsi="Century Gothic"/>
          <w:lang w:val="es-ES"/>
        </w:rPr>
        <w:t xml:space="preserve"> consensos en torno al empleo en la era digital</w:t>
      </w:r>
      <w:r w:rsidRPr="001D7410">
        <w:rPr>
          <w:rFonts w:ascii="Century Gothic" w:hAnsi="Century Gothic"/>
          <w:lang w:val="es-ES"/>
        </w:rPr>
        <w:t>.</w:t>
      </w:r>
    </w:p>
    <w:p w14:paraId="691D77BC" w14:textId="4D334B36" w:rsidR="00115FAB" w:rsidRDefault="00023045" w:rsidP="00757E55">
      <w:pPr>
        <w:pStyle w:val="Prrafodelista"/>
        <w:numPr>
          <w:ilvl w:val="1"/>
          <w:numId w:val="32"/>
        </w:numPr>
        <w:rPr>
          <w:rFonts w:ascii="Century Gothic" w:hAnsi="Century Gothic"/>
          <w:lang w:val="es-ES"/>
        </w:rPr>
      </w:pPr>
      <w:r>
        <w:rPr>
          <w:rFonts w:ascii="Century Gothic" w:hAnsi="Century Gothic"/>
          <w:lang w:val="es-ES"/>
        </w:rPr>
        <w:t xml:space="preserve">Valorar la puesta en marcha de programas que </w:t>
      </w:r>
      <w:r w:rsidR="006D17BC">
        <w:rPr>
          <w:rFonts w:ascii="Century Gothic" w:hAnsi="Century Gothic"/>
          <w:lang w:val="es-ES"/>
        </w:rPr>
        <w:t xml:space="preserve">impulsen las </w:t>
      </w:r>
      <w:r>
        <w:rPr>
          <w:rFonts w:ascii="Century Gothic" w:hAnsi="Century Gothic"/>
          <w:lang w:val="es-ES"/>
        </w:rPr>
        <w:t>economías de escala para las PYME para contratar determinados servicios. E</w:t>
      </w:r>
      <w:r w:rsidR="006D17BC">
        <w:rPr>
          <w:rFonts w:ascii="Century Gothic" w:hAnsi="Century Gothic"/>
          <w:lang w:val="es-ES"/>
        </w:rPr>
        <w:t xml:space="preserve">sta necesidad se pone más de manifiesto con los </w:t>
      </w:r>
      <w:r w:rsidR="00115FAB" w:rsidRPr="00115FAB">
        <w:rPr>
          <w:rFonts w:ascii="Century Gothic" w:hAnsi="Century Gothic"/>
          <w:lang w:val="es-ES"/>
        </w:rPr>
        <w:t xml:space="preserve">cambios organizacionales </w:t>
      </w:r>
      <w:r>
        <w:rPr>
          <w:rFonts w:ascii="Century Gothic" w:hAnsi="Century Gothic"/>
          <w:lang w:val="es-ES"/>
        </w:rPr>
        <w:t>provocados por la digitalización</w:t>
      </w:r>
      <w:r w:rsidR="00115FAB" w:rsidRPr="00115FAB">
        <w:rPr>
          <w:rFonts w:ascii="Century Gothic" w:hAnsi="Century Gothic"/>
          <w:lang w:val="es-ES"/>
        </w:rPr>
        <w:t xml:space="preserve">. </w:t>
      </w:r>
    </w:p>
    <w:p w14:paraId="01309BA6" w14:textId="29FDC936" w:rsidR="00501C7D" w:rsidRPr="00386811" w:rsidRDefault="00501C7D" w:rsidP="00757E55">
      <w:pPr>
        <w:pStyle w:val="Prrafodelista"/>
        <w:numPr>
          <w:ilvl w:val="1"/>
          <w:numId w:val="32"/>
        </w:numPr>
        <w:rPr>
          <w:rFonts w:ascii="Century Gothic" w:hAnsi="Century Gothic"/>
          <w:lang w:val="es-ES"/>
        </w:rPr>
      </w:pPr>
      <w:r w:rsidRPr="00386811">
        <w:rPr>
          <w:rFonts w:ascii="Century Gothic" w:hAnsi="Century Gothic"/>
          <w:lang w:val="es-ES"/>
        </w:rPr>
        <w:t>Mejorar la definición de las competencias digitales reque</w:t>
      </w:r>
      <w:r w:rsidR="00386811" w:rsidRPr="00386811">
        <w:rPr>
          <w:rFonts w:ascii="Century Gothic" w:hAnsi="Century Gothic"/>
          <w:lang w:val="es-ES"/>
        </w:rPr>
        <w:t xml:space="preserve">ridas en los puestos de trabajo y </w:t>
      </w:r>
      <w:r w:rsidR="00386811">
        <w:rPr>
          <w:rFonts w:ascii="Century Gothic" w:hAnsi="Century Gothic"/>
          <w:lang w:val="es-ES"/>
        </w:rPr>
        <w:t>a</w:t>
      </w:r>
      <w:r w:rsidRPr="00386811">
        <w:rPr>
          <w:rFonts w:ascii="Century Gothic" w:hAnsi="Century Gothic"/>
          <w:lang w:val="es-ES"/>
        </w:rPr>
        <w:t>ctualizar las competencias digitales de los trabajadores.</w:t>
      </w:r>
    </w:p>
    <w:p w14:paraId="40CFD66B" w14:textId="77777777" w:rsidR="00501C7D" w:rsidRPr="00F26B1C" w:rsidRDefault="00501C7D" w:rsidP="00757E55">
      <w:pPr>
        <w:pStyle w:val="Prrafodelista"/>
        <w:numPr>
          <w:ilvl w:val="1"/>
          <w:numId w:val="32"/>
        </w:numPr>
        <w:rPr>
          <w:rFonts w:ascii="Century Gothic" w:hAnsi="Century Gothic"/>
          <w:lang w:val="es-ES"/>
        </w:rPr>
      </w:pPr>
      <w:r w:rsidRPr="00F26B1C">
        <w:rPr>
          <w:rFonts w:ascii="Century Gothic" w:hAnsi="Century Gothic"/>
          <w:lang w:val="es-ES"/>
        </w:rPr>
        <w:t>Aprovechar las nuevas oportunidades para el empleo que ofrece la digitalización.</w:t>
      </w:r>
    </w:p>
    <w:p w14:paraId="0294CD0A" w14:textId="6916BCF8" w:rsidR="007A22FE" w:rsidRDefault="007A22FE" w:rsidP="00757E55">
      <w:pPr>
        <w:pStyle w:val="Prrafodelista"/>
        <w:numPr>
          <w:ilvl w:val="1"/>
          <w:numId w:val="32"/>
        </w:numPr>
        <w:rPr>
          <w:rFonts w:ascii="Century Gothic" w:hAnsi="Century Gothic"/>
          <w:lang w:val="es-ES"/>
        </w:rPr>
      </w:pPr>
      <w:r w:rsidRPr="007A22FE">
        <w:rPr>
          <w:rFonts w:ascii="Century Gothic" w:hAnsi="Century Gothic"/>
          <w:lang w:val="es-ES"/>
        </w:rPr>
        <w:t>Impulsar la colaboración interministerial en el seno del Grupo de Trabajo sobre Formación y Capacitación del sistema de gobernanza de la Estrategia Industria Conectada 4.0, para analizar los efectos de la digitalización en el empleo y la formaci</w:t>
      </w:r>
      <w:r w:rsidR="00906772">
        <w:rPr>
          <w:rFonts w:ascii="Century Gothic" w:hAnsi="Century Gothic"/>
          <w:lang w:val="es-ES"/>
        </w:rPr>
        <w:t>ón de las futuras generaciones.</w:t>
      </w:r>
    </w:p>
    <w:p w14:paraId="0EC31288" w14:textId="60755A79" w:rsidR="00E748DD" w:rsidRPr="009B76F9" w:rsidRDefault="00E748DD" w:rsidP="00757E55">
      <w:pPr>
        <w:pStyle w:val="Prrafodelista"/>
        <w:numPr>
          <w:ilvl w:val="0"/>
          <w:numId w:val="32"/>
        </w:numPr>
        <w:rPr>
          <w:rFonts w:ascii="Century Gothic" w:hAnsi="Century Gothic"/>
          <w:b/>
          <w:lang w:val="es-ES"/>
        </w:rPr>
      </w:pPr>
      <w:r>
        <w:rPr>
          <w:rFonts w:ascii="Century Gothic" w:hAnsi="Century Gothic"/>
          <w:b/>
          <w:lang w:val="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Fomentar el intraemprendimiento</w:t>
      </w:r>
      <w:r w:rsidR="004973A5">
        <w:rPr>
          <w:rFonts w:ascii="Century Gothic" w:hAnsi="Century Gothic"/>
          <w:b/>
          <w:lang w:val="es-ES"/>
        </w:rPr>
        <w:t xml:space="preserve"> </w:t>
      </w:r>
      <w:r w:rsidR="004973A5">
        <w:rPr>
          <w:rFonts w:ascii="Century Gothic" w:hAnsi="Century Gothic"/>
          <w:lang w:val="es-ES"/>
        </w:rPr>
        <w:t xml:space="preserve">como </w:t>
      </w:r>
      <w:r w:rsidR="004D7DAA">
        <w:rPr>
          <w:rFonts w:ascii="Century Gothic" w:hAnsi="Century Gothic"/>
          <w:lang w:val="es-ES"/>
        </w:rPr>
        <w:t>elemento clave</w:t>
      </w:r>
      <w:r w:rsidR="004973A5">
        <w:rPr>
          <w:rFonts w:ascii="Century Gothic" w:hAnsi="Century Gothic"/>
          <w:lang w:val="es-ES"/>
        </w:rPr>
        <w:t xml:space="preserve"> de innovación empresarial</w:t>
      </w:r>
      <w:r w:rsidR="005C18F7">
        <w:rPr>
          <w:rFonts w:ascii="Century Gothic" w:hAnsi="Century Gothic"/>
          <w:lang w:val="es-ES"/>
        </w:rPr>
        <w:t>, mediante la</w:t>
      </w:r>
      <w:r w:rsidR="00B339DF">
        <w:rPr>
          <w:rFonts w:ascii="Century Gothic" w:hAnsi="Century Gothic"/>
          <w:lang w:val="es-ES"/>
        </w:rPr>
        <w:t xml:space="preserve"> identificación de buenas prácticas entre las PYME que pueden presentarse como modelos</w:t>
      </w:r>
      <w:r w:rsidR="005C18F7">
        <w:rPr>
          <w:rFonts w:ascii="Century Gothic" w:hAnsi="Century Gothic"/>
          <w:lang w:val="es-ES"/>
        </w:rPr>
        <w:t>.</w:t>
      </w:r>
      <w:r w:rsidR="00B339DF">
        <w:rPr>
          <w:rFonts w:ascii="Century Gothic" w:hAnsi="Century Gothic"/>
          <w:lang w:val="es-ES"/>
        </w:rPr>
        <w:t xml:space="preserve"> </w:t>
      </w:r>
    </w:p>
    <w:p w14:paraId="303A67F0" w14:textId="2DAAE871" w:rsidR="009B76F9" w:rsidRPr="009B76F9" w:rsidRDefault="009B76F9" w:rsidP="00757E55">
      <w:pPr>
        <w:pStyle w:val="Prrafodelista"/>
        <w:numPr>
          <w:ilvl w:val="0"/>
          <w:numId w:val="32"/>
        </w:numPr>
        <w:spacing w:after="240"/>
        <w:ind w:left="357" w:hanging="357"/>
        <w:rPr>
          <w:rFonts w:ascii="Century Gothic" w:hAnsi="Century Gothic"/>
          <w:b/>
          <w:lang w:val="es-ES"/>
        </w:rPr>
      </w:pPr>
      <w:r w:rsidRPr="009B76F9">
        <w:rPr>
          <w:rFonts w:ascii="Century Gothic" w:hAnsi="Century Gothic"/>
          <w:b/>
          <w:lang w:val="es-ES"/>
        </w:rPr>
        <w:t>LA</w:t>
      </w:r>
      <w:r w:rsidRPr="00CF48DB">
        <w:rPr>
          <w:rFonts w:ascii="Century Gothic" w:hAnsi="Century Gothic"/>
          <w:b/>
          <w:lang w:val="es-ES"/>
        </w:rPr>
        <w:fldChar w:fldCharType="begin"/>
      </w:r>
      <w:r w:rsidRPr="009B76F9">
        <w:rPr>
          <w:rFonts w:ascii="Century Gothic" w:hAnsi="Century Gothic"/>
          <w:b/>
          <w:lang w:val="es-ES"/>
        </w:rPr>
        <w:instrText xml:space="preserve"> AUTONUM  </w:instrText>
      </w:r>
      <w:r w:rsidRPr="00CF48DB">
        <w:rPr>
          <w:rFonts w:ascii="Century Gothic" w:hAnsi="Century Gothic"/>
          <w:b/>
          <w:lang w:val="es-ES"/>
        </w:rPr>
        <w:fldChar w:fldCharType="end"/>
      </w:r>
      <w:r w:rsidRPr="009B76F9">
        <w:rPr>
          <w:rFonts w:ascii="Century Gothic" w:hAnsi="Century Gothic"/>
          <w:b/>
          <w:lang w:val="es-ES"/>
        </w:rPr>
        <w:t xml:space="preserve"> Impulsar la responsabilidad social empresarial. </w:t>
      </w:r>
      <w:r w:rsidRPr="009B76F9">
        <w:rPr>
          <w:rFonts w:ascii="Century Gothic" w:hAnsi="Century Gothic"/>
          <w:lang w:val="es-ES"/>
        </w:rPr>
        <w:t>Elevar el grado de implantación de la Responsabilidad Social en las empresas, como un conjunto de compromisos de orden económico, social y medioambiental adoptados de forma</w:t>
      </w:r>
      <w:r w:rsidRPr="0001640B">
        <w:rPr>
          <w:rFonts w:ascii="Century Gothic" w:hAnsi="Century Gothic"/>
          <w:lang w:val="es-ES"/>
        </w:rPr>
        <w:t xml:space="preserve"> voluntaria por las empresas y que constituyen un valor añadido al cumplimiento de sus obligaciones </w:t>
      </w:r>
      <w:r w:rsidRPr="000F1106">
        <w:rPr>
          <w:rFonts w:ascii="Century Gothic" w:hAnsi="Century Gothic"/>
          <w:lang w:val="es-ES"/>
        </w:rPr>
        <w:t>legales</w:t>
      </w:r>
      <w:r>
        <w:rPr>
          <w:rFonts w:ascii="Century Gothic" w:hAnsi="Century Gothic"/>
          <w:lang w:val="es-ES"/>
        </w:rPr>
        <w:t xml:space="preserve">, avanzando en un tipo de empresa </w:t>
      </w:r>
      <w:r w:rsidRPr="009B76F9">
        <w:rPr>
          <w:rFonts w:ascii="Century Gothic" w:hAnsi="Century Gothic"/>
          <w:lang w:val="es-ES"/>
        </w:rPr>
        <w:t>que genera empleo de calidad y apuesta por la formación permanente, la conciliación de la vida personal, familiar y laboral, y la igualdad de oportunidades entre hombres y mujeres</w:t>
      </w:r>
      <w:r w:rsidR="00906772">
        <w:rPr>
          <w:rFonts w:ascii="Century Gothic" w:hAnsi="Century Gothic"/>
          <w:lang w:val="es-ES"/>
        </w:rPr>
        <w:t>, entre otros aspectos</w:t>
      </w:r>
      <w:r w:rsidRPr="009B76F9">
        <w:rPr>
          <w:rFonts w:ascii="Century Gothic" w:hAnsi="Century Gothic"/>
          <w:lang w:val="es-ES"/>
        </w:rPr>
        <w:t>.</w:t>
      </w:r>
      <w:r w:rsidR="004973A5">
        <w:rPr>
          <w:rFonts w:ascii="Century Gothic" w:hAnsi="Century Gothic"/>
          <w:lang w:val="es-ES"/>
        </w:rPr>
        <w:t xml:space="preserve"> </w:t>
      </w:r>
    </w:p>
    <w:p w14:paraId="2A874E53" w14:textId="3371DA82" w:rsidR="00E14754" w:rsidRPr="000F1FC8" w:rsidRDefault="00E14754" w:rsidP="000F1FC8">
      <w:pPr>
        <w:pStyle w:val="Ttulo2"/>
        <w:keepLines/>
        <w:numPr>
          <w:ilvl w:val="1"/>
          <w:numId w:val="28"/>
        </w:numPr>
        <w:spacing w:after="120" w:line="276" w:lineRule="auto"/>
        <w:rPr>
          <w:rFonts w:cs="Arial"/>
          <w:color w:val="003399"/>
          <w:sz w:val="24"/>
          <w:lang w:val="es-ES"/>
        </w:rPr>
      </w:pPr>
      <w:bookmarkStart w:id="47" w:name="_Toc527630344"/>
      <w:r w:rsidRPr="000F1FC8">
        <w:rPr>
          <w:rFonts w:cs="Arial"/>
          <w:color w:val="003399"/>
          <w:sz w:val="24"/>
          <w:lang w:val="es-ES"/>
        </w:rPr>
        <w:t>Marco regulatorio</w:t>
      </w:r>
      <w:bookmarkEnd w:id="47"/>
    </w:p>
    <w:p w14:paraId="23D496A1" w14:textId="77777777" w:rsidR="00F2152C" w:rsidRDefault="00F2152C" w:rsidP="00F2152C">
      <w:pPr>
        <w:pStyle w:val="Ttulo3"/>
      </w:pPr>
      <w:bookmarkStart w:id="48" w:name="_Toc527630345"/>
      <w:r>
        <w:t>Marco conceptual y diagnóstico</w:t>
      </w:r>
      <w:bookmarkEnd w:id="48"/>
    </w:p>
    <w:p w14:paraId="2DA3551D" w14:textId="4EF04E32" w:rsidR="00F2152C" w:rsidRDefault="008D3471" w:rsidP="00E14754">
      <w:pPr>
        <w:pStyle w:val="Body"/>
      </w:pPr>
      <w:r w:rsidRPr="008D3471">
        <w:t>En aras de log</w:t>
      </w:r>
      <w:r w:rsidR="003C0CB7">
        <w:t>r</w:t>
      </w:r>
      <w:r w:rsidRPr="008D3471">
        <w:t>ar el buen funcionamiento de los mercados y para que las PYME puedan desarrollar su actividad de manera eficiente</w:t>
      </w:r>
      <w:r>
        <w:t xml:space="preserve"> y puedan crecer</w:t>
      </w:r>
      <w:r w:rsidRPr="008D3471">
        <w:t xml:space="preserve">, es necesario establecer un </w:t>
      </w:r>
      <w:r w:rsidRPr="008D3471">
        <w:lastRenderedPageBreak/>
        <w:t>marco regulador con un elevado grado de calidad que garantice</w:t>
      </w:r>
      <w:r>
        <w:t xml:space="preserve"> </w:t>
      </w:r>
      <w:r w:rsidRPr="008D3471">
        <w:t xml:space="preserve">la seguridad jurídica, </w:t>
      </w:r>
      <w:r w:rsidR="00386811">
        <w:t>el principio</w:t>
      </w:r>
      <w:r w:rsidR="0016041F">
        <w:t xml:space="preserve"> de</w:t>
      </w:r>
      <w:r w:rsidR="00386811">
        <w:t xml:space="preserve"> solo una vez</w:t>
      </w:r>
      <w:r w:rsidRPr="008D3471">
        <w:t>, la defensa de la competencia y la simplificación administrativa.</w:t>
      </w:r>
      <w:r>
        <w:t xml:space="preserve"> </w:t>
      </w:r>
    </w:p>
    <w:p w14:paraId="1E7C1D12" w14:textId="77777777" w:rsidR="001B5505" w:rsidRPr="008D3471" w:rsidRDefault="001B5505" w:rsidP="001B5505">
      <w:pPr>
        <w:pStyle w:val="Body"/>
        <w:rPr>
          <w:rFonts w:cs="Arial"/>
        </w:rPr>
      </w:pPr>
      <w:r w:rsidRPr="008D3471">
        <w:rPr>
          <w:rFonts w:cs="Arial"/>
          <w:noProof/>
          <w:lang w:eastAsia="es-ES"/>
        </w:rPr>
        <w:t>Es evidente que son pocas</w:t>
      </w:r>
      <w:r w:rsidRPr="008D3471">
        <w:rPr>
          <w:rFonts w:cs="Arial"/>
        </w:rPr>
        <w:t xml:space="preserve"> las empresas que experimentan un crecimiento orgánico que les permita atravesar la frontera de los 10 empleados, y menos aun las que superan los 50 o 250 asalariados.</w:t>
      </w:r>
    </w:p>
    <w:p w14:paraId="7F80F603" w14:textId="2BCA0FFA" w:rsidR="008D3471" w:rsidRPr="00C67258" w:rsidRDefault="00E14754" w:rsidP="008D3471">
      <w:pPr>
        <w:pStyle w:val="Body"/>
      </w:pPr>
      <w:r w:rsidRPr="008D3471">
        <w:t xml:space="preserve">La política de PYME debe garantizar el desarrollo de un marco regulatorio </w:t>
      </w:r>
      <w:r>
        <w:t>que contribuya a la remoción de trabas para el crecimiento y la consolidación de las empresas.</w:t>
      </w:r>
      <w:r w:rsidR="00E61E7D">
        <w:t xml:space="preserve"> Como ya se ha puesto en evidencia, </w:t>
      </w:r>
      <w:r w:rsidR="00E61E7D">
        <w:rPr>
          <w:rFonts w:cs="Arial"/>
        </w:rPr>
        <w:t xml:space="preserve">es </w:t>
      </w:r>
      <w:r w:rsidR="008D3471">
        <w:rPr>
          <w:rFonts w:cs="Arial"/>
        </w:rPr>
        <w:t xml:space="preserve">muy relevante el </w:t>
      </w:r>
      <w:r w:rsidR="00E61E7D">
        <w:rPr>
          <w:rFonts w:cs="Arial"/>
        </w:rPr>
        <w:t xml:space="preserve">elevado </w:t>
      </w:r>
      <w:r w:rsidR="008D3471">
        <w:rPr>
          <w:rFonts w:cs="Arial"/>
        </w:rPr>
        <w:t>número de microempresas que tiene España. Del total de PYME sólo el 1,8</w:t>
      </w:r>
      <w:r w:rsidR="008D3471" w:rsidRPr="002227E7">
        <w:rPr>
          <w:rFonts w:cs="Arial"/>
        </w:rPr>
        <w:t>% tienen más de 50 empleados</w:t>
      </w:r>
      <w:r w:rsidR="006E08FD">
        <w:rPr>
          <w:rFonts w:cs="Arial"/>
        </w:rPr>
        <w:t xml:space="preserve"> (</w:t>
      </w:r>
      <w:r w:rsidR="003D66B1">
        <w:rPr>
          <w:rFonts w:cs="Arial"/>
        </w:rPr>
        <w:t xml:space="preserve">0,82% si contamos el total de empresas; </w:t>
      </w:r>
      <w:r w:rsidR="006E08FD">
        <w:rPr>
          <w:rFonts w:cs="Arial"/>
        </w:rPr>
        <w:t xml:space="preserve">véase el </w:t>
      </w:r>
      <w:r w:rsidR="00D64E44">
        <w:rPr>
          <w:rFonts w:cs="Arial"/>
          <w:highlight w:val="yellow"/>
        </w:rPr>
        <w:t xml:space="preserve">gráfico </w:t>
      </w:r>
      <w:r w:rsidR="00244B12">
        <w:rPr>
          <w:rFonts w:cs="Arial"/>
        </w:rPr>
        <w:t>1</w:t>
      </w:r>
      <w:r w:rsidR="00AC651F">
        <w:rPr>
          <w:rFonts w:cs="Arial"/>
        </w:rPr>
        <w:t>2</w:t>
      </w:r>
      <w:r w:rsidR="006E08FD">
        <w:rPr>
          <w:rFonts w:cs="Arial"/>
        </w:rPr>
        <w:t>)</w:t>
      </w:r>
      <w:r w:rsidR="008D3471" w:rsidRPr="002227E7">
        <w:rPr>
          <w:rFonts w:cs="Arial"/>
        </w:rPr>
        <w:t>.</w:t>
      </w:r>
      <w:r w:rsidR="008D3471">
        <w:rPr>
          <w:rFonts w:cs="Arial"/>
        </w:rPr>
        <w:t xml:space="preserve"> </w:t>
      </w:r>
    </w:p>
    <w:tbl>
      <w:tblPr>
        <w:tblStyle w:val="Listamedia2"/>
        <w:tblW w:w="4760" w:type="pct"/>
        <w:jc w:val="center"/>
        <w:tblBorders>
          <w:top w:val="none" w:sz="0" w:space="0" w:color="auto"/>
          <w:left w:val="none" w:sz="0" w:space="0" w:color="auto"/>
          <w:bottom w:val="none" w:sz="0" w:space="0" w:color="auto"/>
          <w:right w:val="none" w:sz="0" w:space="0" w:color="auto"/>
        </w:tblBorders>
        <w:tblCellMar>
          <w:top w:w="108" w:type="dxa"/>
          <w:bottom w:w="108" w:type="dxa"/>
        </w:tblCellMar>
        <w:tblLook w:val="04A0" w:firstRow="1" w:lastRow="0" w:firstColumn="1" w:lastColumn="0" w:noHBand="0" w:noVBand="1"/>
      </w:tblPr>
      <w:tblGrid>
        <w:gridCol w:w="8636"/>
      </w:tblGrid>
      <w:tr w:rsidR="008D3471" w:rsidRPr="007916CD" w14:paraId="49AF9EC9" w14:textId="77777777" w:rsidTr="00AB71FE">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116ACFB9" w14:textId="59FAFFD0" w:rsidR="008D3471" w:rsidRPr="008B6C6C" w:rsidRDefault="008D3471" w:rsidP="00636298">
            <w:pPr>
              <w:pStyle w:val="Descripcin1"/>
              <w:jc w:val="center"/>
              <w:rPr>
                <w:b w:val="0"/>
              </w:rPr>
            </w:pPr>
            <w:bookmarkStart w:id="49" w:name="_Toc526942120"/>
            <w:r w:rsidRPr="008B6C6C">
              <w:rPr>
                <w:b w:val="0"/>
              </w:rPr>
              <w:t xml:space="preserve">Gráfico </w:t>
            </w:r>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12</w:t>
            </w:r>
            <w:r w:rsidRPr="008B6C6C">
              <w:rPr>
                <w:b w:val="0"/>
              </w:rPr>
              <w:fldChar w:fldCharType="end"/>
            </w:r>
            <w:r w:rsidRPr="008B6C6C">
              <w:rPr>
                <w:b w:val="0"/>
              </w:rPr>
              <w:t xml:space="preserve">. </w:t>
            </w:r>
            <w:r w:rsidR="00636298">
              <w:rPr>
                <w:b w:val="0"/>
              </w:rPr>
              <w:t>Distribución de empresas por tamaño</w:t>
            </w:r>
            <w:bookmarkEnd w:id="49"/>
          </w:p>
        </w:tc>
      </w:tr>
      <w:tr w:rsidR="008D3471" w:rsidRPr="0036597B" w14:paraId="3CE12997" w14:textId="77777777" w:rsidTr="00AB71FE">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716B4FCC" w14:textId="0F784DBB" w:rsidR="008D3471" w:rsidRPr="0036597B" w:rsidRDefault="003D66B1" w:rsidP="00A2234F">
            <w:pPr>
              <w:contextualSpacing/>
              <w:jc w:val="center"/>
              <w:rPr>
                <w:rFonts w:ascii="Century Gothic" w:hAnsi="Century Gothic" w:cs="Arial"/>
                <w:color w:val="000000"/>
                <w:sz w:val="18"/>
                <w:szCs w:val="18"/>
                <w:lang w:val="es-ES_tradnl"/>
              </w:rPr>
            </w:pPr>
            <w:r>
              <w:rPr>
                <w:noProof/>
                <w:lang w:val="es-ES" w:eastAsia="es-ES"/>
              </w:rPr>
              <w:drawing>
                <wp:inline distT="0" distB="0" distL="0" distR="0" wp14:anchorId="154AB63C" wp14:editId="38B195E6">
                  <wp:extent cx="3260752" cy="2541201"/>
                  <wp:effectExtent l="0" t="0" r="0" b="0"/>
                  <wp:docPr id="1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37"/>
                          <a:srcRect l="23597" t="1733" r="22596" b="1594"/>
                          <a:stretch/>
                        </pic:blipFill>
                        <pic:spPr>
                          <a:xfrm>
                            <a:off x="0" y="0"/>
                            <a:ext cx="3266278" cy="2545508"/>
                          </a:xfrm>
                          <a:prstGeom prst="rect">
                            <a:avLst/>
                          </a:prstGeom>
                        </pic:spPr>
                      </pic:pic>
                    </a:graphicData>
                  </a:graphic>
                </wp:inline>
              </w:drawing>
            </w:r>
          </w:p>
        </w:tc>
      </w:tr>
      <w:tr w:rsidR="008D3471" w:rsidRPr="007916CD" w14:paraId="57CDDD03" w14:textId="77777777" w:rsidTr="00AB71FE">
        <w:trPr>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left w:val="none" w:sz="0" w:space="0" w:color="auto"/>
              <w:bottom w:val="none" w:sz="0" w:space="0" w:color="auto"/>
              <w:right w:val="none" w:sz="0" w:space="0" w:color="auto"/>
            </w:tcBorders>
            <w:shd w:val="clear" w:color="auto" w:fill="auto"/>
            <w:vAlign w:val="center"/>
          </w:tcPr>
          <w:p w14:paraId="25054FA9" w14:textId="1B296AE8" w:rsidR="008D3471" w:rsidRPr="0036597B" w:rsidRDefault="008D3471" w:rsidP="00D333F8">
            <w:pPr>
              <w:contextualSpacing/>
              <w:rPr>
                <w:rFonts w:ascii="Century Gothic" w:hAnsi="Century Gothic" w:cs="Arial"/>
                <w:color w:val="000000"/>
                <w:sz w:val="18"/>
                <w:szCs w:val="18"/>
                <w:lang w:val="es-ES_tradnl"/>
              </w:rPr>
            </w:pPr>
            <w:r w:rsidRPr="0036597B">
              <w:rPr>
                <w:rFonts w:ascii="Century Gothic" w:hAnsi="Century Gothic" w:cs="Arial"/>
                <w:i/>
                <w:sz w:val="16"/>
                <w:szCs w:val="18"/>
                <w:lang w:val="es-ES_tradnl" w:eastAsia="en-GB"/>
              </w:rPr>
              <w:t>Fuente: elaboración</w:t>
            </w:r>
            <w:r>
              <w:rPr>
                <w:rFonts w:ascii="Century Gothic" w:hAnsi="Century Gothic" w:cs="Arial"/>
                <w:i/>
                <w:sz w:val="16"/>
                <w:szCs w:val="18"/>
                <w:lang w:val="es-ES_tradnl" w:eastAsia="en-GB"/>
              </w:rPr>
              <w:t xml:space="preserve"> </w:t>
            </w:r>
            <w:r w:rsidRPr="0036597B">
              <w:rPr>
                <w:rFonts w:ascii="Century Gothic" w:hAnsi="Century Gothic" w:cs="Arial"/>
                <w:i/>
                <w:sz w:val="16"/>
                <w:szCs w:val="18"/>
                <w:lang w:val="es-ES_tradnl" w:eastAsia="en-GB"/>
              </w:rPr>
              <w:t>propia a partir de</w:t>
            </w:r>
            <w:r w:rsidR="00636298">
              <w:rPr>
                <w:rFonts w:ascii="Century Gothic" w:hAnsi="Century Gothic" w:cs="Arial"/>
                <w:i/>
                <w:sz w:val="16"/>
                <w:szCs w:val="18"/>
                <w:lang w:val="es-ES_tradnl" w:eastAsia="en-GB"/>
              </w:rPr>
              <w:t>l Ministerio de Empleo y Seguridad Social (</w:t>
            </w:r>
            <w:r w:rsidR="00D333F8">
              <w:rPr>
                <w:rFonts w:ascii="Century Gothic" w:hAnsi="Century Gothic" w:cs="Arial"/>
                <w:i/>
                <w:sz w:val="16"/>
                <w:szCs w:val="18"/>
                <w:lang w:val="es-ES_tradnl" w:eastAsia="en-GB"/>
              </w:rPr>
              <w:t xml:space="preserve">1 de febrero </w:t>
            </w:r>
            <w:r w:rsidR="00636298">
              <w:rPr>
                <w:rFonts w:ascii="Century Gothic" w:hAnsi="Century Gothic" w:cs="Arial"/>
                <w:i/>
                <w:sz w:val="16"/>
                <w:szCs w:val="18"/>
                <w:lang w:val="es-ES_tradnl" w:eastAsia="en-GB"/>
              </w:rPr>
              <w:t>de 201</w:t>
            </w:r>
            <w:r w:rsidR="00D333F8">
              <w:rPr>
                <w:rFonts w:ascii="Century Gothic" w:hAnsi="Century Gothic" w:cs="Arial"/>
                <w:i/>
                <w:sz w:val="16"/>
                <w:szCs w:val="18"/>
                <w:lang w:val="es-ES_tradnl" w:eastAsia="en-GB"/>
              </w:rPr>
              <w:t>8</w:t>
            </w:r>
            <w:r w:rsidR="00636298">
              <w:rPr>
                <w:rFonts w:ascii="Century Gothic" w:hAnsi="Century Gothic" w:cs="Arial"/>
                <w:i/>
                <w:sz w:val="16"/>
                <w:szCs w:val="18"/>
                <w:lang w:val="es-ES_tradnl" w:eastAsia="en-GB"/>
              </w:rPr>
              <w:t>)</w:t>
            </w:r>
          </w:p>
        </w:tc>
      </w:tr>
    </w:tbl>
    <w:p w14:paraId="0FA49508" w14:textId="77777777" w:rsidR="008D3471" w:rsidRDefault="008D3471" w:rsidP="00AC14DE">
      <w:pPr>
        <w:pStyle w:val="Body"/>
        <w:tabs>
          <w:tab w:val="center" w:pos="4535"/>
          <w:tab w:val="left" w:pos="8121"/>
        </w:tabs>
        <w:spacing w:after="0"/>
        <w:jc w:val="left"/>
        <w:rPr>
          <w:rFonts w:cs="Arial"/>
        </w:rPr>
      </w:pPr>
      <w:r>
        <w:rPr>
          <w:rFonts w:cs="Arial"/>
        </w:rPr>
        <w:tab/>
      </w:r>
    </w:p>
    <w:p w14:paraId="7804040D" w14:textId="44C50338" w:rsidR="008D3471" w:rsidRPr="008B6C6C" w:rsidRDefault="00E61E7D" w:rsidP="00AC651F">
      <w:pPr>
        <w:pStyle w:val="Body"/>
        <w:rPr>
          <w:b/>
        </w:rPr>
      </w:pPr>
      <w:r>
        <w:rPr>
          <w:rFonts w:cs="Arial"/>
        </w:rPr>
        <w:t>S</w:t>
      </w:r>
      <w:r w:rsidR="008D3471">
        <w:rPr>
          <w:rFonts w:cs="Arial"/>
        </w:rPr>
        <w:t xml:space="preserve">i bien nuestra proporción de PYME sobre el total de empresas es similar </w:t>
      </w:r>
      <w:r w:rsidR="00BB6C80">
        <w:rPr>
          <w:rFonts w:cs="Arial"/>
        </w:rPr>
        <w:t>en comparación con la Unión Europea</w:t>
      </w:r>
      <w:r w:rsidR="00BB6C80" w:rsidRPr="0095784D">
        <w:rPr>
          <w:rStyle w:val="Refdenotaalpie"/>
          <w:rFonts w:cs="Arial"/>
          <w:color w:val="000000"/>
        </w:rPr>
        <w:footnoteReference w:id="32"/>
      </w:r>
      <w:r w:rsidR="00BB6C80">
        <w:rPr>
          <w:rFonts w:cs="Arial"/>
        </w:rPr>
        <w:t xml:space="preserve"> </w:t>
      </w:r>
      <w:r w:rsidR="008D3471">
        <w:rPr>
          <w:rFonts w:cs="Arial"/>
        </w:rPr>
        <w:t>(99,9% en España, 99,8% en EU28),</w:t>
      </w:r>
      <w:r>
        <w:rPr>
          <w:rFonts w:cs="Arial"/>
        </w:rPr>
        <w:t xml:space="preserve"> </w:t>
      </w:r>
      <w:r w:rsidR="008D3471">
        <w:rPr>
          <w:rFonts w:cs="Arial"/>
        </w:rPr>
        <w:t>en España las microempresas tienen un mayor peso que en nuestro entorno europeo</w:t>
      </w:r>
      <w:r w:rsidR="0085074D">
        <w:rPr>
          <w:rFonts w:cs="Arial"/>
        </w:rPr>
        <w:t xml:space="preserve"> (94,9% frente al 93%)</w:t>
      </w:r>
      <w:r w:rsidR="008D3471">
        <w:rPr>
          <w:rFonts w:cs="Arial"/>
        </w:rPr>
        <w:t xml:space="preserve">. En términos de empleo </w:t>
      </w:r>
      <w:r w:rsidR="00BB6C80">
        <w:rPr>
          <w:rFonts w:cs="Arial"/>
        </w:rPr>
        <w:t xml:space="preserve">empresarial </w:t>
      </w:r>
      <w:r w:rsidR="008D3471">
        <w:rPr>
          <w:rFonts w:cs="Arial"/>
        </w:rPr>
        <w:t xml:space="preserve">es aún más concluyente: las microempresas </w:t>
      </w:r>
      <w:r w:rsidR="004B0615">
        <w:rPr>
          <w:rFonts w:cs="Arial"/>
        </w:rPr>
        <w:t xml:space="preserve">españolas </w:t>
      </w:r>
      <w:r w:rsidR="008D3471">
        <w:rPr>
          <w:rFonts w:cs="Arial"/>
        </w:rPr>
        <w:t>son responsables del 41,</w:t>
      </w:r>
      <w:r w:rsidR="00F32AF5">
        <w:rPr>
          <w:rFonts w:cs="Arial"/>
        </w:rPr>
        <w:t>2</w:t>
      </w:r>
      <w:r w:rsidR="008D3471">
        <w:rPr>
          <w:rFonts w:cs="Arial"/>
        </w:rPr>
        <w:t xml:space="preserve">% del empleo generado, dato </w:t>
      </w:r>
      <w:r w:rsidR="00386811">
        <w:rPr>
          <w:rFonts w:cs="Arial"/>
        </w:rPr>
        <w:t xml:space="preserve">que </w:t>
      </w:r>
      <w:r w:rsidR="008D3471">
        <w:rPr>
          <w:rFonts w:cs="Arial"/>
        </w:rPr>
        <w:t>desciende al 29,</w:t>
      </w:r>
      <w:r w:rsidR="00F32AF5">
        <w:rPr>
          <w:rFonts w:cs="Arial"/>
        </w:rPr>
        <w:t>8</w:t>
      </w:r>
      <w:r w:rsidR="008D3471">
        <w:rPr>
          <w:rFonts w:cs="Arial"/>
        </w:rPr>
        <w:t xml:space="preserve">% </w:t>
      </w:r>
      <w:r w:rsidR="00386811">
        <w:rPr>
          <w:rFonts w:cs="Arial"/>
        </w:rPr>
        <w:t>en</w:t>
      </w:r>
      <w:r w:rsidR="008D3471">
        <w:rPr>
          <w:rFonts w:cs="Arial"/>
        </w:rPr>
        <w:t xml:space="preserve"> Europa</w:t>
      </w:r>
      <w:r w:rsidR="006E08FD">
        <w:rPr>
          <w:rFonts w:cs="Arial"/>
        </w:rPr>
        <w:t xml:space="preserve"> (</w:t>
      </w:r>
      <w:r w:rsidR="006E08FD" w:rsidRPr="009F29F1">
        <w:rPr>
          <w:rFonts w:cs="Arial"/>
          <w:highlight w:val="yellow"/>
        </w:rPr>
        <w:t xml:space="preserve">gráfico </w:t>
      </w:r>
      <w:r w:rsidR="00E40DE4">
        <w:rPr>
          <w:rFonts w:cs="Arial"/>
        </w:rPr>
        <w:t>1</w:t>
      </w:r>
      <w:r w:rsidR="00AC651F">
        <w:rPr>
          <w:rFonts w:cs="Arial"/>
        </w:rPr>
        <w:t>3</w:t>
      </w:r>
      <w:r w:rsidR="006E08FD">
        <w:rPr>
          <w:rFonts w:cs="Arial"/>
        </w:rPr>
        <w:t>)</w:t>
      </w:r>
      <w:r w:rsidR="008D3471">
        <w:rPr>
          <w:rFonts w:cs="Arial"/>
        </w:rPr>
        <w:t>.</w:t>
      </w:r>
    </w:p>
    <w:tbl>
      <w:tblPr>
        <w:tblStyle w:val="Listamedia2"/>
        <w:tblW w:w="5000" w:type="pct"/>
        <w:tblBorders>
          <w:top w:val="none" w:sz="0" w:space="0" w:color="auto"/>
          <w:left w:val="none" w:sz="0" w:space="0" w:color="auto"/>
          <w:bottom w:val="none" w:sz="0" w:space="0" w:color="auto"/>
          <w:right w:val="none" w:sz="0" w:space="0" w:color="auto"/>
        </w:tblBorders>
        <w:tblLayout w:type="fixed"/>
        <w:tblCellMar>
          <w:top w:w="108" w:type="dxa"/>
          <w:bottom w:w="108" w:type="dxa"/>
        </w:tblCellMar>
        <w:tblLook w:val="04A0" w:firstRow="1" w:lastRow="0" w:firstColumn="1" w:lastColumn="0" w:noHBand="0" w:noVBand="1"/>
      </w:tblPr>
      <w:tblGrid>
        <w:gridCol w:w="9071"/>
      </w:tblGrid>
      <w:tr w:rsidR="00DC0F1F" w:rsidRPr="00DC0F1F" w14:paraId="7AC5CBEE" w14:textId="77777777" w:rsidTr="00AC14DE">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2FA8D37A" w14:textId="1F0F8AB5" w:rsidR="00DC0F1F" w:rsidRPr="00DC0F1F" w:rsidRDefault="00DC0F1F" w:rsidP="00DC0F1F">
            <w:pPr>
              <w:pStyle w:val="Descripcin1"/>
              <w:jc w:val="center"/>
              <w:rPr>
                <w:b w:val="0"/>
              </w:rPr>
            </w:pPr>
            <w:bookmarkStart w:id="50" w:name="_Toc526942121"/>
            <w:r w:rsidRPr="00DC0F1F">
              <w:rPr>
                <w:b w:val="0"/>
              </w:rPr>
              <w:lastRenderedPageBreak/>
              <w:t xml:space="preserve">Gráfico </w:t>
            </w:r>
            <w:r w:rsidRPr="00DC0F1F">
              <w:rPr>
                <w:b w:val="0"/>
              </w:rPr>
              <w:fldChar w:fldCharType="begin"/>
            </w:r>
            <w:r w:rsidRPr="00DC0F1F">
              <w:rPr>
                <w:b w:val="0"/>
              </w:rPr>
              <w:instrText xml:space="preserve"> SEQ Gráfico \* ARABIC </w:instrText>
            </w:r>
            <w:r w:rsidRPr="00DC0F1F">
              <w:rPr>
                <w:b w:val="0"/>
              </w:rPr>
              <w:fldChar w:fldCharType="separate"/>
            </w:r>
            <w:r w:rsidR="00764C39">
              <w:rPr>
                <w:b w:val="0"/>
                <w:noProof/>
              </w:rPr>
              <w:t>13</w:t>
            </w:r>
            <w:r w:rsidRPr="00DC0F1F">
              <w:rPr>
                <w:b w:val="0"/>
              </w:rPr>
              <w:fldChar w:fldCharType="end"/>
            </w:r>
            <w:r w:rsidRPr="00DC0F1F">
              <w:rPr>
                <w:b w:val="0"/>
              </w:rPr>
              <w:t>. Comparativa del tejido empresarial en España y en la UE28. Estimaciones para 2016.</w:t>
            </w:r>
            <w:bookmarkEnd w:id="50"/>
          </w:p>
        </w:tc>
      </w:tr>
      <w:tr w:rsidR="009F29F1" w:rsidRPr="0036597B" w14:paraId="533B5F93" w14:textId="43397247" w:rsidTr="00AC14D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0DE1DCFF" w14:textId="20B15D47" w:rsidR="009F29F1" w:rsidRDefault="00194F48" w:rsidP="009F29F1">
            <w:pPr>
              <w:contextualSpacing/>
              <w:jc w:val="left"/>
              <w:rPr>
                <w:rFonts w:ascii="Century Gothic" w:hAnsi="Century Gothic" w:cs="Arial"/>
                <w:noProof/>
                <w:color w:val="000000"/>
                <w:sz w:val="18"/>
                <w:szCs w:val="18"/>
                <w:lang w:val="es-ES" w:eastAsia="es-ES"/>
              </w:rPr>
            </w:pPr>
            <w:r>
              <w:rPr>
                <w:rFonts w:eastAsia="Times New Roman" w:cs="Times New Roman"/>
                <w:color w:val="auto"/>
              </w:rPr>
              <w:object w:dxaOrig="12780" w:dyaOrig="4515" w14:anchorId="433F50EE">
                <v:shape id="_x0000_i1029" type="#_x0000_t75" style="width:453.05pt;height:159.6pt" o:ole="">
                  <v:imagedata r:id="rId38" o:title=""/>
                </v:shape>
                <o:OLEObject Type="Embed" ProgID="PBrush" ShapeID="_x0000_i1029" DrawAspect="Content" ObjectID="_1602306099" r:id="rId39"/>
              </w:object>
            </w:r>
          </w:p>
        </w:tc>
      </w:tr>
      <w:tr w:rsidR="00AC14DE" w:rsidRPr="00AC14DE" w14:paraId="47EA9979" w14:textId="77777777" w:rsidTr="00AC14DE">
        <w:trPr>
          <w:trHeight w:val="250"/>
        </w:trPr>
        <w:tc>
          <w:tcPr>
            <w:cnfStyle w:val="001000000000" w:firstRow="0" w:lastRow="0" w:firstColumn="1" w:lastColumn="0" w:oddVBand="0" w:evenVBand="0" w:oddHBand="0" w:evenHBand="0" w:firstRowFirstColumn="0" w:firstRowLastColumn="0" w:lastRowFirstColumn="0" w:lastRowLastColumn="0"/>
            <w:tcW w:w="5000" w:type="pct"/>
            <w:tcBorders>
              <w:left w:val="none" w:sz="0" w:space="0" w:color="auto"/>
              <w:bottom w:val="none" w:sz="0" w:space="0" w:color="auto"/>
              <w:right w:val="none" w:sz="0" w:space="0" w:color="auto"/>
            </w:tcBorders>
            <w:shd w:val="clear" w:color="auto" w:fill="auto"/>
            <w:vAlign w:val="center"/>
          </w:tcPr>
          <w:p w14:paraId="061AA9A4" w14:textId="173CB20F" w:rsidR="00AC14DE" w:rsidRPr="00AC14DE" w:rsidRDefault="00AC14DE" w:rsidP="00AC14DE">
            <w:pPr>
              <w:contextualSpacing/>
              <w:rPr>
                <w:rFonts w:ascii="Century Gothic" w:hAnsi="Century Gothic" w:cs="Arial"/>
                <w:i/>
                <w:sz w:val="16"/>
                <w:szCs w:val="18"/>
                <w:lang w:val="en-US" w:eastAsia="en-GB"/>
              </w:rPr>
            </w:pPr>
            <w:r w:rsidRPr="00AC14DE">
              <w:rPr>
                <w:rFonts w:ascii="Century Gothic" w:hAnsi="Century Gothic" w:cs="Arial"/>
                <w:i/>
                <w:sz w:val="16"/>
                <w:szCs w:val="18"/>
                <w:lang w:val="en-US" w:eastAsia="en-GB"/>
              </w:rPr>
              <w:t>Fuente: Comisión Europea (2017), SBA Fact Sheet for Spain</w:t>
            </w:r>
          </w:p>
        </w:tc>
      </w:tr>
    </w:tbl>
    <w:p w14:paraId="7CF8D0D9" w14:textId="77777777" w:rsidR="008D3471" w:rsidRPr="001A174C" w:rsidRDefault="008D3471" w:rsidP="008D3471">
      <w:pPr>
        <w:spacing w:after="0"/>
        <w:jc w:val="left"/>
        <w:rPr>
          <w:rFonts w:ascii="Century Gothic" w:hAnsi="Century Gothic"/>
          <w:b/>
          <w:color w:val="003399"/>
          <w:lang w:val="en-US"/>
        </w:rPr>
      </w:pPr>
    </w:p>
    <w:p w14:paraId="70711987" w14:textId="38911D96" w:rsidR="00701EC2" w:rsidRDefault="008D3471" w:rsidP="00E14754">
      <w:pPr>
        <w:pStyle w:val="Body"/>
      </w:pPr>
      <w:r>
        <w:t>Por otro lado, l</w:t>
      </w:r>
      <w:r w:rsidR="00E14754">
        <w:t xml:space="preserve">os datos de registro de empresas sobre la distribución de las empresas en España por </w:t>
      </w:r>
      <w:r w:rsidR="00386811">
        <w:t>número de empleados</w:t>
      </w:r>
      <w:r w:rsidR="00E14754">
        <w:t xml:space="preserve"> promediados en un período de siete años (2006-2013) muestran visibles caídas en el número de empresas cuando alcanzan diez, veinte y cincuenta empleados. </w:t>
      </w:r>
    </w:p>
    <w:p w14:paraId="52606753" w14:textId="40196EAC" w:rsidR="00E14754" w:rsidRPr="00DC0F1F" w:rsidRDefault="00E14754" w:rsidP="00DC0F1F">
      <w:pPr>
        <w:pStyle w:val="Body"/>
      </w:pPr>
      <w:r>
        <w:t>Esta constatación contrasta con la de distribución de las empresas en otros grandes países de la UE para los que se dispone de datos similares. Mientras que en España los datos muestran una clara discontinuidad al llegar a diez, veinte y cincuenta empleados, la distribución de las empresas en Alemania es más regular</w:t>
      </w:r>
      <w:r w:rsidR="006E08FD">
        <w:t xml:space="preserve"> (</w:t>
      </w:r>
      <w:r w:rsidR="006E08FD" w:rsidRPr="006E08FD">
        <w:rPr>
          <w:highlight w:val="yellow"/>
        </w:rPr>
        <w:t xml:space="preserve">gráfico </w:t>
      </w:r>
      <w:r w:rsidR="00E40DE4">
        <w:t>1</w:t>
      </w:r>
      <w:r w:rsidR="00AC651F">
        <w:t>4</w:t>
      </w:r>
      <w:r w:rsidR="006E08FD">
        <w:t>)</w:t>
      </w:r>
      <w:r>
        <w:t xml:space="preserve">. </w:t>
      </w:r>
    </w:p>
    <w:tbl>
      <w:tblPr>
        <w:tblStyle w:val="Listamedia2"/>
        <w:tblW w:w="4876" w:type="pct"/>
        <w:tblCellMar>
          <w:top w:w="108" w:type="dxa"/>
          <w:bottom w:w="108" w:type="dxa"/>
        </w:tblCellMar>
        <w:tblLook w:val="04A0" w:firstRow="1" w:lastRow="0" w:firstColumn="1" w:lastColumn="0" w:noHBand="0" w:noVBand="1"/>
      </w:tblPr>
      <w:tblGrid>
        <w:gridCol w:w="8827"/>
      </w:tblGrid>
      <w:tr w:rsidR="00DC0F1F" w:rsidRPr="007916CD" w14:paraId="33B62668" w14:textId="77777777" w:rsidTr="00DC0F1F">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il"/>
              <w:right w:val="none" w:sz="0" w:space="0" w:color="auto"/>
            </w:tcBorders>
            <w:shd w:val="clear" w:color="auto" w:fill="auto"/>
            <w:vAlign w:val="center"/>
          </w:tcPr>
          <w:p w14:paraId="24CEFC6A" w14:textId="54F50724" w:rsidR="00DC0F1F" w:rsidRPr="00DC0F1F" w:rsidRDefault="00DC0F1F" w:rsidP="00DC0F1F">
            <w:pPr>
              <w:pStyle w:val="Descripcin1"/>
              <w:jc w:val="center"/>
              <w:rPr>
                <w:b w:val="0"/>
              </w:rPr>
            </w:pPr>
            <w:bookmarkStart w:id="51" w:name="_Toc526942122"/>
            <w:r w:rsidRPr="00DC0F1F">
              <w:rPr>
                <w:b w:val="0"/>
              </w:rPr>
              <w:t xml:space="preserve">Gráfico </w:t>
            </w:r>
            <w:r w:rsidRPr="00DC0F1F">
              <w:rPr>
                <w:b w:val="0"/>
              </w:rPr>
              <w:fldChar w:fldCharType="begin"/>
            </w:r>
            <w:r w:rsidRPr="00DC0F1F">
              <w:rPr>
                <w:b w:val="0"/>
              </w:rPr>
              <w:instrText xml:space="preserve"> SEQ Gráfico \* ARABIC </w:instrText>
            </w:r>
            <w:r w:rsidRPr="00DC0F1F">
              <w:rPr>
                <w:b w:val="0"/>
              </w:rPr>
              <w:fldChar w:fldCharType="separate"/>
            </w:r>
            <w:r w:rsidR="00764C39">
              <w:rPr>
                <w:b w:val="0"/>
                <w:noProof/>
              </w:rPr>
              <w:t>14</w:t>
            </w:r>
            <w:r w:rsidRPr="00DC0F1F">
              <w:rPr>
                <w:b w:val="0"/>
              </w:rPr>
              <w:fldChar w:fldCharType="end"/>
            </w:r>
            <w:r w:rsidRPr="00DC0F1F">
              <w:rPr>
                <w:b w:val="0"/>
              </w:rPr>
              <w:t>. Variación porcentual del número de empresas con más de un trabajador en función del número de empleados; tasa de crecimiento anual media en el periodo 2006-2013</w:t>
            </w:r>
            <w:bookmarkEnd w:id="51"/>
          </w:p>
        </w:tc>
      </w:tr>
      <w:tr w:rsidR="00E14754" w:rsidRPr="007C7B55" w14:paraId="69024E47" w14:textId="77777777" w:rsidTr="00DC0F1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il"/>
            </w:tcBorders>
            <w:shd w:val="clear" w:color="auto" w:fill="auto"/>
            <w:vAlign w:val="center"/>
          </w:tcPr>
          <w:p w14:paraId="5768C2B4" w14:textId="77777777" w:rsidR="00E14754" w:rsidRPr="00D64250" w:rsidRDefault="00E14754" w:rsidP="00BF5F60">
            <w:pPr>
              <w:contextualSpacing/>
              <w:jc w:val="center"/>
              <w:rPr>
                <w:rFonts w:ascii="Century Gothic" w:hAnsi="Century Gothic" w:cs="Arial"/>
                <w:b/>
                <w:color w:val="000000"/>
                <w:sz w:val="18"/>
                <w:szCs w:val="18"/>
              </w:rPr>
            </w:pPr>
            <w:r>
              <w:rPr>
                <w:noProof/>
                <w:lang w:val="es-ES" w:eastAsia="es-ES"/>
              </w:rPr>
              <w:drawing>
                <wp:inline distT="0" distB="0" distL="0" distR="0" wp14:anchorId="57AF12DB" wp14:editId="727345CE">
                  <wp:extent cx="4071060" cy="2009553"/>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727" t="25566" r="33434" b="20139"/>
                          <a:stretch/>
                        </pic:blipFill>
                        <pic:spPr bwMode="auto">
                          <a:xfrm>
                            <a:off x="0" y="0"/>
                            <a:ext cx="4071927" cy="2009981"/>
                          </a:xfrm>
                          <a:prstGeom prst="rect">
                            <a:avLst/>
                          </a:prstGeom>
                          <a:ln>
                            <a:noFill/>
                          </a:ln>
                          <a:extLst>
                            <a:ext uri="{53640926-AAD7-44D8-BBD7-CCE9431645EC}">
                              <a14:shadowObscured xmlns:a14="http://schemas.microsoft.com/office/drawing/2010/main"/>
                            </a:ext>
                          </a:extLst>
                        </pic:spPr>
                      </pic:pic>
                    </a:graphicData>
                  </a:graphic>
                </wp:inline>
              </w:drawing>
            </w:r>
          </w:p>
        </w:tc>
      </w:tr>
      <w:tr w:rsidR="00E14754" w:rsidRPr="007916CD" w14:paraId="498689AB" w14:textId="77777777" w:rsidTr="00DC0F1F">
        <w:trPr>
          <w:trHeight w:val="250"/>
        </w:trPr>
        <w:tc>
          <w:tcPr>
            <w:cnfStyle w:val="001000000000" w:firstRow="0" w:lastRow="0" w:firstColumn="1" w:lastColumn="0" w:oddVBand="0" w:evenVBand="0" w:oddHBand="0" w:evenHBand="0" w:firstRowFirstColumn="0" w:firstRowLastColumn="0" w:lastRowFirstColumn="0" w:lastRowLastColumn="0"/>
            <w:tcW w:w="5000" w:type="pct"/>
            <w:tcBorders>
              <w:left w:val="none" w:sz="0" w:space="0" w:color="auto"/>
              <w:bottom w:val="none" w:sz="0" w:space="0" w:color="auto"/>
              <w:right w:val="nil"/>
            </w:tcBorders>
            <w:shd w:val="clear" w:color="auto" w:fill="auto"/>
            <w:vAlign w:val="center"/>
          </w:tcPr>
          <w:p w14:paraId="1881E04C" w14:textId="77777777" w:rsidR="00E14754" w:rsidRPr="00A94290" w:rsidRDefault="00E14754" w:rsidP="00BF5F60">
            <w:pPr>
              <w:contextualSpacing/>
              <w:rPr>
                <w:rFonts w:ascii="Century Gothic" w:hAnsi="Century Gothic" w:cs="Arial"/>
                <w:color w:val="000000"/>
                <w:sz w:val="18"/>
                <w:szCs w:val="18"/>
                <w:lang w:val="es-ES"/>
              </w:rPr>
            </w:pPr>
            <w:r w:rsidRPr="00A94290">
              <w:rPr>
                <w:rFonts w:ascii="Century Gothic" w:hAnsi="Century Gothic" w:cs="Arial"/>
                <w:i/>
                <w:sz w:val="16"/>
                <w:szCs w:val="18"/>
                <w:lang w:val="es-ES" w:eastAsia="en-GB"/>
              </w:rPr>
              <w:t xml:space="preserve">Fuente: </w:t>
            </w:r>
            <w:r w:rsidRPr="006F4534">
              <w:rPr>
                <w:rFonts w:ascii="Century Gothic" w:hAnsi="Century Gothic" w:cs="Arial"/>
                <w:i/>
                <w:sz w:val="16"/>
                <w:szCs w:val="18"/>
                <w:lang w:val="es-ES" w:eastAsia="en-GB"/>
              </w:rPr>
              <w:t>Comisión Europea (2016), Semestre Europeo - Informe sobre España 2016</w:t>
            </w:r>
          </w:p>
        </w:tc>
      </w:tr>
    </w:tbl>
    <w:p w14:paraId="495C3897" w14:textId="77777777" w:rsidR="00E14754" w:rsidRDefault="00E14754" w:rsidP="00DC0F1F">
      <w:pPr>
        <w:pStyle w:val="Body"/>
        <w:spacing w:after="0"/>
      </w:pPr>
    </w:p>
    <w:p w14:paraId="19432191" w14:textId="70BD43E8" w:rsidR="00930202" w:rsidRDefault="00E14754" w:rsidP="00E14754">
      <w:pPr>
        <w:pStyle w:val="Body"/>
      </w:pPr>
      <w:r>
        <w:t>Estos umbrales también aplican al volumen de facturación y no sólo al número de trabajadores. Son muchas las empresas españolas que se sitúan por debajo del umbral de 6 millones EUR</w:t>
      </w:r>
      <w:r w:rsidR="00BD1DE7">
        <w:t xml:space="preserve"> por lo que</w:t>
      </w:r>
      <w:r>
        <w:t xml:space="preserve"> cabe cuestionar</w:t>
      </w:r>
      <w:r w:rsidR="00BD1DE7">
        <w:t>se</w:t>
      </w:r>
      <w:r>
        <w:t xml:space="preserve"> si es con el fin de evitar una aplicación más estricta </w:t>
      </w:r>
      <w:r>
        <w:lastRenderedPageBreak/>
        <w:t>de la normativa tributaria</w:t>
      </w:r>
      <w:r>
        <w:rPr>
          <w:rStyle w:val="Refdenotaalpie"/>
        </w:rPr>
        <w:footnoteReference w:id="33"/>
      </w:r>
      <w:r w:rsidR="00BD1DE7">
        <w:t xml:space="preserve"> o por otras dificultades</w:t>
      </w:r>
      <w:r>
        <w:t>.</w:t>
      </w:r>
      <w:r w:rsidR="00930202">
        <w:t xml:space="preserve"> </w:t>
      </w:r>
      <w:r w:rsidRPr="00982423">
        <w:t>E</w:t>
      </w:r>
      <w:r w:rsidR="00BD1DE7">
        <w:t>n general, e</w:t>
      </w:r>
      <w:r w:rsidRPr="00982423">
        <w:t xml:space="preserve">stas caídas se asocian con los umbrales que establece la legislación española con respecto a las distintas obligaciones que tienen que hacer frente las empresas en función de su tamaño. </w:t>
      </w:r>
    </w:p>
    <w:p w14:paraId="2A96052C" w14:textId="201636E3" w:rsidR="00E14754" w:rsidRPr="00651CCB" w:rsidRDefault="00E14754" w:rsidP="00E14754">
      <w:pPr>
        <w:pStyle w:val="Body"/>
      </w:pPr>
      <w:r w:rsidRPr="00982423">
        <w:t>En sus últimos informes sobre los desequilibrios macroeconómicos en España, la Comisión Europea</w:t>
      </w:r>
      <w:r w:rsidRPr="00982423">
        <w:rPr>
          <w:rStyle w:val="Refdenotaalpie"/>
          <w:rFonts w:cs="Arial"/>
        </w:rPr>
        <w:footnoteReference w:id="34"/>
      </w:r>
      <w:r w:rsidRPr="00982423">
        <w:t xml:space="preserve"> ha recopilado estos umbrales regulatorios específicos definidos en términos de número de empleados y/o umbrales monetarios, poniendo el foco en las empresas de menos de 51 empleados y con un volumen de negocios </w:t>
      </w:r>
      <w:r>
        <w:t xml:space="preserve">de menos de 10 millones de EUR </w:t>
      </w:r>
      <w:r w:rsidRPr="00651CCB">
        <w:t xml:space="preserve">(ver tabla en </w:t>
      </w:r>
      <w:r w:rsidR="00DF01EB">
        <w:t>a</w:t>
      </w:r>
      <w:r w:rsidRPr="00651CCB">
        <w:t xml:space="preserve">nexo </w:t>
      </w:r>
      <w:r w:rsidR="00DF01EB">
        <w:t>I</w:t>
      </w:r>
      <w:r w:rsidR="00D72B74" w:rsidRPr="00651CCB">
        <w:t>II</w:t>
      </w:r>
      <w:r w:rsidRPr="00651CCB">
        <w:t>).</w:t>
      </w:r>
      <w:bookmarkStart w:id="52" w:name="_Toc484178494"/>
    </w:p>
    <w:p w14:paraId="00550B27" w14:textId="1A4D954E" w:rsidR="0085074D" w:rsidRPr="00651CCB" w:rsidRDefault="0085074D" w:rsidP="0049409F">
      <w:pPr>
        <w:pStyle w:val="Body"/>
      </w:pPr>
      <w:r w:rsidRPr="00651CCB">
        <w:t xml:space="preserve">Efectivamente, </w:t>
      </w:r>
      <w:r w:rsidR="00EA5ACC" w:rsidRPr="00651CCB">
        <w:t xml:space="preserve">entre </w:t>
      </w:r>
      <w:r w:rsidRPr="00651CCB">
        <w:t>los factores que más influyen en el crecimiento y el tamaño de las empresas está</w:t>
      </w:r>
      <w:r w:rsidR="00EA5ACC" w:rsidRPr="00651CCB">
        <w:t xml:space="preserve"> la </w:t>
      </w:r>
      <w:r w:rsidRPr="00651CCB">
        <w:t>regula</w:t>
      </w:r>
      <w:r w:rsidR="00EA5ACC" w:rsidRPr="00651CCB">
        <w:t>ción administrativa</w:t>
      </w:r>
      <w:r w:rsidRPr="00651CCB">
        <w:t>.</w:t>
      </w:r>
      <w:r w:rsidR="00EA5ACC" w:rsidRPr="00651CCB">
        <w:t xml:space="preserve"> A pesar de los avances realizados en España, </w:t>
      </w:r>
      <w:r w:rsidR="00212E36" w:rsidRPr="00651CCB">
        <w:t xml:space="preserve">aún sigue habiendo </w:t>
      </w:r>
      <w:r w:rsidR="0049409F" w:rsidRPr="00651CCB">
        <w:t>una enorme complejidad administrativa previa a la expedición de licencias urbanísticas, medioambientales, sanitarias, etc.</w:t>
      </w:r>
      <w:r w:rsidR="0049409F" w:rsidRPr="00651CCB">
        <w:rPr>
          <w:rStyle w:val="Refdenotaalpie"/>
        </w:rPr>
        <w:footnoteReference w:id="35"/>
      </w:r>
      <w:r w:rsidR="0049409F" w:rsidRPr="00651CCB">
        <w:t>.</w:t>
      </w:r>
    </w:p>
    <w:p w14:paraId="18E18B42" w14:textId="3CFBA795" w:rsidR="0049409F" w:rsidRPr="00651CCB" w:rsidRDefault="0049409F" w:rsidP="0049409F">
      <w:pPr>
        <w:pStyle w:val="Body"/>
      </w:pPr>
      <w:r w:rsidRPr="00651CCB">
        <w:t>Según los datos de la Confederación Española de Organizaciones Empresariales (CEOE), en el año 201</w:t>
      </w:r>
      <w:r w:rsidR="00EE6493" w:rsidRPr="00651CCB">
        <w:t>7</w:t>
      </w:r>
      <w:r w:rsidRPr="00651CCB">
        <w:t xml:space="preserve"> los parlamentos autonómicos y el nacional </w:t>
      </w:r>
      <w:r w:rsidR="00EE6493" w:rsidRPr="00651CCB">
        <w:t xml:space="preserve">aprobaron un total de 770 </w:t>
      </w:r>
      <w:r w:rsidRPr="00651CCB">
        <w:t>nuevas leyes, normas y reglamentos</w:t>
      </w:r>
      <w:r w:rsidR="00EE6493" w:rsidRPr="00651CCB">
        <w:t xml:space="preserve"> (</w:t>
      </w:r>
      <w:r w:rsidR="00651CCB" w:rsidRPr="00651CCB">
        <w:t xml:space="preserve">lo que supuso la publicación de </w:t>
      </w:r>
      <w:r w:rsidR="00EE6493" w:rsidRPr="00651CCB">
        <w:t>954.568 páginas en los distintos boletines oficiales)</w:t>
      </w:r>
      <w:r w:rsidRPr="00651CCB">
        <w:t>,</w:t>
      </w:r>
      <w:r w:rsidR="00EE6493" w:rsidRPr="00651CCB">
        <w:t xml:space="preserve"> a los que hay que sumar los 1.950</w:t>
      </w:r>
      <w:r w:rsidRPr="00651CCB">
        <w:t xml:space="preserve"> actos legislativos de la Unión Europea</w:t>
      </w:r>
      <w:r w:rsidR="00EE6493" w:rsidRPr="00651CCB">
        <w:t xml:space="preserve"> (1.105 reglamentos, 32 directivas y 783 decisiones)</w:t>
      </w:r>
      <w:r w:rsidR="00EE6493" w:rsidRPr="00651CCB">
        <w:rPr>
          <w:rStyle w:val="Refdenotaalpie"/>
        </w:rPr>
        <w:footnoteReference w:id="36"/>
      </w:r>
      <w:r w:rsidR="00651CCB" w:rsidRPr="00651CCB">
        <w:t>, sin contar la regulación proveniente de</w:t>
      </w:r>
      <w:r w:rsidRPr="00651CCB">
        <w:t xml:space="preserve"> los Ayuntamientos (recordar que en España hay 8.124 municipios).</w:t>
      </w:r>
    </w:p>
    <w:p w14:paraId="6F6F5FE6" w14:textId="74631572" w:rsidR="0049409F" w:rsidRDefault="0049409F" w:rsidP="00732AA6">
      <w:pPr>
        <w:pStyle w:val="Body"/>
      </w:pPr>
      <w:r w:rsidRPr="00651CCB">
        <w:t xml:space="preserve">De acuerdo </w:t>
      </w:r>
      <w:r w:rsidR="00732AA6" w:rsidRPr="00651CCB">
        <w:t>con el Global Competitiveness Report 2017-2018</w:t>
      </w:r>
      <w:r w:rsidRPr="00651CCB">
        <w:t xml:space="preserve">, elaborado por el Foro Económico Mundial, nuestro país ocupa la posición </w:t>
      </w:r>
      <w:r w:rsidR="00732AA6" w:rsidRPr="00651CCB">
        <w:t>113</w:t>
      </w:r>
      <w:r w:rsidRPr="00651CCB">
        <w:t xml:space="preserve"> de 1</w:t>
      </w:r>
      <w:r w:rsidR="00732AA6" w:rsidRPr="00651CCB">
        <w:t>37</w:t>
      </w:r>
      <w:r w:rsidRPr="00651CCB">
        <w:t xml:space="preserve"> países </w:t>
      </w:r>
      <w:r w:rsidR="00732AA6" w:rsidRPr="00651CCB">
        <w:t xml:space="preserve">analizados </w:t>
      </w:r>
      <w:r w:rsidRPr="00651CCB">
        <w:t xml:space="preserve">en lo que respecta a </w:t>
      </w:r>
      <w:r w:rsidR="00651CCB" w:rsidRPr="00651CCB">
        <w:t xml:space="preserve">la </w:t>
      </w:r>
      <w:r w:rsidR="00732AA6" w:rsidRPr="00651CCB">
        <w:t>carga de la regulación gubernamental, siendo el factor más problem</w:t>
      </w:r>
      <w:r w:rsidR="008202A5" w:rsidRPr="00651CCB">
        <w:t>ático</w:t>
      </w:r>
      <w:r w:rsidR="00732AA6" w:rsidRPr="00651CCB">
        <w:t xml:space="preserve"> para hacer negocios la ineficiencia de la burocracia administrativa</w:t>
      </w:r>
      <w:r w:rsidRPr="00651CCB">
        <w:t>.</w:t>
      </w:r>
      <w:r w:rsidR="00732AA6">
        <w:t xml:space="preserve"> </w:t>
      </w:r>
    </w:p>
    <w:p w14:paraId="30BAE900" w14:textId="5669F805" w:rsidR="008202A5" w:rsidRDefault="008202A5" w:rsidP="003B7663">
      <w:pPr>
        <w:pStyle w:val="Body"/>
      </w:pPr>
      <w:r>
        <w:t>A esta complejidad regulatoria hay que añadirle la correspondiente complejidad administrativa. Según datos de la Intervención General del Estado</w:t>
      </w:r>
      <w:r w:rsidR="00651CCB">
        <w:t>, en España</w:t>
      </w:r>
      <w:r>
        <w:t xml:space="preserve"> hay </w:t>
      </w:r>
      <w:r w:rsidRPr="008202A5">
        <w:t>18</w:t>
      </w:r>
      <w:r>
        <w:t>.</w:t>
      </w:r>
      <w:r w:rsidRPr="008202A5">
        <w:t>763</w:t>
      </w:r>
      <w:r>
        <w:t xml:space="preserve"> entes pertenecientes al sector público.</w:t>
      </w:r>
    </w:p>
    <w:p w14:paraId="2C3E283F" w14:textId="3D0CB612" w:rsidR="008202A5" w:rsidRDefault="008202A5" w:rsidP="003B7663">
      <w:pPr>
        <w:pStyle w:val="Body"/>
      </w:pPr>
      <w:r>
        <w:t xml:space="preserve">España ha venido haciendo importantes esfuerzos en la reducción de cargas administrativas con distintos planes anuales, la puesta en marcha de la Comisión para la Reforma de las Administraciones públicas o la introducción de medidas tan importantes como la regla “one in-one out” en la Ley de apoyo a emprendedores o el test PYME en la última modificación de la Ley del Gobierno producida por la </w:t>
      </w:r>
      <w:r w:rsidRPr="008202A5">
        <w:t>Ley 40/2015, de 1 de octubre, de Régimen Jurídico del Sector Público</w:t>
      </w:r>
      <w:r>
        <w:t>.</w:t>
      </w:r>
    </w:p>
    <w:p w14:paraId="240A6ECF" w14:textId="3A5CB15B" w:rsidR="006F5CAB" w:rsidRDefault="008202A5" w:rsidP="00E14754">
      <w:pPr>
        <w:pStyle w:val="Body"/>
      </w:pPr>
      <w:r>
        <w:t>Por su parte</w:t>
      </w:r>
      <w:r w:rsidR="003B7663">
        <w:t xml:space="preserve">, la Comisión Europea </w:t>
      </w:r>
      <w:r>
        <w:t>ha puesto en marcha múltiples medidas para reducir las cargas administrativas con distintos programas</w:t>
      </w:r>
      <w:r w:rsidR="00360CE0">
        <w:t xml:space="preserve"> y medidas</w:t>
      </w:r>
      <w:r>
        <w:t xml:space="preserve">. Además, </w:t>
      </w:r>
      <w:r w:rsidR="003B7663">
        <w:t xml:space="preserve">dentro de su estrategia industrial y de PYME ha puesto el foco en el crecimiento empresarial llevando a cabo la Recomendación </w:t>
      </w:r>
      <w:r w:rsidR="006F5CAB" w:rsidRPr="003B7663">
        <w:t>COM(</w:t>
      </w:r>
      <w:r w:rsidR="003B7663" w:rsidRPr="003B7663">
        <w:t>2016) 733 final</w:t>
      </w:r>
      <w:r w:rsidR="005E4901">
        <w:t xml:space="preserve">, la Iniciativa sobre las empresas emergentes y en </w:t>
      </w:r>
      <w:r w:rsidR="005E4901">
        <w:lastRenderedPageBreak/>
        <w:t>expansión</w:t>
      </w:r>
      <w:r w:rsidR="00651CCB">
        <w:rPr>
          <w:rStyle w:val="Refdenotaalpie"/>
        </w:rPr>
        <w:footnoteReference w:id="37"/>
      </w:r>
      <w:r w:rsidR="00651CCB">
        <w:t xml:space="preserve">, con el </w:t>
      </w:r>
      <w:r w:rsidR="006F5CAB" w:rsidRPr="006F5CAB">
        <w:t xml:space="preserve">objetivo </w:t>
      </w:r>
      <w:r w:rsidR="006F5CAB">
        <w:t>triple</w:t>
      </w:r>
      <w:r w:rsidR="00651CCB">
        <w:t xml:space="preserve"> de r</w:t>
      </w:r>
      <w:r w:rsidR="006F5CAB" w:rsidRPr="006F5CAB">
        <w:t xml:space="preserve">emover las barreras a </w:t>
      </w:r>
      <w:r w:rsidR="00651CCB">
        <w:t>este tipo de</w:t>
      </w:r>
      <w:r w:rsidR="006F5CAB" w:rsidRPr="006F5CAB">
        <w:t xml:space="preserve"> empresas</w:t>
      </w:r>
      <w:r w:rsidR="00CA736B">
        <w:t xml:space="preserve"> en el mercado único; </w:t>
      </w:r>
      <w:r w:rsidR="004B0615">
        <w:t>c</w:t>
      </w:r>
      <w:r w:rsidR="006F5CAB" w:rsidRPr="006F5CAB">
        <w:t>rear m</w:t>
      </w:r>
      <w:r w:rsidR="00CA736B">
        <w:t xml:space="preserve">ejores oportunidades de negocio y </w:t>
      </w:r>
      <w:r w:rsidR="004B0615">
        <w:t>f</w:t>
      </w:r>
      <w:r w:rsidR="006F5CAB" w:rsidRPr="006F5CAB">
        <w:t>acilitar el acceso a la financiación.</w:t>
      </w:r>
      <w:r w:rsidR="004B0615">
        <w:t xml:space="preserve"> </w:t>
      </w:r>
      <w:bookmarkEnd w:id="52"/>
      <w:r w:rsidR="004B0615">
        <w:t xml:space="preserve">Para ello, </w:t>
      </w:r>
      <w:r w:rsidR="006F5CAB">
        <w:t xml:space="preserve">presenta </w:t>
      </w:r>
      <w:r w:rsidR="004B0615">
        <w:t>in</w:t>
      </w:r>
      <w:r w:rsidR="006F5CAB">
        <w:t>iciativas</w:t>
      </w:r>
      <w:r w:rsidR="004B0615">
        <w:t xml:space="preserve"> en campos como la </w:t>
      </w:r>
      <w:r w:rsidR="006F5CAB">
        <w:t>financiación</w:t>
      </w:r>
      <w:r w:rsidR="004B0615">
        <w:t>, el</w:t>
      </w:r>
      <w:r w:rsidR="006F5CAB">
        <w:t xml:space="preserve"> fomento de la segunda oportunidad o de simplificación </w:t>
      </w:r>
      <w:r w:rsidR="00651CCB">
        <w:t>administrativa.</w:t>
      </w:r>
    </w:p>
    <w:p w14:paraId="50CCF640" w14:textId="77777777" w:rsidR="00930202" w:rsidRDefault="00930202" w:rsidP="00E14754">
      <w:pPr>
        <w:pStyle w:val="Body"/>
      </w:pPr>
      <w:r>
        <w:t>Por otro lado, y siguiendo con esta Recomendación, l</w:t>
      </w:r>
      <w:r w:rsidRPr="00930202">
        <w:t>os contratos públicos pueden ayudar a las actividades de expansión</w:t>
      </w:r>
      <w:r>
        <w:t xml:space="preserve">. Para ello, </w:t>
      </w:r>
      <w:r w:rsidR="00701EC2">
        <w:t xml:space="preserve">es </w:t>
      </w:r>
      <w:r>
        <w:t xml:space="preserve">necesario </w:t>
      </w:r>
      <w:r w:rsidR="00701EC2">
        <w:t xml:space="preserve">contar con una legislación </w:t>
      </w:r>
      <w:r w:rsidR="00907F71">
        <w:t>en</w:t>
      </w:r>
      <w:r w:rsidR="00701EC2" w:rsidRPr="00701EC2">
        <w:t xml:space="preserve"> contratación pública </w:t>
      </w:r>
      <w:r w:rsidR="00905FAA">
        <w:t xml:space="preserve">que </w:t>
      </w:r>
      <w:r w:rsidR="00701EC2" w:rsidRPr="00701EC2">
        <w:t>ten</w:t>
      </w:r>
      <w:r w:rsidR="00905FAA">
        <w:t>ga</w:t>
      </w:r>
      <w:r w:rsidR="00701EC2" w:rsidRPr="00701EC2">
        <w:t xml:space="preserve"> en cuenta el </w:t>
      </w:r>
      <w:r w:rsidR="00F75095">
        <w:t>papel</w:t>
      </w:r>
      <w:r w:rsidR="00701EC2" w:rsidRPr="00701EC2">
        <w:t xml:space="preserve"> de la PYME</w:t>
      </w:r>
      <w:r w:rsidR="00905FAA">
        <w:t xml:space="preserve">. </w:t>
      </w:r>
    </w:p>
    <w:p w14:paraId="3F49D171" w14:textId="620FD12F" w:rsidR="00701EC2" w:rsidRDefault="00905FAA" w:rsidP="00E14754">
      <w:pPr>
        <w:pStyle w:val="Body"/>
      </w:pPr>
      <w:r>
        <w:t xml:space="preserve">Una </w:t>
      </w:r>
      <w:r w:rsidR="00701EC2" w:rsidRPr="00701EC2">
        <w:t xml:space="preserve">mayor participación de </w:t>
      </w:r>
      <w:r>
        <w:t>ésta</w:t>
      </w:r>
      <w:r w:rsidR="00701EC2" w:rsidRPr="00701EC2">
        <w:t xml:space="preserve"> en las compras públicas generará una competencia más intensa por la obtención de contratos públicos, lo que ofrecerá a los poderes adjudicadores una mejor relación calidad-precio</w:t>
      </w:r>
      <w:r>
        <w:t>.</w:t>
      </w:r>
      <w:r w:rsidR="00CA736B">
        <w:t xml:space="preserve"> </w:t>
      </w:r>
      <w:r w:rsidR="00CA736B" w:rsidRPr="00CA736B">
        <w:t>Por otra parte, esta mayor competencia provocada por un mayor número de licitadores, así como la necesaria transparencia de las prácticas de contratación pública permitirá a las PYME desarrollar su potencial de crecimiento e innovación, con el consiguiente efecto positivo sobre la economía</w:t>
      </w:r>
      <w:r w:rsidR="004B0615">
        <w:t>.</w:t>
      </w:r>
    </w:p>
    <w:p w14:paraId="25CE424A" w14:textId="48ECF20D" w:rsidR="00CA736B" w:rsidRDefault="00905FAA" w:rsidP="00E14754">
      <w:pPr>
        <w:pStyle w:val="Body"/>
      </w:pPr>
      <w:r>
        <w:t xml:space="preserve">Dicho esto, es necesario </w:t>
      </w:r>
      <w:r w:rsidR="006E08FD">
        <w:t>indicar</w:t>
      </w:r>
      <w:r>
        <w:t xml:space="preserve"> que aunque el </w:t>
      </w:r>
      <w:r w:rsidR="00E14754">
        <w:t>porcentaje de empresas españolas que participan en licitaciones públicas ha aumentado en los últimos años, pasando del 13% en 2013 al 28% en 2015</w:t>
      </w:r>
      <w:r w:rsidR="00E14754">
        <w:rPr>
          <w:rStyle w:val="Refdenotaalpie"/>
        </w:rPr>
        <w:footnoteReference w:id="38"/>
      </w:r>
      <w:r w:rsidR="00E14754">
        <w:t xml:space="preserve">, </w:t>
      </w:r>
      <w:r>
        <w:t xml:space="preserve">sigue estando </w:t>
      </w:r>
      <w:r w:rsidR="00E14754">
        <w:t xml:space="preserve">por debajo de lo que les correspondería </w:t>
      </w:r>
      <w:r w:rsidR="00BD1DE7">
        <w:t xml:space="preserve">en relación con su </w:t>
      </w:r>
      <w:r w:rsidR="00CA736B">
        <w:t>peso en la economía</w:t>
      </w:r>
      <w:r w:rsidR="00E14754">
        <w:t xml:space="preserve">. </w:t>
      </w:r>
    </w:p>
    <w:p w14:paraId="50A583B4" w14:textId="6B28D3C4" w:rsidR="00D111D4" w:rsidRPr="00D111D4" w:rsidRDefault="00D111D4" w:rsidP="00D111D4">
      <w:pPr>
        <w:pStyle w:val="Body"/>
      </w:pPr>
      <w:r>
        <w:t xml:space="preserve">La última revisión de la SBA </w:t>
      </w:r>
      <w:r w:rsidRPr="00D111D4">
        <w:t>pone de manifiesto que, en lo referente al acceso de la PYME a la contratación pública, España se encuentra por debajo de la media europea en los tres indicadores estudiados:</w:t>
      </w:r>
      <w:r w:rsidR="00F31C98">
        <w:t xml:space="preserve"> </w:t>
      </w:r>
      <w:r w:rsidRPr="00D111D4">
        <w:t>Porcentaje de PYME que participa en licitaciones públicas</w:t>
      </w:r>
      <w:r w:rsidR="00F31C98">
        <w:t>; p</w:t>
      </w:r>
      <w:r w:rsidRPr="00D111D4">
        <w:t>orcentaje de PYME que presentan propuestas en licitaciones públicas electrónicas</w:t>
      </w:r>
      <w:r w:rsidR="00F31C98">
        <w:t xml:space="preserve"> y p</w:t>
      </w:r>
      <w:r w:rsidRPr="00D111D4">
        <w:t>orcentaje de pymes en el valor total de los contratos públicos adjudicados. Además, la Comisión Europea destaca que los requisitos para licitar son desproporcionados para las PYME y que los contratos más grandes no se suele</w:t>
      </w:r>
      <w:r w:rsidR="00CA736B">
        <w:t>n dividir en lotes más pequeños</w:t>
      </w:r>
      <w:r w:rsidRPr="00D111D4">
        <w:t>.</w:t>
      </w:r>
    </w:p>
    <w:p w14:paraId="4C60527C" w14:textId="16C08BB2" w:rsidR="00C27BC5" w:rsidRDefault="00C27BC5" w:rsidP="00C27BC5">
      <w:pPr>
        <w:pStyle w:val="Body"/>
        <w:rPr>
          <w:bCs/>
        </w:rPr>
      </w:pPr>
      <w:r>
        <w:t>L</w:t>
      </w:r>
      <w:r w:rsidR="00C725EE">
        <w:t>as</w:t>
      </w:r>
      <w:r>
        <w:t xml:space="preserve"> últimas</w:t>
      </w:r>
      <w:r w:rsidR="00C725EE">
        <w:t xml:space="preserve"> Directivas de contratos públicos</w:t>
      </w:r>
      <w:r>
        <w:t xml:space="preserve"> incorporan importantes cambios en este sentido dando cabida a muchas medidas del </w:t>
      </w:r>
      <w:r w:rsidR="00AC7828">
        <w:t>C</w:t>
      </w:r>
      <w:r>
        <w:t xml:space="preserve">ódigo </w:t>
      </w:r>
      <w:r w:rsidR="00AC7828">
        <w:t>E</w:t>
      </w:r>
      <w:r>
        <w:t xml:space="preserve">uropeo de </w:t>
      </w:r>
      <w:r w:rsidR="00AC7828">
        <w:t>B</w:t>
      </w:r>
      <w:r>
        <w:t xml:space="preserve">uenas </w:t>
      </w:r>
      <w:r w:rsidR="00AC7828">
        <w:t>Prácticas para facilitar el acceso de la PYME a los contratos públicos</w:t>
      </w:r>
      <w:r w:rsidR="00F31C98">
        <w:rPr>
          <w:rStyle w:val="Refdenotaalpie"/>
        </w:rPr>
        <w:footnoteReference w:id="39"/>
      </w:r>
      <w:r w:rsidR="00F31C98">
        <w:t>, c</w:t>
      </w:r>
      <w:r>
        <w:rPr>
          <w:bCs/>
        </w:rPr>
        <w:t>ódigo elaborado a raíz de la SBA.</w:t>
      </w:r>
    </w:p>
    <w:p w14:paraId="47759156" w14:textId="49329300" w:rsidR="00C27BC5" w:rsidRDefault="00C27BC5" w:rsidP="00C27BC5">
      <w:pPr>
        <w:pStyle w:val="Body"/>
        <w:rPr>
          <w:bCs/>
        </w:rPr>
      </w:pPr>
      <w:r>
        <w:rPr>
          <w:bCs/>
        </w:rPr>
        <w:t xml:space="preserve">La transposición de parte de este nuevo marco normativo europeo se ha hecho mediante la </w:t>
      </w:r>
      <w:r w:rsidRPr="00C27BC5">
        <w:rPr>
          <w:bCs/>
        </w:rPr>
        <w:t xml:space="preserve">Ley 9/2017, de 8 de noviembre, de Contratos del Sector Público, por la que se trasponen al ordenamiento jurídico español las Directivas del Parlamento Europeo y del Consejo 2014/23/UE </w:t>
      </w:r>
      <w:r w:rsidRPr="00C27BC5">
        <w:rPr>
          <w:bCs/>
        </w:rPr>
        <w:lastRenderedPageBreak/>
        <w:t>relativa a la adjudicación de los contratos de concesión y 2014/24/UE de 26 de febrero de 2014 sobre contratación pública</w:t>
      </w:r>
      <w:r>
        <w:rPr>
          <w:bCs/>
        </w:rPr>
        <w:t>.</w:t>
      </w:r>
    </w:p>
    <w:p w14:paraId="6B9D3D2D" w14:textId="43E87D74" w:rsidR="00C27BC5" w:rsidRPr="00FA6F7F" w:rsidRDefault="00C27BC5" w:rsidP="00C27BC5">
      <w:pPr>
        <w:pStyle w:val="Body"/>
      </w:pPr>
      <w:r w:rsidRPr="00FA6F7F">
        <w:t xml:space="preserve">Los objetivos que inspiran la </w:t>
      </w:r>
      <w:r>
        <w:t xml:space="preserve">nueva </w:t>
      </w:r>
      <w:r w:rsidRPr="00FA6F7F">
        <w:t xml:space="preserve">regulación </w:t>
      </w:r>
      <w:r>
        <w:t xml:space="preserve">europea y por ende </w:t>
      </w:r>
      <w:r w:rsidRPr="00FA6F7F">
        <w:t>la citada Ley</w:t>
      </w:r>
      <w:r>
        <w:t xml:space="preserve"> española</w:t>
      </w:r>
      <w:r w:rsidRPr="00FA6F7F">
        <w:t xml:space="preserve"> son, una mayor transparencia en la contratación pública, una mejor relación calidad-precio y simplificar los trámites. Todo ello en aras de una mayor seguridad jurídica y tratando de conseguir que se utilice la contratación pública como instrumento para implementar las políticas tanto europeas como nacionales en materia social, medioambiental, de innovación y desarrollo, de promoción de las PYMEs, y de defensa de la competencia. </w:t>
      </w:r>
    </w:p>
    <w:p w14:paraId="6E761F97" w14:textId="77777777" w:rsidR="001B5505" w:rsidRPr="001B5505" w:rsidRDefault="001B5505" w:rsidP="001B5505">
      <w:pPr>
        <w:pStyle w:val="Body"/>
      </w:pPr>
      <w:r w:rsidRPr="001B5505">
        <w:t>Las novedades de la Ley para favorecer la participación de las PYME en la Contratación Pública se resumen a continuación:</w:t>
      </w:r>
    </w:p>
    <w:p w14:paraId="44A6E1F6" w14:textId="77777777" w:rsidR="001B5505" w:rsidRPr="001B5505" w:rsidRDefault="001B5505" w:rsidP="00757E55">
      <w:pPr>
        <w:pStyle w:val="Body"/>
        <w:numPr>
          <w:ilvl w:val="0"/>
          <w:numId w:val="49"/>
        </w:numPr>
      </w:pPr>
      <w:r w:rsidRPr="001B5505">
        <w:t>Establecimiento del principio con carácter general de participación de las PYMES en la Contratación Pública.</w:t>
      </w:r>
    </w:p>
    <w:p w14:paraId="513768D1" w14:textId="77777777" w:rsidR="001B5505" w:rsidRPr="001B5505" w:rsidRDefault="001B5505" w:rsidP="00757E55">
      <w:pPr>
        <w:pStyle w:val="Body"/>
        <w:numPr>
          <w:ilvl w:val="0"/>
          <w:numId w:val="49"/>
        </w:numPr>
      </w:pPr>
      <w:r w:rsidRPr="001B5505">
        <w:t>Obligación de dividir el objeto del contrato en lotes, con el fin de favorecer el acceso a las PYMES, al reducir el volumen de contratación y adecuarse a su tamaño.</w:t>
      </w:r>
    </w:p>
    <w:p w14:paraId="55BCFA95" w14:textId="77777777" w:rsidR="001B5505" w:rsidRPr="001B5505" w:rsidRDefault="001B5505" w:rsidP="00757E55">
      <w:pPr>
        <w:pStyle w:val="Body"/>
        <w:numPr>
          <w:ilvl w:val="0"/>
          <w:numId w:val="49"/>
        </w:numPr>
      </w:pPr>
      <w:r w:rsidRPr="001B5505">
        <w:t>Eliminación a partir de determinados umbrales económicos para los contratos de obras y no exigencia para los contratos de servicios, de la necesidad de clasificación administrativa de las empresas, para facilitar su participación en la licitación pública.</w:t>
      </w:r>
    </w:p>
    <w:p w14:paraId="4DE60C1B" w14:textId="77777777" w:rsidR="001B5505" w:rsidRPr="001B5505" w:rsidRDefault="001B5505" w:rsidP="00757E55">
      <w:pPr>
        <w:pStyle w:val="Body"/>
        <w:numPr>
          <w:ilvl w:val="0"/>
          <w:numId w:val="49"/>
        </w:numPr>
      </w:pPr>
      <w:r w:rsidRPr="001B5505">
        <w:t>Reducción de las cargas administrativas para las PYMES con el fin de facilitar su concurrencia a las litaciones públicas mediante:</w:t>
      </w:r>
    </w:p>
    <w:p w14:paraId="0D6B49D1" w14:textId="77777777" w:rsidR="001B5505" w:rsidRPr="001B5505" w:rsidRDefault="001B5505" w:rsidP="00757E55">
      <w:pPr>
        <w:pStyle w:val="Body"/>
        <w:numPr>
          <w:ilvl w:val="1"/>
          <w:numId w:val="49"/>
        </w:numPr>
      </w:pPr>
      <w:r w:rsidRPr="001B5505">
        <w:t>La utilización de la declaración responsable, que ahora se extiende su aplicación, en las ofertas económicas de las empresas para acreditar la capacidad, solvencia técnica y económica y ausencia de concurrencia de la prohibición de contratar con administraciones públicas.</w:t>
      </w:r>
    </w:p>
    <w:p w14:paraId="67FBA0E1" w14:textId="77777777" w:rsidR="001B5505" w:rsidRPr="001B5505" w:rsidRDefault="001B5505" w:rsidP="00757E55">
      <w:pPr>
        <w:pStyle w:val="Body"/>
        <w:numPr>
          <w:ilvl w:val="1"/>
          <w:numId w:val="49"/>
        </w:numPr>
      </w:pPr>
      <w:r w:rsidRPr="001B5505">
        <w:t>La generalización de la utilización del Registro Oficial de Licitadores y Empresas Clasificadas en el Sector Público (ROLECE), con el fin de acreditar la documentación justificativa de los licitadores.</w:t>
      </w:r>
    </w:p>
    <w:p w14:paraId="3B57BC4B" w14:textId="77777777" w:rsidR="001B5505" w:rsidRPr="001B5505" w:rsidRDefault="001B5505" w:rsidP="00757E55">
      <w:pPr>
        <w:pStyle w:val="Body"/>
        <w:numPr>
          <w:ilvl w:val="1"/>
          <w:numId w:val="49"/>
        </w:numPr>
      </w:pPr>
      <w:r w:rsidRPr="001B5505">
        <w:t>Regulación del procedimiento abierto simplificado.</w:t>
      </w:r>
    </w:p>
    <w:p w14:paraId="2FDF59F2" w14:textId="77777777" w:rsidR="001B5505" w:rsidRPr="001B5505" w:rsidRDefault="001B5505" w:rsidP="00757E55">
      <w:pPr>
        <w:pStyle w:val="Body"/>
        <w:numPr>
          <w:ilvl w:val="0"/>
          <w:numId w:val="49"/>
        </w:numPr>
      </w:pPr>
      <w:r w:rsidRPr="001B5505">
        <w:t>Posibilidad de que en los pliegos de contratación se incluya los pagos directos a los subcontratistas, disposición adicional quincuagésima primera.</w:t>
      </w:r>
    </w:p>
    <w:p w14:paraId="268A6472" w14:textId="77777777" w:rsidR="001B5505" w:rsidRPr="001B5505" w:rsidRDefault="001B5505" w:rsidP="00757E55">
      <w:pPr>
        <w:pStyle w:val="Body"/>
        <w:numPr>
          <w:ilvl w:val="0"/>
          <w:numId w:val="49"/>
        </w:numPr>
      </w:pPr>
      <w:r w:rsidRPr="001B5505">
        <w:t>Imposibilidad de renuncia de los derechos de los subcontratistas, frente a la posición dominante que ostenta normalmente el adjudicatario principal, en la contratación pública, art. 216.6.</w:t>
      </w:r>
    </w:p>
    <w:p w14:paraId="4A1DB2BE" w14:textId="618BAA2F" w:rsidR="00E14754" w:rsidRDefault="001B5505" w:rsidP="001B5505">
      <w:pPr>
        <w:pStyle w:val="Body"/>
      </w:pPr>
      <w:r w:rsidRPr="001B5505">
        <w:t>Posibilidad de la comprobación de los pagos del contratista a los subcontratistas (en algunos contratos se hace obligatorio</w:t>
      </w:r>
      <w:r w:rsidR="00624F55" w:rsidRPr="001B5505">
        <w:t>).</w:t>
      </w:r>
      <w:r w:rsidR="00624F55">
        <w:t xml:space="preserve"> No</w:t>
      </w:r>
      <w:r w:rsidR="00AC7828">
        <w:t xml:space="preserve"> </w:t>
      </w:r>
      <w:r w:rsidR="00624F55">
        <w:t>obstante</w:t>
      </w:r>
      <w:r w:rsidR="00AC7828">
        <w:t xml:space="preserve"> lo anterior, la propia Directiva recuerda que </w:t>
      </w:r>
      <w:r w:rsidR="00C725EE">
        <w:t>es necesario que los poderes adjudicadores lleven a cabo un cambio de mentalidad que favorezca la participación de la PYME en la contratación pública</w:t>
      </w:r>
      <w:r w:rsidR="00AC7828">
        <w:t xml:space="preserve">, así como alienta a los poderes adjudicadores </w:t>
      </w:r>
      <w:r w:rsidR="00D111D4">
        <w:t xml:space="preserve">a </w:t>
      </w:r>
      <w:r w:rsidR="00AC7828">
        <w:t>que apliquen el Código Europeo de Buenas Prácticas</w:t>
      </w:r>
      <w:r w:rsidR="00C725EE">
        <w:t>.</w:t>
      </w:r>
      <w:r w:rsidR="00E14754">
        <w:t xml:space="preserve"> </w:t>
      </w:r>
    </w:p>
    <w:p w14:paraId="705F04E1" w14:textId="77777777" w:rsidR="008D3471" w:rsidRDefault="00633D11" w:rsidP="008D3471">
      <w:pPr>
        <w:pStyle w:val="Ttulo3"/>
      </w:pPr>
      <w:bookmarkStart w:id="53" w:name="_Toc527630346"/>
      <w:r>
        <w:lastRenderedPageBreak/>
        <w:t>Líneas de actuación</w:t>
      </w:r>
      <w:bookmarkEnd w:id="53"/>
    </w:p>
    <w:p w14:paraId="426981C5" w14:textId="3CABD50C" w:rsidR="00187602" w:rsidRPr="007734C2" w:rsidRDefault="007734C2" w:rsidP="00187602">
      <w:pPr>
        <w:rPr>
          <w:rFonts w:ascii="Century Gothic" w:hAnsi="Century Gothic" w:cs="Arial"/>
          <w:color w:val="000000"/>
          <w:kern w:val="24"/>
          <w:lang w:val="es-ES" w:eastAsia="es-ES"/>
        </w:rPr>
      </w:pPr>
      <w:r>
        <w:rPr>
          <w:rFonts w:ascii="Century Gothic" w:hAnsi="Century Gothic" w:cs="Arial"/>
          <w:color w:val="000000"/>
          <w:kern w:val="24"/>
          <w:lang w:val="es-ES" w:eastAsia="es-ES"/>
        </w:rPr>
        <w:t>S</w:t>
      </w:r>
      <w:r w:rsidR="00480C68" w:rsidRPr="00DD0F72">
        <w:rPr>
          <w:rFonts w:ascii="Century Gothic" w:hAnsi="Century Gothic" w:cs="Arial"/>
          <w:color w:val="000000"/>
          <w:kern w:val="24"/>
          <w:lang w:val="es-ES" w:eastAsia="es-ES"/>
        </w:rPr>
        <w:t>e busca crear un entorno donde las empresas puedan ejercer su actividad sin trabas, libremente y en igualdad de condiciones, sin que el tamaño sea un condicionante.</w:t>
      </w:r>
      <w:r w:rsidR="00DD0F72">
        <w:rPr>
          <w:rFonts w:ascii="Century Gothic" w:hAnsi="Century Gothic" w:cs="Arial"/>
          <w:color w:val="000000"/>
          <w:kern w:val="24"/>
          <w:lang w:val="es-ES" w:eastAsia="es-ES"/>
        </w:rPr>
        <w:t xml:space="preserve"> P</w:t>
      </w:r>
      <w:r w:rsidR="00187602">
        <w:rPr>
          <w:rFonts w:ascii="Century Gothic" w:hAnsi="Century Gothic" w:cs="Arial"/>
          <w:color w:val="000000"/>
          <w:kern w:val="24"/>
          <w:lang w:val="es-ES" w:eastAsia="es-ES"/>
        </w:rPr>
        <w:t>ara ello, se proponen las siguientes líneas de actuación:</w:t>
      </w:r>
    </w:p>
    <w:p w14:paraId="64A4397B" w14:textId="2686B1DA" w:rsidR="007B64B7" w:rsidRPr="007B64B7" w:rsidRDefault="00187602" w:rsidP="007B64B7">
      <w:pPr>
        <w:pStyle w:val="Body"/>
        <w:rPr>
          <w:b/>
          <w:u w:val="single"/>
        </w:rPr>
      </w:pPr>
      <w:r w:rsidRPr="007B64B7">
        <w:rPr>
          <w:b/>
          <w:u w:val="single"/>
        </w:rPr>
        <w:t>Favore</w:t>
      </w:r>
      <w:r w:rsidR="00DD0F72">
        <w:rPr>
          <w:b/>
          <w:u w:val="single"/>
        </w:rPr>
        <w:t>cer el crecimiento empresarial</w:t>
      </w:r>
    </w:p>
    <w:p w14:paraId="0B3E1880" w14:textId="3A578AFA" w:rsidR="00187602" w:rsidRDefault="007B64B7" w:rsidP="007B64B7">
      <w:pPr>
        <w:rPr>
          <w:rFonts w:ascii="Century Gothic" w:hAnsi="Century Gothic" w:cs="Arial"/>
          <w:color w:val="000000"/>
          <w:kern w:val="24"/>
          <w:lang w:val="es-ES" w:eastAsia="es-ES"/>
        </w:rPr>
      </w:pPr>
      <w:r>
        <w:rPr>
          <w:rFonts w:ascii="Century Gothic" w:hAnsi="Century Gothic" w:cs="Arial"/>
          <w:color w:val="000000"/>
          <w:kern w:val="24"/>
          <w:lang w:val="es-ES" w:eastAsia="es-ES"/>
        </w:rPr>
        <w:t xml:space="preserve">Es necesario </w:t>
      </w:r>
      <w:r w:rsidR="00187602" w:rsidRPr="007B64B7">
        <w:rPr>
          <w:rFonts w:ascii="Century Gothic" w:hAnsi="Century Gothic" w:cs="Arial"/>
          <w:color w:val="000000"/>
          <w:kern w:val="24"/>
          <w:lang w:val="es-ES" w:eastAsia="es-ES"/>
        </w:rPr>
        <w:t xml:space="preserve">establecer un marco regulatorio </w:t>
      </w:r>
      <w:r w:rsidR="00DD0F72">
        <w:rPr>
          <w:rFonts w:ascii="Century Gothic" w:hAnsi="Century Gothic" w:cs="Arial"/>
          <w:color w:val="000000"/>
          <w:kern w:val="24"/>
          <w:lang w:val="es-ES" w:eastAsia="es-ES"/>
        </w:rPr>
        <w:t xml:space="preserve">que </w:t>
      </w:r>
      <w:r w:rsidR="00187602" w:rsidRPr="007B64B7">
        <w:rPr>
          <w:rFonts w:ascii="Century Gothic" w:hAnsi="Century Gothic" w:cs="Arial"/>
          <w:color w:val="000000"/>
          <w:kern w:val="24"/>
          <w:lang w:val="es-ES" w:eastAsia="es-ES"/>
        </w:rPr>
        <w:t>propici</w:t>
      </w:r>
      <w:r w:rsidR="00DD0F72">
        <w:rPr>
          <w:rFonts w:ascii="Century Gothic" w:hAnsi="Century Gothic" w:cs="Arial"/>
          <w:color w:val="000000"/>
          <w:kern w:val="24"/>
          <w:lang w:val="es-ES" w:eastAsia="es-ES"/>
        </w:rPr>
        <w:t xml:space="preserve">e </w:t>
      </w:r>
      <w:r w:rsidR="00187602" w:rsidRPr="007B64B7">
        <w:rPr>
          <w:rFonts w:ascii="Century Gothic" w:hAnsi="Century Gothic" w:cs="Arial"/>
          <w:color w:val="000000"/>
          <w:kern w:val="24"/>
          <w:lang w:val="es-ES" w:eastAsia="es-ES"/>
        </w:rPr>
        <w:t>el crecimiento empresarial.</w:t>
      </w:r>
      <w:r>
        <w:rPr>
          <w:rFonts w:ascii="Century Gothic" w:hAnsi="Century Gothic" w:cs="Arial"/>
          <w:color w:val="000000"/>
          <w:kern w:val="24"/>
          <w:lang w:val="es-ES" w:eastAsia="es-ES"/>
        </w:rPr>
        <w:t xml:space="preserve"> No se trata de que todas las empresas cre</w:t>
      </w:r>
      <w:r w:rsidR="00DD0F72">
        <w:rPr>
          <w:rFonts w:ascii="Century Gothic" w:hAnsi="Century Gothic" w:cs="Arial"/>
          <w:color w:val="000000"/>
          <w:kern w:val="24"/>
          <w:lang w:val="es-ES" w:eastAsia="es-ES"/>
        </w:rPr>
        <w:t>z</w:t>
      </w:r>
      <w:r>
        <w:rPr>
          <w:rFonts w:ascii="Century Gothic" w:hAnsi="Century Gothic" w:cs="Arial"/>
          <w:color w:val="000000"/>
          <w:kern w:val="24"/>
          <w:lang w:val="es-ES" w:eastAsia="es-ES"/>
        </w:rPr>
        <w:t>c</w:t>
      </w:r>
      <w:r w:rsidR="00DD0F72">
        <w:rPr>
          <w:rFonts w:ascii="Century Gothic" w:hAnsi="Century Gothic" w:cs="Arial"/>
          <w:color w:val="000000"/>
          <w:kern w:val="24"/>
          <w:lang w:val="es-ES" w:eastAsia="es-ES"/>
        </w:rPr>
        <w:t>an</w:t>
      </w:r>
      <w:r>
        <w:rPr>
          <w:rFonts w:ascii="Century Gothic" w:hAnsi="Century Gothic" w:cs="Arial"/>
          <w:color w:val="000000"/>
          <w:kern w:val="24"/>
          <w:lang w:val="es-ES" w:eastAsia="es-ES"/>
        </w:rPr>
        <w:t xml:space="preserve">, sino de crear un entorno que favorezca </w:t>
      </w:r>
      <w:r w:rsidR="00E044D9">
        <w:rPr>
          <w:rFonts w:ascii="Century Gothic" w:hAnsi="Century Gothic" w:cs="Arial"/>
          <w:color w:val="000000"/>
          <w:kern w:val="24"/>
          <w:lang w:val="es-ES" w:eastAsia="es-ES"/>
        </w:rPr>
        <w:t>e</w:t>
      </w:r>
      <w:r>
        <w:rPr>
          <w:rFonts w:ascii="Century Gothic" w:hAnsi="Century Gothic" w:cs="Arial"/>
          <w:color w:val="000000"/>
          <w:kern w:val="24"/>
          <w:lang w:val="es-ES" w:eastAsia="es-ES"/>
        </w:rPr>
        <w:t xml:space="preserve"> incentiv</w:t>
      </w:r>
      <w:r w:rsidR="00E044D9">
        <w:rPr>
          <w:rFonts w:ascii="Century Gothic" w:hAnsi="Century Gothic" w:cs="Arial"/>
          <w:color w:val="000000"/>
          <w:kern w:val="24"/>
          <w:lang w:val="es-ES" w:eastAsia="es-ES"/>
        </w:rPr>
        <w:t>e</w:t>
      </w:r>
      <w:r>
        <w:rPr>
          <w:rFonts w:ascii="Century Gothic" w:hAnsi="Century Gothic" w:cs="Arial"/>
          <w:color w:val="000000"/>
          <w:kern w:val="24"/>
          <w:lang w:val="es-ES" w:eastAsia="es-ES"/>
        </w:rPr>
        <w:t xml:space="preserve"> el crecimiento de aquellas empresas que así decidan hacerlo.</w:t>
      </w:r>
    </w:p>
    <w:p w14:paraId="683EA0CB" w14:textId="77777777" w:rsidR="007B64B7" w:rsidRPr="007B64B7" w:rsidRDefault="007B64B7" w:rsidP="007B64B7">
      <w:pPr>
        <w:rPr>
          <w:rFonts w:ascii="Century Gothic" w:hAnsi="Century Gothic"/>
          <w:lang w:val="es-ES"/>
        </w:rPr>
      </w:pPr>
      <w:r>
        <w:rPr>
          <w:rFonts w:ascii="Century Gothic" w:hAnsi="Century Gothic" w:cs="Arial"/>
          <w:color w:val="000000"/>
          <w:kern w:val="24"/>
          <w:lang w:val="es-ES" w:eastAsia="es-ES"/>
        </w:rPr>
        <w:t>Las líneas de actuación que se proponen en este ámbito son.</w:t>
      </w:r>
    </w:p>
    <w:p w14:paraId="45AB71B9" w14:textId="43CD6377" w:rsidR="00187602" w:rsidRPr="007B64B7" w:rsidRDefault="00187602" w:rsidP="00757E55">
      <w:pPr>
        <w:pStyle w:val="Prrafodelista"/>
        <w:numPr>
          <w:ilvl w:val="0"/>
          <w:numId w:val="32"/>
        </w:numPr>
        <w:rPr>
          <w:rFonts w:ascii="Century Gothic" w:hAnsi="Century Gothic" w:cs="Arial"/>
          <w:b/>
          <w:color w:val="000000"/>
          <w:kern w:val="24"/>
          <w:lang w:val="es-ES" w:eastAsia="es-ES"/>
        </w:rPr>
      </w:pPr>
      <w:r w:rsidRPr="007B64B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7B64B7">
        <w:rPr>
          <w:rFonts w:ascii="Century Gothic" w:hAnsi="Century Gothic" w:cs="Arial"/>
          <w:b/>
          <w:color w:val="000000"/>
          <w:kern w:val="24"/>
          <w:lang w:val="es-ES" w:eastAsia="es-ES"/>
        </w:rPr>
        <w:t xml:space="preserve"> Favorecer la creación de empresas de mayor tamaño a través de la fusión de PYMES ya existentes</w:t>
      </w:r>
      <w:r w:rsidR="00DD0F72">
        <w:rPr>
          <w:rFonts w:ascii="Century Gothic" w:hAnsi="Century Gothic" w:cs="Arial"/>
          <w:b/>
          <w:color w:val="000000"/>
          <w:kern w:val="24"/>
          <w:lang w:val="es-ES" w:eastAsia="es-ES"/>
        </w:rPr>
        <w:t>.</w:t>
      </w:r>
    </w:p>
    <w:p w14:paraId="46BD56CB" w14:textId="396DA7A5" w:rsidR="006C58BA" w:rsidRDefault="00187602" w:rsidP="00757E55">
      <w:pPr>
        <w:pStyle w:val="Prrafodelista"/>
        <w:numPr>
          <w:ilvl w:val="0"/>
          <w:numId w:val="32"/>
        </w:numPr>
        <w:rPr>
          <w:rFonts w:ascii="Century Gothic" w:hAnsi="Century Gothic" w:cs="Arial"/>
          <w:b/>
          <w:color w:val="000000"/>
          <w:kern w:val="24"/>
          <w:lang w:val="es-ES" w:eastAsia="es-ES"/>
        </w:rPr>
      </w:pPr>
      <w:r w:rsidRPr="00975E09">
        <w:rPr>
          <w:rFonts w:ascii="Century Gothic" w:hAnsi="Century Gothic" w:cs="Arial"/>
          <w:b/>
          <w:color w:val="000000"/>
          <w:kern w:val="24"/>
          <w:lang w:val="es-ES" w:eastAsia="es-ES"/>
        </w:rPr>
        <w:t>LA</w:t>
      </w:r>
      <w:r w:rsidR="00C471DC" w:rsidRPr="00CF48DB">
        <w:rPr>
          <w:rFonts w:ascii="Century Gothic" w:hAnsi="Century Gothic"/>
          <w:b/>
          <w:lang w:val="es-ES"/>
        </w:rPr>
        <w:fldChar w:fldCharType="begin"/>
      </w:r>
      <w:r w:rsidR="00C471DC" w:rsidRPr="00975E09">
        <w:rPr>
          <w:rFonts w:ascii="Century Gothic" w:hAnsi="Century Gothic"/>
          <w:b/>
          <w:lang w:val="es-ES"/>
        </w:rPr>
        <w:instrText xml:space="preserve"> AUTONUM  </w:instrText>
      </w:r>
      <w:r w:rsidR="00C471DC" w:rsidRPr="00CF48DB">
        <w:rPr>
          <w:rFonts w:ascii="Century Gothic" w:hAnsi="Century Gothic"/>
          <w:b/>
          <w:lang w:val="es-ES"/>
        </w:rPr>
        <w:fldChar w:fldCharType="end"/>
      </w:r>
      <w:r w:rsidRPr="00975E09">
        <w:rPr>
          <w:rFonts w:ascii="Century Gothic" w:hAnsi="Century Gothic" w:cs="Arial"/>
          <w:b/>
          <w:color w:val="000000"/>
          <w:kern w:val="24"/>
          <w:lang w:val="es-ES" w:eastAsia="es-ES"/>
        </w:rPr>
        <w:t xml:space="preserve"> Asesorar a las PYME a través de un acompañamiento personalizado</w:t>
      </w:r>
      <w:r w:rsidR="000B4381">
        <w:rPr>
          <w:rFonts w:ascii="Century Gothic" w:hAnsi="Century Gothic" w:cs="Arial"/>
          <w:b/>
          <w:color w:val="000000"/>
          <w:kern w:val="24"/>
          <w:lang w:val="es-ES" w:eastAsia="es-ES"/>
        </w:rPr>
        <w:t xml:space="preserve"> que favorezca su crecimiento</w:t>
      </w:r>
      <w:r w:rsidRPr="00975E09">
        <w:rPr>
          <w:rFonts w:ascii="Century Gothic" w:hAnsi="Century Gothic" w:cs="Arial"/>
          <w:b/>
          <w:color w:val="000000"/>
          <w:kern w:val="24"/>
          <w:lang w:val="es-ES" w:eastAsia="es-ES"/>
        </w:rPr>
        <w:t>.</w:t>
      </w:r>
      <w:r w:rsidRPr="00975E09">
        <w:rPr>
          <w:rFonts w:ascii="Century Gothic" w:hAnsi="Century Gothic" w:cs="Arial"/>
          <w:b/>
          <w:color w:val="000000"/>
          <w:kern w:val="24"/>
          <w:lang w:val="es-ES" w:eastAsia="es-ES"/>
        </w:rPr>
        <w:tab/>
        <w:t xml:space="preserve"> </w:t>
      </w:r>
    </w:p>
    <w:p w14:paraId="0782E60C" w14:textId="3E8A4C80" w:rsidR="006C58BA" w:rsidRDefault="00DD0F72" w:rsidP="00757E55">
      <w:pPr>
        <w:pStyle w:val="Prrafodelista"/>
        <w:numPr>
          <w:ilvl w:val="1"/>
          <w:numId w:val="32"/>
        </w:numPr>
        <w:rPr>
          <w:rFonts w:ascii="Century Gothic" w:hAnsi="Century Gothic"/>
          <w:lang w:val="es-ES"/>
        </w:rPr>
      </w:pPr>
      <w:r>
        <w:rPr>
          <w:rFonts w:ascii="Century Gothic" w:hAnsi="Century Gothic"/>
          <w:lang w:val="es-ES"/>
        </w:rPr>
        <w:t>Proporcionar</w:t>
      </w:r>
      <w:r w:rsidR="00187602" w:rsidRPr="006C58BA">
        <w:rPr>
          <w:rFonts w:ascii="Century Gothic" w:hAnsi="Century Gothic"/>
          <w:lang w:val="es-ES"/>
        </w:rPr>
        <w:t xml:space="preserve"> asesoramiento personalizado </w:t>
      </w:r>
      <w:r w:rsidRPr="006C58BA">
        <w:rPr>
          <w:rFonts w:ascii="Century Gothic" w:hAnsi="Century Gothic"/>
          <w:lang w:val="es-ES"/>
        </w:rPr>
        <w:t>a lo largo de su ciclo de vida</w:t>
      </w:r>
      <w:r w:rsidR="00187602" w:rsidRPr="006C58BA">
        <w:rPr>
          <w:rFonts w:ascii="Century Gothic" w:hAnsi="Century Gothic"/>
          <w:lang w:val="es-ES"/>
        </w:rPr>
        <w:t xml:space="preserve">, fomentando </w:t>
      </w:r>
      <w:r w:rsidR="00C725EE" w:rsidRPr="006C58BA">
        <w:rPr>
          <w:rFonts w:ascii="Century Gothic" w:hAnsi="Century Gothic"/>
          <w:lang w:val="es-ES"/>
        </w:rPr>
        <w:t>las redes ya existentes de apoyo a empresas</w:t>
      </w:r>
      <w:r w:rsidR="00975E09" w:rsidRPr="006C58BA">
        <w:rPr>
          <w:rFonts w:ascii="Century Gothic" w:hAnsi="Century Gothic"/>
          <w:lang w:val="es-ES"/>
        </w:rPr>
        <w:t>, así como facilitando el conocimiento y aplicación de herramientas y procedimientos de reposicionamiento estratégico en los procesos de producción y de gestión.</w:t>
      </w:r>
      <w:r w:rsidR="006C58BA" w:rsidRPr="006C58BA">
        <w:rPr>
          <w:rFonts w:ascii="Century Gothic" w:hAnsi="Century Gothic"/>
          <w:lang w:val="es-ES"/>
        </w:rPr>
        <w:t xml:space="preserve"> </w:t>
      </w:r>
    </w:p>
    <w:p w14:paraId="5D36A836" w14:textId="2420B1EF" w:rsidR="00187602" w:rsidRDefault="006C58BA" w:rsidP="00757E55">
      <w:pPr>
        <w:pStyle w:val="Prrafodelista"/>
        <w:numPr>
          <w:ilvl w:val="1"/>
          <w:numId w:val="32"/>
        </w:numPr>
        <w:rPr>
          <w:rFonts w:ascii="Century Gothic" w:hAnsi="Century Gothic"/>
          <w:lang w:val="es-ES"/>
        </w:rPr>
      </w:pPr>
      <w:r w:rsidRPr="006C58BA">
        <w:rPr>
          <w:rFonts w:ascii="Century Gothic" w:hAnsi="Century Gothic"/>
          <w:lang w:val="es-ES"/>
        </w:rPr>
        <w:t xml:space="preserve">Fomentar la cooperación, colaboración y agrupación de empresas </w:t>
      </w:r>
      <w:r w:rsidR="00DD0F72">
        <w:rPr>
          <w:rFonts w:ascii="Century Gothic" w:hAnsi="Century Gothic"/>
          <w:lang w:val="es-ES"/>
        </w:rPr>
        <w:t xml:space="preserve">similares </w:t>
      </w:r>
      <w:r w:rsidRPr="006C58BA">
        <w:rPr>
          <w:rFonts w:ascii="Century Gothic" w:hAnsi="Century Gothic"/>
          <w:lang w:val="es-ES"/>
        </w:rPr>
        <w:t>como fórmulas para reducir costes vía sinergias u obtener cuotas de mercado suficientes que hagan a nuestras empresas más competitivas para poder crecer.</w:t>
      </w:r>
    </w:p>
    <w:p w14:paraId="39F69B61" w14:textId="59A11EE9" w:rsidR="006C58BA" w:rsidRDefault="006C58BA" w:rsidP="00757E55">
      <w:pPr>
        <w:pStyle w:val="Prrafodelista"/>
        <w:numPr>
          <w:ilvl w:val="1"/>
          <w:numId w:val="32"/>
        </w:numPr>
        <w:rPr>
          <w:rFonts w:ascii="Century Gothic" w:hAnsi="Century Gothic"/>
          <w:lang w:val="es-ES"/>
        </w:rPr>
      </w:pPr>
      <w:r>
        <w:rPr>
          <w:rFonts w:ascii="Century Gothic" w:hAnsi="Century Gothic"/>
          <w:lang w:val="es-ES"/>
        </w:rPr>
        <w:t xml:space="preserve">Apoyar la </w:t>
      </w:r>
      <w:r w:rsidRPr="006C58BA">
        <w:rPr>
          <w:rFonts w:ascii="Century Gothic" w:hAnsi="Century Gothic"/>
          <w:lang w:val="es-ES"/>
        </w:rPr>
        <w:t xml:space="preserve">capacitación </w:t>
      </w:r>
      <w:r w:rsidR="007734C2">
        <w:rPr>
          <w:rFonts w:ascii="Century Gothic" w:hAnsi="Century Gothic"/>
          <w:lang w:val="es-ES"/>
        </w:rPr>
        <w:t xml:space="preserve">práctica </w:t>
      </w:r>
      <w:r w:rsidRPr="006C58BA">
        <w:rPr>
          <w:rFonts w:ascii="Century Gothic" w:hAnsi="Century Gothic"/>
          <w:lang w:val="es-ES"/>
        </w:rPr>
        <w:t>de los directivos</w:t>
      </w:r>
      <w:r w:rsidR="007734C2">
        <w:rPr>
          <w:rFonts w:ascii="Century Gothic" w:hAnsi="Century Gothic"/>
          <w:lang w:val="es-ES"/>
        </w:rPr>
        <w:t xml:space="preserve"> </w:t>
      </w:r>
      <w:r>
        <w:rPr>
          <w:rFonts w:ascii="Century Gothic" w:hAnsi="Century Gothic"/>
          <w:lang w:val="es-ES"/>
        </w:rPr>
        <w:t>para</w:t>
      </w:r>
      <w:r w:rsidRPr="006C58BA">
        <w:rPr>
          <w:rFonts w:ascii="Century Gothic" w:hAnsi="Century Gothic"/>
          <w:lang w:val="es-ES"/>
        </w:rPr>
        <w:t xml:space="preserve"> ayudar a éstos a desarrollar estrategia</w:t>
      </w:r>
      <w:r w:rsidR="007734C2">
        <w:rPr>
          <w:rFonts w:ascii="Century Gothic" w:hAnsi="Century Gothic"/>
          <w:lang w:val="es-ES"/>
        </w:rPr>
        <w:t>s</w:t>
      </w:r>
      <w:r w:rsidRPr="006C58BA">
        <w:rPr>
          <w:rFonts w:ascii="Century Gothic" w:hAnsi="Century Gothic"/>
          <w:lang w:val="es-ES"/>
        </w:rPr>
        <w:t xml:space="preserve"> de crecimiento.</w:t>
      </w:r>
    </w:p>
    <w:p w14:paraId="5D5EECBF" w14:textId="34C67561" w:rsidR="006C58BA" w:rsidRDefault="006C58BA" w:rsidP="00757E55">
      <w:pPr>
        <w:pStyle w:val="Prrafodelista"/>
        <w:numPr>
          <w:ilvl w:val="1"/>
          <w:numId w:val="32"/>
        </w:numPr>
        <w:rPr>
          <w:rFonts w:ascii="Century Gothic" w:hAnsi="Century Gothic"/>
          <w:lang w:val="es-ES"/>
        </w:rPr>
      </w:pPr>
      <w:r>
        <w:rPr>
          <w:rFonts w:ascii="Century Gothic" w:hAnsi="Century Gothic"/>
          <w:lang w:val="es-ES"/>
        </w:rPr>
        <w:t xml:space="preserve">Valorar realizar una </w:t>
      </w:r>
      <w:r w:rsidRPr="006C58BA">
        <w:rPr>
          <w:rFonts w:ascii="Century Gothic" w:hAnsi="Century Gothic"/>
          <w:lang w:val="es-ES"/>
        </w:rPr>
        <w:t xml:space="preserve">“Guía del Crecimiento” </w:t>
      </w:r>
      <w:r w:rsidR="007734C2">
        <w:rPr>
          <w:rFonts w:ascii="Century Gothic" w:hAnsi="Century Gothic"/>
          <w:lang w:val="es-ES"/>
        </w:rPr>
        <w:t>para</w:t>
      </w:r>
      <w:r w:rsidRPr="006C58BA">
        <w:rPr>
          <w:rFonts w:ascii="Century Gothic" w:hAnsi="Century Gothic"/>
          <w:lang w:val="es-ES"/>
        </w:rPr>
        <w:t xml:space="preserve"> que las empresas puedan encontrar, de manera sencilla, </w:t>
      </w:r>
      <w:r>
        <w:rPr>
          <w:rFonts w:ascii="Century Gothic" w:hAnsi="Century Gothic"/>
          <w:lang w:val="es-ES"/>
        </w:rPr>
        <w:t>los programas</w:t>
      </w:r>
      <w:r w:rsidRPr="006C58BA">
        <w:rPr>
          <w:rFonts w:ascii="Century Gothic" w:hAnsi="Century Gothic"/>
          <w:lang w:val="es-ES"/>
        </w:rPr>
        <w:t xml:space="preserve"> </w:t>
      </w:r>
      <w:r w:rsidR="00C109EE" w:rsidRPr="006C58BA">
        <w:rPr>
          <w:rFonts w:ascii="Century Gothic" w:hAnsi="Century Gothic"/>
          <w:lang w:val="es-ES"/>
        </w:rPr>
        <w:t xml:space="preserve">de apoyo al crecimiento </w:t>
      </w:r>
      <w:r w:rsidRPr="006C58BA">
        <w:rPr>
          <w:rFonts w:ascii="Century Gothic" w:hAnsi="Century Gothic"/>
          <w:lang w:val="es-ES"/>
        </w:rPr>
        <w:t>a l</w:t>
      </w:r>
      <w:r>
        <w:rPr>
          <w:rFonts w:ascii="Century Gothic" w:hAnsi="Century Gothic"/>
          <w:lang w:val="es-ES"/>
        </w:rPr>
        <w:t>o</w:t>
      </w:r>
      <w:r w:rsidRPr="006C58BA">
        <w:rPr>
          <w:rFonts w:ascii="Century Gothic" w:hAnsi="Century Gothic"/>
          <w:lang w:val="es-ES"/>
        </w:rPr>
        <w:t>s que pueden optar</w:t>
      </w:r>
      <w:r w:rsidR="00C109EE">
        <w:rPr>
          <w:rFonts w:ascii="Century Gothic" w:hAnsi="Century Gothic"/>
          <w:lang w:val="es-ES"/>
        </w:rPr>
        <w:t xml:space="preserve"> en un punto único en Internet.</w:t>
      </w:r>
    </w:p>
    <w:p w14:paraId="28061B52" w14:textId="4C9F0539" w:rsidR="00153150" w:rsidRDefault="00C109EE" w:rsidP="00757E55">
      <w:pPr>
        <w:pStyle w:val="Prrafodelista"/>
        <w:numPr>
          <w:ilvl w:val="1"/>
          <w:numId w:val="32"/>
        </w:numPr>
        <w:rPr>
          <w:rFonts w:ascii="Century Gothic" w:hAnsi="Century Gothic"/>
          <w:lang w:val="es-ES"/>
        </w:rPr>
      </w:pPr>
      <w:r>
        <w:rPr>
          <w:rFonts w:ascii="Century Gothic" w:hAnsi="Century Gothic"/>
          <w:lang w:val="es-ES"/>
        </w:rPr>
        <w:t xml:space="preserve">Definir </w:t>
      </w:r>
      <w:r w:rsidR="007734C2">
        <w:rPr>
          <w:rFonts w:ascii="Century Gothic" w:hAnsi="Century Gothic"/>
          <w:lang w:val="es-ES"/>
        </w:rPr>
        <w:t>los</w:t>
      </w:r>
      <w:r w:rsidRPr="00C109EE">
        <w:rPr>
          <w:rFonts w:ascii="Century Gothic" w:hAnsi="Century Gothic"/>
          <w:lang w:val="es-ES"/>
        </w:rPr>
        <w:t xml:space="preserve"> parámetros que ayuden a identificar a las “PYME en crecimiento”</w:t>
      </w:r>
      <w:r w:rsidR="00153150">
        <w:rPr>
          <w:rFonts w:ascii="Century Gothic" w:hAnsi="Century Gothic"/>
          <w:lang w:val="es-ES"/>
        </w:rPr>
        <w:t>.</w:t>
      </w:r>
    </w:p>
    <w:p w14:paraId="556F4E81" w14:textId="1D5D741C" w:rsidR="000A5161" w:rsidRPr="006C58BA" w:rsidRDefault="000A5161" w:rsidP="00757E55">
      <w:pPr>
        <w:pStyle w:val="Prrafodelista"/>
        <w:numPr>
          <w:ilvl w:val="1"/>
          <w:numId w:val="32"/>
        </w:numPr>
        <w:rPr>
          <w:rFonts w:ascii="Century Gothic" w:hAnsi="Century Gothic"/>
          <w:lang w:val="es-ES"/>
        </w:rPr>
      </w:pPr>
      <w:r w:rsidRPr="000A5161">
        <w:rPr>
          <w:rFonts w:ascii="Century Gothic" w:hAnsi="Century Gothic"/>
          <w:lang w:val="es-ES"/>
        </w:rPr>
        <w:t>Poner en marcha programas de aceleración para ayudar a conseguir el primer gran cliente</w:t>
      </w:r>
      <w:r w:rsidR="007734C2">
        <w:rPr>
          <w:rFonts w:ascii="Century Gothic" w:hAnsi="Century Gothic"/>
          <w:lang w:val="es-ES"/>
        </w:rPr>
        <w:t xml:space="preserve">, </w:t>
      </w:r>
      <w:r w:rsidRPr="000A5161">
        <w:rPr>
          <w:rFonts w:ascii="Century Gothic" w:hAnsi="Century Gothic"/>
          <w:lang w:val="es-ES"/>
        </w:rPr>
        <w:t>conectando a las start-up con empresas líderes potencialmente interesadas en sus productos o servicios.</w:t>
      </w:r>
    </w:p>
    <w:p w14:paraId="2CB670F9" w14:textId="7194A2C5" w:rsidR="009576DF" w:rsidRPr="009576DF" w:rsidRDefault="007B64B7" w:rsidP="00757E55">
      <w:pPr>
        <w:pStyle w:val="Prrafodelista"/>
        <w:numPr>
          <w:ilvl w:val="0"/>
          <w:numId w:val="32"/>
        </w:numPr>
        <w:rPr>
          <w:rFonts w:ascii="Century Gothic" w:hAnsi="Century Gothic" w:cs="Arial"/>
          <w:color w:val="000000"/>
          <w:kern w:val="24"/>
          <w:lang w:val="es-ES" w:eastAsia="es-ES"/>
        </w:rPr>
      </w:pPr>
      <w:r w:rsidRPr="00B60174">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B60174">
        <w:rPr>
          <w:rFonts w:ascii="Century Gothic" w:hAnsi="Century Gothic" w:cs="Arial"/>
          <w:b/>
          <w:color w:val="000000"/>
          <w:kern w:val="24"/>
          <w:lang w:val="es-ES" w:eastAsia="es-ES"/>
        </w:rPr>
        <w:t xml:space="preserve"> </w:t>
      </w:r>
      <w:r w:rsidR="00187602" w:rsidRPr="00B60174">
        <w:rPr>
          <w:rFonts w:ascii="Century Gothic" w:hAnsi="Century Gothic" w:cs="Arial"/>
          <w:b/>
          <w:color w:val="000000"/>
          <w:kern w:val="24"/>
          <w:lang w:val="es-ES" w:eastAsia="es-ES"/>
        </w:rPr>
        <w:t xml:space="preserve">Simplificar la regulación </w:t>
      </w:r>
      <w:r w:rsidR="00867DB1">
        <w:rPr>
          <w:rFonts w:ascii="Century Gothic" w:hAnsi="Century Gothic" w:cs="Arial"/>
          <w:b/>
          <w:color w:val="000000"/>
          <w:kern w:val="24"/>
          <w:lang w:val="es-ES" w:eastAsia="es-ES"/>
        </w:rPr>
        <w:t>sectorial</w:t>
      </w:r>
      <w:r w:rsidR="009576DF">
        <w:rPr>
          <w:rFonts w:ascii="Century Gothic" w:hAnsi="Century Gothic" w:cs="Arial"/>
          <w:b/>
          <w:color w:val="000000"/>
          <w:kern w:val="24"/>
          <w:lang w:val="es-ES" w:eastAsia="es-ES"/>
        </w:rPr>
        <w:t>.</w:t>
      </w:r>
    </w:p>
    <w:p w14:paraId="72D02860" w14:textId="6E18DC2B" w:rsidR="00187602" w:rsidRDefault="00B761E1" w:rsidP="00757E55">
      <w:pPr>
        <w:pStyle w:val="Prrafodelista"/>
        <w:numPr>
          <w:ilvl w:val="1"/>
          <w:numId w:val="32"/>
        </w:numPr>
        <w:rPr>
          <w:rFonts w:ascii="Century Gothic" w:hAnsi="Century Gothic"/>
          <w:lang w:val="es-ES"/>
        </w:rPr>
      </w:pPr>
      <w:r w:rsidRPr="009576DF">
        <w:rPr>
          <w:rFonts w:ascii="Century Gothic" w:hAnsi="Century Gothic"/>
          <w:lang w:val="es-ES"/>
        </w:rPr>
        <w:t>Analizar y actualizar la regulación aplicable a la PYME en cada uno de los sectores productivos, e</w:t>
      </w:r>
      <w:r w:rsidR="00187602" w:rsidRPr="009576DF">
        <w:rPr>
          <w:rFonts w:ascii="Century Gothic" w:hAnsi="Century Gothic"/>
          <w:lang w:val="es-ES"/>
        </w:rPr>
        <w:t>limina</w:t>
      </w:r>
      <w:r w:rsidRPr="009576DF">
        <w:rPr>
          <w:rFonts w:ascii="Century Gothic" w:hAnsi="Century Gothic"/>
          <w:lang w:val="es-ES"/>
        </w:rPr>
        <w:t>ndo</w:t>
      </w:r>
      <w:r w:rsidR="00187602" w:rsidRPr="009576DF">
        <w:rPr>
          <w:rFonts w:ascii="Century Gothic" w:hAnsi="Century Gothic"/>
          <w:lang w:val="es-ES"/>
        </w:rPr>
        <w:t xml:space="preserve"> o reduci</w:t>
      </w:r>
      <w:r w:rsidRPr="009576DF">
        <w:rPr>
          <w:rFonts w:ascii="Century Gothic" w:hAnsi="Century Gothic"/>
          <w:lang w:val="es-ES"/>
        </w:rPr>
        <w:t>endo</w:t>
      </w:r>
      <w:r w:rsidR="00187602" w:rsidRPr="009576DF">
        <w:rPr>
          <w:rFonts w:ascii="Century Gothic" w:hAnsi="Century Gothic"/>
          <w:lang w:val="es-ES"/>
        </w:rPr>
        <w:t xml:space="preserve"> aquellas trabas normativas que supon</w:t>
      </w:r>
      <w:r w:rsidRPr="009576DF">
        <w:rPr>
          <w:rFonts w:ascii="Century Gothic" w:hAnsi="Century Gothic"/>
          <w:lang w:val="es-ES"/>
        </w:rPr>
        <w:t>gan</w:t>
      </w:r>
      <w:r w:rsidR="00187602" w:rsidRPr="009576DF">
        <w:rPr>
          <w:rFonts w:ascii="Century Gothic" w:hAnsi="Century Gothic"/>
          <w:lang w:val="es-ES"/>
        </w:rPr>
        <w:t xml:space="preserve"> un obstáculo en </w:t>
      </w:r>
      <w:r w:rsidR="00FD29CA" w:rsidRPr="009576DF">
        <w:rPr>
          <w:rFonts w:ascii="Century Gothic" w:hAnsi="Century Gothic"/>
          <w:lang w:val="es-ES"/>
        </w:rPr>
        <w:t>su</w:t>
      </w:r>
      <w:r w:rsidR="00187602" w:rsidRPr="009576DF">
        <w:rPr>
          <w:rFonts w:ascii="Century Gothic" w:hAnsi="Century Gothic"/>
          <w:lang w:val="es-ES"/>
        </w:rPr>
        <w:t xml:space="preserve"> desarrollo y </w:t>
      </w:r>
      <w:r w:rsidRPr="009576DF">
        <w:rPr>
          <w:rFonts w:ascii="Century Gothic" w:hAnsi="Century Gothic"/>
          <w:lang w:val="es-ES"/>
        </w:rPr>
        <w:t xml:space="preserve">en </w:t>
      </w:r>
      <w:r w:rsidR="00187602" w:rsidRPr="009576DF">
        <w:rPr>
          <w:rFonts w:ascii="Century Gothic" w:hAnsi="Century Gothic"/>
          <w:lang w:val="es-ES"/>
        </w:rPr>
        <w:t>el ejercicio de su actividad.</w:t>
      </w:r>
      <w:r w:rsidR="00B60174" w:rsidRPr="009576DF">
        <w:rPr>
          <w:rFonts w:ascii="Century Gothic" w:hAnsi="Century Gothic"/>
          <w:lang w:val="es-ES"/>
        </w:rPr>
        <w:t xml:space="preserve"> Revisar la Ley de Sociedades de Capital para adaptarlas a la</w:t>
      </w:r>
      <w:r w:rsidR="0059705A" w:rsidRPr="009576DF">
        <w:rPr>
          <w:rFonts w:ascii="Century Gothic" w:hAnsi="Century Gothic"/>
          <w:lang w:val="es-ES"/>
        </w:rPr>
        <w:t>s PYME y micropyme</w:t>
      </w:r>
      <w:r w:rsidR="00C81E58" w:rsidRPr="009576DF">
        <w:rPr>
          <w:rFonts w:ascii="Century Gothic" w:hAnsi="Century Gothic"/>
          <w:lang w:val="es-ES"/>
        </w:rPr>
        <w:t>s</w:t>
      </w:r>
      <w:r w:rsidR="0059705A" w:rsidRPr="009576DF">
        <w:rPr>
          <w:rFonts w:ascii="Century Gothic" w:hAnsi="Century Gothic"/>
          <w:lang w:val="es-ES"/>
        </w:rPr>
        <w:t>.</w:t>
      </w:r>
    </w:p>
    <w:p w14:paraId="798E6ED4" w14:textId="77777777" w:rsidR="009576DF" w:rsidRDefault="009576DF" w:rsidP="00757E55">
      <w:pPr>
        <w:pStyle w:val="Prrafodelista"/>
        <w:numPr>
          <w:ilvl w:val="1"/>
          <w:numId w:val="32"/>
        </w:numPr>
        <w:rPr>
          <w:rFonts w:ascii="Century Gothic" w:hAnsi="Century Gothic"/>
          <w:lang w:val="es-ES"/>
        </w:rPr>
      </w:pPr>
      <w:r w:rsidRPr="00B761E1">
        <w:rPr>
          <w:rFonts w:ascii="Century Gothic" w:hAnsi="Century Gothic"/>
          <w:lang w:val="es-ES"/>
        </w:rPr>
        <w:t xml:space="preserve">Introducir en los análisis de impacto de la normativa </w:t>
      </w:r>
      <w:r>
        <w:rPr>
          <w:rFonts w:ascii="Century Gothic" w:hAnsi="Century Gothic"/>
          <w:lang w:val="es-ES"/>
        </w:rPr>
        <w:t>el "scale up fitness check", en consonancia con el Programa de Acción PYME de la Comisión Europea.</w:t>
      </w:r>
    </w:p>
    <w:p w14:paraId="474B3FFD" w14:textId="60F0EC92" w:rsidR="009576DF" w:rsidRDefault="009576DF" w:rsidP="00757E55">
      <w:pPr>
        <w:pStyle w:val="Prrafodelista"/>
        <w:numPr>
          <w:ilvl w:val="1"/>
          <w:numId w:val="32"/>
        </w:numPr>
        <w:rPr>
          <w:rFonts w:ascii="Century Gothic" w:hAnsi="Century Gothic"/>
          <w:lang w:val="es-ES"/>
        </w:rPr>
      </w:pPr>
      <w:r>
        <w:rPr>
          <w:rFonts w:ascii="Century Gothic" w:hAnsi="Century Gothic"/>
          <w:lang w:val="es-ES"/>
        </w:rPr>
        <w:t>Llevar a cabo la i</w:t>
      </w:r>
      <w:r w:rsidRPr="00B761E1">
        <w:rPr>
          <w:rFonts w:ascii="Century Gothic" w:hAnsi="Century Gothic"/>
          <w:lang w:val="es-ES"/>
        </w:rPr>
        <w:t>mplantación</w:t>
      </w:r>
      <w:r>
        <w:rPr>
          <w:rFonts w:ascii="Century Gothic" w:hAnsi="Century Gothic"/>
          <w:lang w:val="es-ES"/>
        </w:rPr>
        <w:t xml:space="preserve"> del test PYME</w:t>
      </w:r>
      <w:r w:rsidRPr="00B761E1">
        <w:rPr>
          <w:rFonts w:ascii="Century Gothic" w:hAnsi="Century Gothic"/>
          <w:lang w:val="es-ES"/>
        </w:rPr>
        <w:t xml:space="preserve"> en la </w:t>
      </w:r>
      <w:r>
        <w:rPr>
          <w:rFonts w:ascii="Century Gothic" w:hAnsi="Century Gothic"/>
          <w:lang w:val="es-ES"/>
        </w:rPr>
        <w:t xml:space="preserve">Administración General del </w:t>
      </w:r>
      <w:r w:rsidR="00624F55">
        <w:rPr>
          <w:rFonts w:ascii="Century Gothic" w:hAnsi="Century Gothic"/>
          <w:lang w:val="es-ES"/>
        </w:rPr>
        <w:t>Estado,</w:t>
      </w:r>
      <w:r>
        <w:rPr>
          <w:rFonts w:ascii="Century Gothic" w:hAnsi="Century Gothic"/>
          <w:lang w:val="es-ES"/>
        </w:rPr>
        <w:t xml:space="preserve"> así como la colaboración con </w:t>
      </w:r>
      <w:r w:rsidRPr="00B761E1">
        <w:rPr>
          <w:rFonts w:ascii="Century Gothic" w:hAnsi="Century Gothic"/>
          <w:lang w:val="es-ES"/>
        </w:rPr>
        <w:t>otras Administraciones</w:t>
      </w:r>
      <w:r>
        <w:rPr>
          <w:rFonts w:ascii="Century Gothic" w:hAnsi="Century Gothic"/>
          <w:lang w:val="es-ES"/>
        </w:rPr>
        <w:t xml:space="preserve"> para que lo adopten</w:t>
      </w:r>
      <w:r w:rsidRPr="00B761E1">
        <w:rPr>
          <w:rFonts w:ascii="Century Gothic" w:hAnsi="Century Gothic"/>
          <w:lang w:val="es-ES"/>
        </w:rPr>
        <w:t xml:space="preserve">. </w:t>
      </w:r>
      <w:r>
        <w:rPr>
          <w:rFonts w:ascii="Century Gothic" w:hAnsi="Century Gothic"/>
          <w:lang w:val="es-ES"/>
        </w:rPr>
        <w:t>Incluir seminarios de formación para las Administraciones públicas, buscando su difusión y mejor aplicación.</w:t>
      </w:r>
    </w:p>
    <w:p w14:paraId="6E2C4CC9" w14:textId="55B48BAD" w:rsidR="00187602" w:rsidRPr="00867DB1" w:rsidRDefault="009576DF" w:rsidP="00757E55">
      <w:pPr>
        <w:pStyle w:val="Prrafodelista"/>
        <w:numPr>
          <w:ilvl w:val="1"/>
          <w:numId w:val="32"/>
        </w:numPr>
        <w:rPr>
          <w:rFonts w:ascii="Century Gothic" w:hAnsi="Century Gothic"/>
          <w:lang w:val="es-ES"/>
        </w:rPr>
      </w:pPr>
      <w:r w:rsidRPr="00867DB1">
        <w:rPr>
          <w:rFonts w:ascii="Century Gothic" w:hAnsi="Century Gothic"/>
          <w:lang w:val="es-ES"/>
        </w:rPr>
        <w:lastRenderedPageBreak/>
        <w:t>Seguir desarrollando la medida de la Ley de emprendedores, One in - One out, y estudiar fórmulas que puedan profundizar en este sentido.</w:t>
      </w:r>
    </w:p>
    <w:p w14:paraId="00AC75A1" w14:textId="5E2E9292" w:rsidR="00F80697" w:rsidRDefault="00187602" w:rsidP="00757E55">
      <w:pPr>
        <w:pStyle w:val="Prrafodelista"/>
        <w:numPr>
          <w:ilvl w:val="0"/>
          <w:numId w:val="32"/>
        </w:numPr>
        <w:rPr>
          <w:rFonts w:ascii="Century Gothic" w:hAnsi="Century Gothic" w:cs="Arial"/>
          <w:b/>
          <w:color w:val="000000"/>
          <w:kern w:val="24"/>
          <w:lang w:val="es-ES" w:eastAsia="es-ES"/>
        </w:rPr>
      </w:pPr>
      <w:r w:rsidRPr="00B761E1">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B761E1">
        <w:rPr>
          <w:rFonts w:ascii="Century Gothic" w:hAnsi="Century Gothic" w:cs="Arial"/>
          <w:b/>
          <w:color w:val="000000"/>
          <w:kern w:val="24"/>
          <w:lang w:val="es-ES" w:eastAsia="es-ES"/>
        </w:rPr>
        <w:t xml:space="preserve"> </w:t>
      </w:r>
      <w:r w:rsidR="00867DB1">
        <w:rPr>
          <w:rFonts w:ascii="Century Gothic" w:hAnsi="Century Gothic" w:cs="Arial"/>
          <w:b/>
          <w:color w:val="000000"/>
          <w:kern w:val="24"/>
          <w:lang w:val="es-ES" w:eastAsia="es-ES"/>
        </w:rPr>
        <w:t>M</w:t>
      </w:r>
      <w:r w:rsidR="00867DB1" w:rsidRPr="00B60174">
        <w:rPr>
          <w:rFonts w:ascii="Century Gothic" w:hAnsi="Century Gothic" w:cs="Arial"/>
          <w:b/>
          <w:color w:val="000000"/>
          <w:kern w:val="24"/>
          <w:lang w:val="es-ES" w:eastAsia="es-ES"/>
        </w:rPr>
        <w:t>ejorar la coordinación interadministrativa en relación a la actividad de la PYME</w:t>
      </w:r>
      <w:r w:rsidRPr="00B761E1">
        <w:rPr>
          <w:rFonts w:ascii="Century Gothic" w:hAnsi="Century Gothic" w:cs="Arial"/>
          <w:b/>
          <w:color w:val="000000"/>
          <w:kern w:val="24"/>
          <w:lang w:val="es-ES" w:eastAsia="es-ES"/>
        </w:rPr>
        <w:t xml:space="preserve"> </w:t>
      </w:r>
    </w:p>
    <w:p w14:paraId="4C8C39B8" w14:textId="77777777" w:rsidR="00867DB1" w:rsidRDefault="00867DB1" w:rsidP="00757E55">
      <w:pPr>
        <w:pStyle w:val="Prrafodelista"/>
        <w:numPr>
          <w:ilvl w:val="1"/>
          <w:numId w:val="32"/>
        </w:numPr>
        <w:rPr>
          <w:rFonts w:ascii="Century Gothic" w:hAnsi="Century Gothic"/>
          <w:lang w:val="es-ES"/>
        </w:rPr>
      </w:pPr>
      <w:r w:rsidRPr="007B64B7">
        <w:rPr>
          <w:rFonts w:ascii="Century Gothic" w:hAnsi="Century Gothic"/>
          <w:lang w:val="es-ES"/>
        </w:rPr>
        <w:t xml:space="preserve">Fomentar la coordinación interadministrativa entre AGE, CCAA y EELL para homogeneizar los procedimientos </w:t>
      </w:r>
      <w:r>
        <w:rPr>
          <w:rFonts w:ascii="Century Gothic" w:hAnsi="Century Gothic"/>
          <w:lang w:val="es-ES"/>
        </w:rPr>
        <w:t xml:space="preserve">relativos a </w:t>
      </w:r>
      <w:r w:rsidRPr="007B64B7">
        <w:rPr>
          <w:rFonts w:ascii="Century Gothic" w:hAnsi="Century Gothic"/>
          <w:lang w:val="es-ES"/>
        </w:rPr>
        <w:t xml:space="preserve">las licencias </w:t>
      </w:r>
      <w:r>
        <w:rPr>
          <w:rFonts w:ascii="Century Gothic" w:hAnsi="Century Gothic"/>
          <w:lang w:val="es-ES"/>
        </w:rPr>
        <w:t>y permisos de inicio de</w:t>
      </w:r>
      <w:r w:rsidRPr="007B64B7">
        <w:rPr>
          <w:rFonts w:ascii="Century Gothic" w:hAnsi="Century Gothic"/>
          <w:lang w:val="es-ES"/>
        </w:rPr>
        <w:t xml:space="preserve"> actividad. </w:t>
      </w:r>
      <w:r>
        <w:rPr>
          <w:rFonts w:ascii="Century Gothic" w:hAnsi="Century Gothic"/>
          <w:lang w:val="es-ES"/>
        </w:rPr>
        <w:t>L</w:t>
      </w:r>
      <w:r w:rsidRPr="00867DB1">
        <w:rPr>
          <w:rFonts w:ascii="Century Gothic" w:hAnsi="Century Gothic"/>
          <w:lang w:val="es-ES"/>
        </w:rPr>
        <w:t>lega</w:t>
      </w:r>
      <w:r>
        <w:rPr>
          <w:rFonts w:ascii="Century Gothic" w:hAnsi="Century Gothic"/>
          <w:lang w:val="es-ES"/>
        </w:rPr>
        <w:t>r</w:t>
      </w:r>
      <w:r w:rsidRPr="00867DB1">
        <w:rPr>
          <w:rFonts w:ascii="Century Gothic" w:hAnsi="Century Gothic"/>
          <w:lang w:val="es-ES"/>
        </w:rPr>
        <w:t xml:space="preserve"> a acuerdos relativos criterios interpretativos de aplicación comunes a todas las Administraciones Públicas</w:t>
      </w:r>
    </w:p>
    <w:p w14:paraId="23872028" w14:textId="77777777" w:rsidR="00867DB1" w:rsidRPr="00867DB1" w:rsidRDefault="00867DB1" w:rsidP="00757E55">
      <w:pPr>
        <w:numPr>
          <w:ilvl w:val="1"/>
          <w:numId w:val="32"/>
        </w:numPr>
        <w:spacing w:after="120" w:line="276" w:lineRule="auto"/>
        <w:rPr>
          <w:rFonts w:ascii="Century Gothic" w:hAnsi="Century Gothic"/>
          <w:szCs w:val="22"/>
          <w:lang w:val="es-ES" w:eastAsia="en-GB"/>
        </w:rPr>
      </w:pPr>
      <w:r>
        <w:rPr>
          <w:rFonts w:ascii="Century Gothic" w:hAnsi="Century Gothic"/>
          <w:lang w:val="es-ES"/>
        </w:rPr>
        <w:t>I</w:t>
      </w:r>
      <w:r w:rsidRPr="007B64B7">
        <w:rPr>
          <w:rFonts w:ascii="Century Gothic" w:hAnsi="Century Gothic"/>
          <w:lang w:val="es-ES"/>
        </w:rPr>
        <w:t xml:space="preserve">mpulsar </w:t>
      </w:r>
      <w:r>
        <w:rPr>
          <w:rFonts w:ascii="Century Gothic" w:hAnsi="Century Gothic"/>
          <w:lang w:val="es-ES"/>
        </w:rPr>
        <w:t>el</w:t>
      </w:r>
      <w:r w:rsidRPr="007B64B7">
        <w:rPr>
          <w:rFonts w:ascii="Century Gothic" w:hAnsi="Century Gothic"/>
          <w:lang w:val="es-ES"/>
        </w:rPr>
        <w:t xml:space="preserve"> desarrollo</w:t>
      </w:r>
      <w:r>
        <w:rPr>
          <w:rFonts w:ascii="Century Gothic" w:hAnsi="Century Gothic"/>
          <w:lang w:val="es-ES"/>
        </w:rPr>
        <w:t xml:space="preserve"> de la ventanilla única de la Directiva de Servicios</w:t>
      </w:r>
      <w:r w:rsidRPr="007B64B7">
        <w:rPr>
          <w:rFonts w:ascii="Century Gothic" w:hAnsi="Century Gothic"/>
          <w:lang w:val="es-ES"/>
        </w:rPr>
        <w:t xml:space="preserve"> aprovechando la propuesta de reglamento </w:t>
      </w:r>
      <w:r>
        <w:rPr>
          <w:rFonts w:ascii="Century Gothic" w:hAnsi="Century Gothic"/>
          <w:lang w:val="es-ES"/>
        </w:rPr>
        <w:t xml:space="preserve">europeo </w:t>
      </w:r>
      <w:r w:rsidRPr="007B64B7">
        <w:rPr>
          <w:rFonts w:ascii="Century Gothic" w:hAnsi="Century Gothic"/>
          <w:lang w:val="es-ES"/>
        </w:rPr>
        <w:t>del Portal Único Digital.</w:t>
      </w:r>
    </w:p>
    <w:p w14:paraId="6989B425" w14:textId="749B69B6" w:rsidR="00187602" w:rsidRPr="00867DB1" w:rsidRDefault="00867DB1" w:rsidP="00757E55">
      <w:pPr>
        <w:numPr>
          <w:ilvl w:val="1"/>
          <w:numId w:val="32"/>
        </w:numPr>
        <w:spacing w:after="120" w:line="276" w:lineRule="auto"/>
        <w:rPr>
          <w:rFonts w:ascii="Century Gothic" w:hAnsi="Century Gothic"/>
          <w:szCs w:val="22"/>
          <w:lang w:val="es-ES" w:eastAsia="en-GB"/>
        </w:rPr>
      </w:pPr>
      <w:r>
        <w:rPr>
          <w:rFonts w:ascii="Century Gothic" w:hAnsi="Century Gothic"/>
          <w:szCs w:val="22"/>
          <w:lang w:val="es-ES" w:eastAsia="en-GB"/>
        </w:rPr>
        <w:t>Seguir avanzando en la</w:t>
      </w:r>
      <w:r w:rsidR="00A02986" w:rsidRPr="00867DB1">
        <w:rPr>
          <w:rFonts w:ascii="Century Gothic" w:hAnsi="Century Gothic"/>
          <w:szCs w:val="22"/>
          <w:lang w:val="es-ES" w:eastAsia="en-GB"/>
        </w:rPr>
        <w:t xml:space="preserve"> digitalización de los procedimientos y trámites administrativos para el conjunto de administraciones, de tal forma que se reduzca el coste asociado al cumplimiento de los mismos por parte de las pymes. Todo ello, bajo el principio de neutralidad de manera que las herramientas y dispositivos que deban utilizarse para la tramitación electrónica, así como sus características técnicas, no</w:t>
      </w:r>
      <w:r w:rsidR="00C81E58" w:rsidRPr="00867DB1">
        <w:rPr>
          <w:rFonts w:ascii="Century Gothic" w:hAnsi="Century Gothic"/>
          <w:szCs w:val="22"/>
          <w:lang w:val="es-ES" w:eastAsia="en-GB"/>
        </w:rPr>
        <w:t xml:space="preserve"> sean</w:t>
      </w:r>
      <w:r w:rsidR="00A02986" w:rsidRPr="00867DB1">
        <w:rPr>
          <w:rFonts w:ascii="Century Gothic" w:hAnsi="Century Gothic"/>
          <w:szCs w:val="22"/>
          <w:lang w:val="es-ES" w:eastAsia="en-GB"/>
        </w:rPr>
        <w:t xml:space="preserve"> discriminatorios, </w:t>
      </w:r>
      <w:r w:rsidR="00C81E58" w:rsidRPr="00867DB1">
        <w:rPr>
          <w:rFonts w:ascii="Century Gothic" w:hAnsi="Century Gothic"/>
          <w:szCs w:val="22"/>
          <w:lang w:val="es-ES" w:eastAsia="en-GB"/>
        </w:rPr>
        <w:t>estén</w:t>
      </w:r>
      <w:r w:rsidR="00A02986" w:rsidRPr="00867DB1">
        <w:rPr>
          <w:rFonts w:ascii="Century Gothic" w:hAnsi="Century Gothic"/>
          <w:szCs w:val="22"/>
          <w:lang w:val="es-ES" w:eastAsia="en-GB"/>
        </w:rPr>
        <w:t xml:space="preserve"> disponibles de forma general y se</w:t>
      </w:r>
      <w:r w:rsidR="00C81E58" w:rsidRPr="00867DB1">
        <w:rPr>
          <w:rFonts w:ascii="Century Gothic" w:hAnsi="Century Gothic"/>
          <w:szCs w:val="22"/>
          <w:lang w:val="es-ES" w:eastAsia="en-GB"/>
        </w:rPr>
        <w:t>an</w:t>
      </w:r>
      <w:r w:rsidR="00A02986" w:rsidRPr="00867DB1">
        <w:rPr>
          <w:rFonts w:ascii="Century Gothic" w:hAnsi="Century Gothic"/>
          <w:szCs w:val="22"/>
          <w:lang w:val="es-ES" w:eastAsia="en-GB"/>
        </w:rPr>
        <w:t xml:space="preserve"> compatibles con los productos informáticos de uso general, no restringiendo el acceso de las PYME.</w:t>
      </w:r>
    </w:p>
    <w:p w14:paraId="1CFF2077" w14:textId="77777777" w:rsidR="00F80697" w:rsidRPr="00F80697" w:rsidRDefault="00F80697" w:rsidP="00757E55">
      <w:pPr>
        <w:numPr>
          <w:ilvl w:val="1"/>
          <w:numId w:val="32"/>
        </w:numPr>
        <w:spacing w:after="120" w:line="276" w:lineRule="auto"/>
        <w:rPr>
          <w:rFonts w:ascii="Century Gothic" w:hAnsi="Century Gothic"/>
          <w:szCs w:val="22"/>
          <w:lang w:val="es-ES" w:eastAsia="en-GB"/>
        </w:rPr>
      </w:pPr>
      <w:r w:rsidRPr="00F80697">
        <w:rPr>
          <w:rFonts w:ascii="Century Gothic" w:hAnsi="Century Gothic"/>
          <w:szCs w:val="22"/>
          <w:lang w:val="es-ES" w:eastAsia="en-GB"/>
        </w:rPr>
        <w:t xml:space="preserve">Reducir y ordenar la dispersión de la legislación mercantil actualmente vigente a través de reformas legales orientadas a establecer un texto armónico que rija las relaciones mercantiles privadas, y que reemplace la actual dispersión normativa. </w:t>
      </w:r>
    </w:p>
    <w:p w14:paraId="62D0D3EB" w14:textId="06710320" w:rsidR="002B428B" w:rsidRDefault="002B428B" w:rsidP="00757E55">
      <w:pPr>
        <w:pStyle w:val="Prrafodelista"/>
        <w:numPr>
          <w:ilvl w:val="0"/>
          <w:numId w:val="32"/>
        </w:numPr>
        <w:rPr>
          <w:rFonts w:ascii="Century Gothic" w:hAnsi="Century Gothic" w:cs="Arial"/>
          <w:color w:val="000000"/>
          <w:kern w:val="24"/>
          <w:lang w:val="es-ES" w:eastAsia="es-ES"/>
        </w:rPr>
      </w:pPr>
      <w:r>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Pr>
          <w:rFonts w:ascii="Century Gothic" w:hAnsi="Century Gothic" w:cs="Arial"/>
          <w:b/>
          <w:color w:val="000000"/>
          <w:kern w:val="24"/>
          <w:lang w:val="es-ES" w:eastAsia="es-ES"/>
        </w:rPr>
        <w:t xml:space="preserve"> Incentivar la colaboración entre grandes empresas y PYME: </w:t>
      </w:r>
      <w:r>
        <w:rPr>
          <w:rFonts w:ascii="Century Gothic" w:hAnsi="Century Gothic" w:cs="Arial"/>
          <w:color w:val="000000"/>
          <w:kern w:val="24"/>
          <w:lang w:val="es-ES" w:eastAsia="es-ES"/>
        </w:rPr>
        <w:t>Fomentar la c</w:t>
      </w:r>
      <w:r w:rsidRPr="002B428B">
        <w:rPr>
          <w:rFonts w:ascii="Century Gothic" w:hAnsi="Century Gothic" w:cs="Arial"/>
          <w:color w:val="000000"/>
          <w:kern w:val="24"/>
          <w:lang w:val="es-ES" w:eastAsia="es-ES"/>
        </w:rPr>
        <w:t>ooperación entre grandes y pequeñas a través de las compras</w:t>
      </w:r>
      <w:r>
        <w:rPr>
          <w:rFonts w:ascii="Century Gothic" w:hAnsi="Century Gothic" w:cs="Arial"/>
          <w:color w:val="000000"/>
          <w:kern w:val="24"/>
          <w:lang w:val="es-ES" w:eastAsia="es-ES"/>
        </w:rPr>
        <w:t xml:space="preserve"> que permita a éstas últimas mejorar en su gestión y productividad. </w:t>
      </w:r>
    </w:p>
    <w:p w14:paraId="14E73D38" w14:textId="77777777" w:rsidR="0059705A" w:rsidRDefault="002B428B" w:rsidP="00757E55">
      <w:pPr>
        <w:pStyle w:val="Prrafodelista"/>
        <w:numPr>
          <w:ilvl w:val="1"/>
          <w:numId w:val="32"/>
        </w:numPr>
        <w:rPr>
          <w:rFonts w:ascii="Century Gothic" w:hAnsi="Century Gothic"/>
          <w:lang w:val="es-ES"/>
        </w:rPr>
      </w:pPr>
      <w:r>
        <w:rPr>
          <w:rFonts w:ascii="Century Gothic" w:hAnsi="Century Gothic"/>
          <w:lang w:val="es-ES"/>
        </w:rPr>
        <w:t xml:space="preserve">Desarrollar </w:t>
      </w:r>
      <w:r w:rsidRPr="002B428B">
        <w:rPr>
          <w:rFonts w:ascii="Century Gothic" w:hAnsi="Century Gothic"/>
          <w:lang w:val="es-ES"/>
        </w:rPr>
        <w:t>códigos de buenas prácticas para los departamentos de compras de las grandes empresas</w:t>
      </w:r>
      <w:r w:rsidR="00131543">
        <w:rPr>
          <w:rFonts w:ascii="Century Gothic" w:hAnsi="Century Gothic"/>
          <w:lang w:val="es-ES"/>
        </w:rPr>
        <w:t xml:space="preserve">; </w:t>
      </w:r>
    </w:p>
    <w:p w14:paraId="005ECE78" w14:textId="0C438237" w:rsidR="002B428B" w:rsidRDefault="00131543" w:rsidP="00757E55">
      <w:pPr>
        <w:pStyle w:val="Prrafodelista"/>
        <w:numPr>
          <w:ilvl w:val="1"/>
          <w:numId w:val="32"/>
        </w:numPr>
        <w:rPr>
          <w:rFonts w:ascii="Century Gothic" w:hAnsi="Century Gothic"/>
          <w:lang w:val="es-ES"/>
        </w:rPr>
      </w:pPr>
      <w:r>
        <w:rPr>
          <w:rFonts w:ascii="Century Gothic" w:hAnsi="Century Gothic"/>
          <w:lang w:val="es-ES"/>
        </w:rPr>
        <w:t xml:space="preserve">Destinar </w:t>
      </w:r>
      <w:r w:rsidR="002B428B" w:rsidRPr="002B428B">
        <w:rPr>
          <w:rFonts w:ascii="Century Gothic" w:hAnsi="Century Gothic"/>
          <w:lang w:val="es-ES"/>
        </w:rPr>
        <w:t>reservas de cuotas</w:t>
      </w:r>
      <w:r>
        <w:rPr>
          <w:rFonts w:ascii="Century Gothic" w:hAnsi="Century Gothic"/>
          <w:lang w:val="es-ES"/>
        </w:rPr>
        <w:t xml:space="preserve"> para las PYME</w:t>
      </w:r>
      <w:r w:rsidR="002B428B" w:rsidRPr="002B428B">
        <w:rPr>
          <w:rFonts w:ascii="Century Gothic" w:hAnsi="Century Gothic"/>
          <w:lang w:val="es-ES"/>
        </w:rPr>
        <w:t xml:space="preserve"> y que se respete</w:t>
      </w:r>
      <w:r>
        <w:rPr>
          <w:rFonts w:ascii="Century Gothic" w:hAnsi="Century Gothic"/>
          <w:lang w:val="es-ES"/>
        </w:rPr>
        <w:t>n</w:t>
      </w:r>
      <w:r w:rsidR="002B428B" w:rsidRPr="002B428B">
        <w:rPr>
          <w:rFonts w:ascii="Century Gothic" w:hAnsi="Century Gothic"/>
          <w:lang w:val="es-ES"/>
        </w:rPr>
        <w:t xml:space="preserve"> los </w:t>
      </w:r>
      <w:r>
        <w:rPr>
          <w:rFonts w:ascii="Century Gothic" w:hAnsi="Century Gothic"/>
          <w:lang w:val="es-ES"/>
        </w:rPr>
        <w:t>periodos de pago.</w:t>
      </w:r>
      <w:r w:rsidR="006802BB">
        <w:rPr>
          <w:rFonts w:ascii="Century Gothic" w:hAnsi="Century Gothic"/>
          <w:lang w:val="es-ES"/>
        </w:rPr>
        <w:t xml:space="preserve"> Ir hacia una cultura más de colaborador que de proveedor.</w:t>
      </w:r>
    </w:p>
    <w:p w14:paraId="7C2DE6CC" w14:textId="77777777" w:rsidR="006D6E08" w:rsidRDefault="006D6E08" w:rsidP="00757E55">
      <w:pPr>
        <w:pStyle w:val="Prrafodelista"/>
        <w:numPr>
          <w:ilvl w:val="1"/>
          <w:numId w:val="32"/>
        </w:numPr>
        <w:rPr>
          <w:rFonts w:ascii="Century Gothic" w:hAnsi="Century Gothic"/>
          <w:lang w:val="es-ES"/>
        </w:rPr>
      </w:pPr>
      <w:r>
        <w:rPr>
          <w:rFonts w:ascii="Century Gothic" w:hAnsi="Century Gothic"/>
          <w:lang w:val="es-ES"/>
        </w:rPr>
        <w:t>Fomentar q</w:t>
      </w:r>
      <w:r w:rsidRPr="006D6E08">
        <w:rPr>
          <w:rFonts w:ascii="Century Gothic" w:hAnsi="Century Gothic"/>
          <w:lang w:val="es-ES"/>
        </w:rPr>
        <w:t>ue las PYME se inserten en las grandes cadenas globales</w:t>
      </w:r>
      <w:r>
        <w:rPr>
          <w:rFonts w:ascii="Century Gothic" w:hAnsi="Century Gothic"/>
          <w:lang w:val="es-ES"/>
        </w:rPr>
        <w:t>.</w:t>
      </w:r>
    </w:p>
    <w:p w14:paraId="07FC1F44" w14:textId="77777777" w:rsidR="003B7663" w:rsidRPr="00D0188D" w:rsidRDefault="003B7663" w:rsidP="00757E55">
      <w:pPr>
        <w:pStyle w:val="Prrafodelista"/>
        <w:numPr>
          <w:ilvl w:val="1"/>
          <w:numId w:val="32"/>
        </w:numPr>
        <w:rPr>
          <w:rFonts w:ascii="Century Gothic" w:hAnsi="Century Gothic"/>
          <w:lang w:val="es-ES"/>
        </w:rPr>
      </w:pPr>
      <w:r w:rsidRPr="003B7663">
        <w:rPr>
          <w:rFonts w:ascii="Century Gothic" w:hAnsi="Century Gothic"/>
          <w:bCs/>
          <w:lang w:val="es-ES"/>
        </w:rPr>
        <w:t>Crear un marco de seguridad jurídica en torno a las relaciones de las PYME y las grandes empresas,</w:t>
      </w:r>
      <w:r w:rsidRPr="003B7663">
        <w:rPr>
          <w:rFonts w:ascii="Century Gothic" w:hAnsi="Century Gothic"/>
          <w:b/>
          <w:bCs/>
          <w:lang w:val="es-ES"/>
        </w:rPr>
        <w:t xml:space="preserve"> </w:t>
      </w:r>
      <w:r w:rsidRPr="003B7663">
        <w:rPr>
          <w:rFonts w:ascii="Century Gothic" w:hAnsi="Century Gothic"/>
          <w:bCs/>
          <w:lang w:val="es-ES"/>
        </w:rPr>
        <w:t>que aporte equilibrio negociador en contratos de distribución internacionales, franquicias, o contratos de colaboración con terceros</w:t>
      </w:r>
      <w:r>
        <w:rPr>
          <w:rFonts w:ascii="Century Gothic" w:hAnsi="Century Gothic"/>
          <w:bCs/>
          <w:lang w:val="es-ES"/>
        </w:rPr>
        <w:t>.</w:t>
      </w:r>
    </w:p>
    <w:p w14:paraId="015F85B5" w14:textId="288DCE8D" w:rsidR="00D0188D" w:rsidRPr="00867DB1" w:rsidRDefault="00D0188D" w:rsidP="00757E55">
      <w:pPr>
        <w:pStyle w:val="Prrafodelista"/>
        <w:numPr>
          <w:ilvl w:val="1"/>
          <w:numId w:val="32"/>
        </w:numPr>
        <w:rPr>
          <w:rFonts w:ascii="Century Gothic" w:hAnsi="Century Gothic"/>
          <w:lang w:val="es-ES"/>
        </w:rPr>
      </w:pPr>
      <w:r w:rsidRPr="00867DB1">
        <w:rPr>
          <w:rFonts w:ascii="Century Gothic" w:hAnsi="Century Gothic"/>
          <w:lang w:val="es-ES"/>
        </w:rPr>
        <w:t>Impulsar y promover el arbitraje y la mediación en la resolución de conflictos en la actividad empresarial entre las compañías, como vía para agilizar y simplificar los conflictos mercantiles.</w:t>
      </w:r>
    </w:p>
    <w:p w14:paraId="6E48309E" w14:textId="7F4BE70D" w:rsidR="00B761E1" w:rsidRDefault="00187602" w:rsidP="00B761E1">
      <w:pPr>
        <w:pStyle w:val="Body"/>
        <w:rPr>
          <w:b/>
          <w:u w:val="single"/>
        </w:rPr>
      </w:pPr>
      <w:r w:rsidRPr="00B761E1">
        <w:rPr>
          <w:b/>
          <w:u w:val="single"/>
        </w:rPr>
        <w:t xml:space="preserve">Fomentar el acceso de las </w:t>
      </w:r>
      <w:r w:rsidR="00867DB1">
        <w:rPr>
          <w:b/>
          <w:u w:val="single"/>
        </w:rPr>
        <w:t>PYME a la contratación pública</w:t>
      </w:r>
    </w:p>
    <w:p w14:paraId="7FF02E20" w14:textId="53D2AFA9" w:rsidR="00F115EF" w:rsidRDefault="00476056" w:rsidP="00624F55">
      <w:pPr>
        <w:pStyle w:val="Body"/>
      </w:pPr>
      <w:r>
        <w:t>Las actuaciones en este ámbito deberían ir dirigidas a conseguir los objetivos que establece la nueva regulación europea sobre contratación pública</w:t>
      </w:r>
      <w:r w:rsidR="007734C2">
        <w:t xml:space="preserve">, es decir, </w:t>
      </w:r>
      <w:r w:rsidRPr="00476056">
        <w:t>alcan</w:t>
      </w:r>
      <w:r w:rsidR="007734C2">
        <w:t>zar</w:t>
      </w:r>
      <w:r w:rsidRPr="00476056">
        <w:t xml:space="preserve"> mejores resultados en lo que se refiere a la participación de las PYME en el valor total de los contratos que se adjudiquen.</w:t>
      </w:r>
    </w:p>
    <w:p w14:paraId="54A9D7C3" w14:textId="77777777" w:rsidR="008850F8" w:rsidRPr="00624F55" w:rsidRDefault="008850F8" w:rsidP="00624F55">
      <w:pPr>
        <w:pStyle w:val="Body"/>
      </w:pPr>
    </w:p>
    <w:p w14:paraId="19626438" w14:textId="77777777" w:rsidR="00B761E1" w:rsidRDefault="00187602" w:rsidP="00757E55">
      <w:pPr>
        <w:pStyle w:val="Prrafodelista"/>
        <w:numPr>
          <w:ilvl w:val="0"/>
          <w:numId w:val="32"/>
        </w:numPr>
        <w:rPr>
          <w:rFonts w:ascii="Century Gothic" w:hAnsi="Century Gothic" w:cs="Arial"/>
          <w:b/>
          <w:color w:val="000000"/>
          <w:kern w:val="24"/>
          <w:lang w:val="es-ES" w:eastAsia="es-ES"/>
        </w:rPr>
      </w:pPr>
      <w:r w:rsidRPr="00B761E1">
        <w:rPr>
          <w:rFonts w:ascii="Century Gothic" w:hAnsi="Century Gothic" w:cs="Arial"/>
          <w:b/>
          <w:color w:val="000000"/>
          <w:kern w:val="24"/>
          <w:lang w:val="es-ES" w:eastAsia="es-ES"/>
        </w:rPr>
        <w:lastRenderedPageBreak/>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B761E1">
        <w:rPr>
          <w:rFonts w:ascii="Century Gothic" w:hAnsi="Century Gothic" w:cs="Arial"/>
          <w:b/>
          <w:color w:val="000000"/>
          <w:kern w:val="24"/>
          <w:lang w:val="es-ES" w:eastAsia="es-ES"/>
        </w:rPr>
        <w:t xml:space="preserve"> Fomentar la contratación pública de la PYME por parte de la Administración: </w:t>
      </w:r>
    </w:p>
    <w:p w14:paraId="6EAB690B" w14:textId="16B8007C" w:rsidR="00B761E1" w:rsidRDefault="00187602" w:rsidP="00757E55">
      <w:pPr>
        <w:pStyle w:val="Prrafodelista"/>
        <w:numPr>
          <w:ilvl w:val="1"/>
          <w:numId w:val="32"/>
        </w:numPr>
        <w:rPr>
          <w:rFonts w:ascii="Century Gothic" w:hAnsi="Century Gothic"/>
          <w:lang w:val="es-ES"/>
        </w:rPr>
      </w:pPr>
      <w:r w:rsidRPr="00B761E1">
        <w:rPr>
          <w:rFonts w:ascii="Century Gothic" w:hAnsi="Century Gothic"/>
          <w:lang w:val="es-ES"/>
        </w:rPr>
        <w:t xml:space="preserve">Mejorar los ratios de participación de PYME en la contratación pública, </w:t>
      </w:r>
      <w:r w:rsidR="00FB18D8">
        <w:rPr>
          <w:rFonts w:ascii="Century Gothic" w:hAnsi="Century Gothic"/>
          <w:lang w:val="es-ES"/>
        </w:rPr>
        <w:t>aprovechando todas las posibilidades que ofrece la Ley de Contratos del Sector Público</w:t>
      </w:r>
      <w:r w:rsidRPr="00B761E1">
        <w:rPr>
          <w:rFonts w:ascii="Century Gothic" w:hAnsi="Century Gothic"/>
          <w:lang w:val="es-ES"/>
        </w:rPr>
        <w:t xml:space="preserve">. </w:t>
      </w:r>
    </w:p>
    <w:p w14:paraId="40E9CDBF" w14:textId="46C633D1" w:rsidR="00A26306" w:rsidRDefault="00A26306" w:rsidP="00757E55">
      <w:pPr>
        <w:pStyle w:val="Prrafodelista"/>
        <w:numPr>
          <w:ilvl w:val="1"/>
          <w:numId w:val="32"/>
        </w:numPr>
        <w:rPr>
          <w:rFonts w:ascii="Century Gothic" w:hAnsi="Century Gothic"/>
          <w:lang w:val="es-ES"/>
        </w:rPr>
      </w:pPr>
      <w:r>
        <w:rPr>
          <w:rFonts w:ascii="Century Gothic" w:hAnsi="Century Gothic"/>
          <w:lang w:val="es-ES"/>
        </w:rPr>
        <w:t>Promover la compra pública innovadora.</w:t>
      </w:r>
      <w:r w:rsidR="00C94546">
        <w:rPr>
          <w:rFonts w:ascii="Century Gothic" w:hAnsi="Century Gothic"/>
          <w:lang w:val="es-ES"/>
        </w:rPr>
        <w:t xml:space="preserve"> </w:t>
      </w:r>
      <w:r w:rsidR="00C94546" w:rsidRPr="00C94546">
        <w:rPr>
          <w:rFonts w:ascii="Century Gothic" w:hAnsi="Century Gothic"/>
          <w:lang w:val="es-ES"/>
        </w:rPr>
        <w:t>Realizar Mapas tempran</w:t>
      </w:r>
      <w:r w:rsidR="00C94546">
        <w:rPr>
          <w:rFonts w:ascii="Century Gothic" w:hAnsi="Century Gothic"/>
          <w:lang w:val="es-ES"/>
        </w:rPr>
        <w:t>o</w:t>
      </w:r>
      <w:r w:rsidR="00C94546" w:rsidRPr="00C94546">
        <w:rPr>
          <w:rFonts w:ascii="Century Gothic" w:hAnsi="Century Gothic"/>
          <w:lang w:val="es-ES"/>
        </w:rPr>
        <w:t>s de Compra Pública, permitiendo a las PYMES prepararse para acceder a una demanda de futuro con alto valor añadido</w:t>
      </w:r>
      <w:r w:rsidR="00C94546">
        <w:rPr>
          <w:rFonts w:ascii="Century Gothic" w:hAnsi="Century Gothic"/>
          <w:lang w:val="es-ES"/>
        </w:rPr>
        <w:t>.</w:t>
      </w:r>
      <w:r w:rsidR="00AA0C52">
        <w:rPr>
          <w:rFonts w:ascii="Century Gothic" w:hAnsi="Century Gothic"/>
          <w:lang w:val="es-ES"/>
        </w:rPr>
        <w:t>se</w:t>
      </w:r>
    </w:p>
    <w:p w14:paraId="6486F0E0" w14:textId="2CCE597F" w:rsidR="00B761E1" w:rsidRDefault="00187602" w:rsidP="00757E55">
      <w:pPr>
        <w:pStyle w:val="Prrafodelista"/>
        <w:numPr>
          <w:ilvl w:val="1"/>
          <w:numId w:val="32"/>
        </w:numPr>
        <w:rPr>
          <w:rFonts w:ascii="Century Gothic" w:hAnsi="Century Gothic"/>
          <w:lang w:val="es-ES"/>
        </w:rPr>
      </w:pPr>
      <w:r w:rsidRPr="00B761E1">
        <w:rPr>
          <w:rFonts w:ascii="Century Gothic" w:hAnsi="Century Gothic"/>
          <w:lang w:val="es-ES"/>
        </w:rPr>
        <w:t xml:space="preserve">Impulsar la aplicación del código europeo de buenas prácticas en la </w:t>
      </w:r>
      <w:r w:rsidR="00B761E1">
        <w:rPr>
          <w:rFonts w:ascii="Century Gothic" w:hAnsi="Century Gothic"/>
          <w:lang w:val="es-ES"/>
        </w:rPr>
        <w:t>Administración General del Estado</w:t>
      </w:r>
      <w:r w:rsidRPr="00B761E1">
        <w:rPr>
          <w:rFonts w:ascii="Century Gothic" w:hAnsi="Century Gothic"/>
          <w:lang w:val="es-ES"/>
        </w:rPr>
        <w:t xml:space="preserve"> y su promoción y difusión entre el resto de Administraciones</w:t>
      </w:r>
      <w:r w:rsidR="00B761E1">
        <w:rPr>
          <w:rFonts w:ascii="Century Gothic" w:hAnsi="Century Gothic"/>
          <w:lang w:val="es-ES"/>
        </w:rPr>
        <w:t xml:space="preserve"> públicas</w:t>
      </w:r>
      <w:r w:rsidR="00583E5A">
        <w:rPr>
          <w:rFonts w:ascii="Century Gothic" w:hAnsi="Century Gothic"/>
          <w:lang w:val="es-ES"/>
        </w:rPr>
        <w:t>. Valorar la realización de un código español de buenas prácticas</w:t>
      </w:r>
      <w:r w:rsidRPr="00B761E1">
        <w:rPr>
          <w:rFonts w:ascii="Century Gothic" w:hAnsi="Century Gothic"/>
          <w:lang w:val="es-ES"/>
        </w:rPr>
        <w:t xml:space="preserve">. </w:t>
      </w:r>
    </w:p>
    <w:p w14:paraId="27D3AF12" w14:textId="486F70CF" w:rsidR="00B761E1" w:rsidRDefault="00B761E1" w:rsidP="00757E55">
      <w:pPr>
        <w:pStyle w:val="Prrafodelista"/>
        <w:numPr>
          <w:ilvl w:val="1"/>
          <w:numId w:val="32"/>
        </w:numPr>
        <w:rPr>
          <w:rFonts w:ascii="Century Gothic" w:hAnsi="Century Gothic"/>
          <w:lang w:val="es-ES"/>
        </w:rPr>
      </w:pPr>
      <w:r>
        <w:rPr>
          <w:rFonts w:ascii="Century Gothic" w:hAnsi="Century Gothic"/>
          <w:lang w:val="es-ES"/>
        </w:rPr>
        <w:t>Llevar a cabo i</w:t>
      </w:r>
      <w:r w:rsidR="00187602" w:rsidRPr="00B761E1">
        <w:rPr>
          <w:rFonts w:ascii="Century Gothic" w:hAnsi="Century Gothic"/>
          <w:lang w:val="es-ES"/>
        </w:rPr>
        <w:t>ntercambios de buenas prácticas</w:t>
      </w:r>
      <w:r w:rsidR="00E92CD3">
        <w:rPr>
          <w:rFonts w:ascii="Century Gothic" w:hAnsi="Century Gothic"/>
          <w:lang w:val="es-ES"/>
        </w:rPr>
        <w:t xml:space="preserve"> </w:t>
      </w:r>
      <w:r w:rsidR="00187602" w:rsidRPr="00B761E1">
        <w:rPr>
          <w:rFonts w:ascii="Century Gothic" w:hAnsi="Century Gothic"/>
          <w:lang w:val="es-ES"/>
        </w:rPr>
        <w:t xml:space="preserve">dándolas publicidad </w:t>
      </w:r>
      <w:r w:rsidR="00E92CD3">
        <w:rPr>
          <w:rFonts w:ascii="Century Gothic" w:hAnsi="Century Gothic"/>
          <w:lang w:val="es-ES"/>
        </w:rPr>
        <w:t>para que sirvan de ejemplo a otras Administraciones interesadas</w:t>
      </w:r>
      <w:r w:rsidR="00187602" w:rsidRPr="00B761E1">
        <w:rPr>
          <w:rFonts w:ascii="Century Gothic" w:hAnsi="Century Gothic"/>
          <w:lang w:val="es-ES"/>
        </w:rPr>
        <w:t xml:space="preserve">. </w:t>
      </w:r>
    </w:p>
    <w:p w14:paraId="7EF01C61" w14:textId="3B5301DE" w:rsidR="00E14754" w:rsidRPr="00006F7D" w:rsidRDefault="00187602" w:rsidP="00757E55">
      <w:pPr>
        <w:pStyle w:val="Prrafodelista"/>
        <w:numPr>
          <w:ilvl w:val="1"/>
          <w:numId w:val="32"/>
        </w:numPr>
        <w:rPr>
          <w:rFonts w:ascii="Century Gothic" w:hAnsi="Century Gothic"/>
          <w:lang w:val="es-ES"/>
        </w:rPr>
      </w:pPr>
      <w:r w:rsidRPr="00B761E1">
        <w:rPr>
          <w:rFonts w:ascii="Century Gothic" w:hAnsi="Century Gothic"/>
          <w:lang w:val="es-ES"/>
        </w:rPr>
        <w:t xml:space="preserve">Dar </w:t>
      </w:r>
      <w:r w:rsidR="00B761E1">
        <w:rPr>
          <w:rFonts w:ascii="Century Gothic" w:hAnsi="Century Gothic"/>
          <w:lang w:val="es-ES"/>
        </w:rPr>
        <w:t xml:space="preserve">mayor </w:t>
      </w:r>
      <w:r w:rsidRPr="00B761E1">
        <w:rPr>
          <w:rFonts w:ascii="Century Gothic" w:hAnsi="Century Gothic"/>
          <w:lang w:val="es-ES"/>
        </w:rPr>
        <w:t>publicidad a contratos no armonizados</w:t>
      </w:r>
      <w:r w:rsidR="00583E5A">
        <w:rPr>
          <w:rFonts w:ascii="Century Gothic" w:hAnsi="Century Gothic"/>
          <w:lang w:val="es-ES"/>
        </w:rPr>
        <w:t xml:space="preserve"> que,</w:t>
      </w:r>
      <w:r w:rsidRPr="00B761E1">
        <w:rPr>
          <w:rFonts w:ascii="Century Gothic" w:hAnsi="Century Gothic"/>
          <w:lang w:val="es-ES"/>
        </w:rPr>
        <w:t xml:space="preserve"> </w:t>
      </w:r>
      <w:r w:rsidR="00583E5A">
        <w:rPr>
          <w:rFonts w:ascii="Century Gothic" w:hAnsi="Century Gothic"/>
          <w:lang w:val="es-ES"/>
        </w:rPr>
        <w:t>por sus características, son más a</w:t>
      </w:r>
      <w:r w:rsidR="00B761E1">
        <w:rPr>
          <w:rFonts w:ascii="Century Gothic" w:hAnsi="Century Gothic"/>
          <w:lang w:val="es-ES"/>
        </w:rPr>
        <w:t>ccesibles a las PYME.</w:t>
      </w:r>
      <w:r w:rsidRPr="00006F7D">
        <w:rPr>
          <w:rFonts w:ascii="Century Gothic" w:hAnsi="Century Gothic"/>
          <w:lang w:val="es-ES"/>
        </w:rPr>
        <w:t xml:space="preserve"> </w:t>
      </w:r>
      <w:r w:rsidR="00583E5A">
        <w:rPr>
          <w:rFonts w:ascii="Century Gothic" w:hAnsi="Century Gothic"/>
          <w:lang w:val="es-ES"/>
        </w:rPr>
        <w:t>Realizar estadísticas de la participación de la PYME en la contratación pública.</w:t>
      </w:r>
    </w:p>
    <w:p w14:paraId="5C7DA315" w14:textId="3F3893BD" w:rsidR="00E14754" w:rsidRPr="000F1FC8" w:rsidRDefault="00E14754" w:rsidP="000F1FC8">
      <w:pPr>
        <w:pStyle w:val="Ttulo2"/>
        <w:keepLines/>
        <w:numPr>
          <w:ilvl w:val="1"/>
          <w:numId w:val="28"/>
        </w:numPr>
        <w:spacing w:after="120" w:line="276" w:lineRule="auto"/>
        <w:rPr>
          <w:rFonts w:cs="Arial"/>
          <w:color w:val="003399"/>
          <w:sz w:val="24"/>
          <w:lang w:val="es-ES"/>
        </w:rPr>
      </w:pPr>
      <w:bookmarkStart w:id="54" w:name="_Toc527630347"/>
      <w:r w:rsidRPr="000F1FC8">
        <w:rPr>
          <w:rFonts w:cs="Arial"/>
          <w:color w:val="003399"/>
          <w:sz w:val="24"/>
          <w:lang w:val="es-ES"/>
        </w:rPr>
        <w:t>Financiación</w:t>
      </w:r>
      <w:bookmarkEnd w:id="54"/>
    </w:p>
    <w:p w14:paraId="5AE6418E" w14:textId="77777777" w:rsidR="00A2234F" w:rsidRDefault="00A2234F" w:rsidP="008257FB">
      <w:pPr>
        <w:pStyle w:val="Ttulo3"/>
      </w:pPr>
      <w:bookmarkStart w:id="55" w:name="_Toc527630348"/>
      <w:r>
        <w:t>Marco conceptual y diagnóstico</w:t>
      </w:r>
      <w:bookmarkEnd w:id="55"/>
    </w:p>
    <w:p w14:paraId="4CA5B125" w14:textId="6A66985C" w:rsidR="00505021" w:rsidRDefault="001A2283" w:rsidP="00505021">
      <w:pPr>
        <w:pStyle w:val="Body"/>
      </w:pPr>
      <w:r w:rsidRPr="001A2283">
        <w:t xml:space="preserve">La financiación es esencial para que las compañías se adapten a los retos tecnológicos, incrementen su productividad, afronten el desarrollo de nuevos productos y se abran a los mercados internacionales al tiempo que generan crecimiento y empleo. </w:t>
      </w:r>
      <w:r w:rsidR="00DE2432">
        <w:t>Además</w:t>
      </w:r>
      <w:r w:rsidR="00505021">
        <w:t xml:space="preserve">, y como ya se ha comentado </w:t>
      </w:r>
      <w:r w:rsidR="00DE2432">
        <w:t>anteriormente</w:t>
      </w:r>
      <w:r w:rsidR="00505021">
        <w:t xml:space="preserve">, </w:t>
      </w:r>
      <w:r w:rsidR="00DE2432">
        <w:t xml:space="preserve">es </w:t>
      </w:r>
      <w:r w:rsidR="004B5B03" w:rsidRPr="00505021">
        <w:t>uno de los princi</w:t>
      </w:r>
      <w:r w:rsidR="004B5B03">
        <w:t>pales problemas para el desarrollo de iniciativas emprendedoras en las economías europeas</w:t>
      </w:r>
      <w:r w:rsidR="00505021" w:rsidRPr="00505021">
        <w:t>.</w:t>
      </w:r>
      <w:r w:rsidR="004B5B03">
        <w:t xml:space="preserve"> </w:t>
      </w:r>
      <w:r w:rsidR="00505021">
        <w:t xml:space="preserve"> </w:t>
      </w:r>
    </w:p>
    <w:p w14:paraId="2F094EC2" w14:textId="3B96F0EF" w:rsidR="00D826B5" w:rsidRDefault="00B62B7F" w:rsidP="00B62B7F">
      <w:pPr>
        <w:pStyle w:val="Body"/>
      </w:pPr>
      <w:r w:rsidRPr="000B1A44">
        <w:t>Las</w:t>
      </w:r>
      <w:r>
        <w:t xml:space="preserve"> PYME </w:t>
      </w:r>
      <w:r w:rsidRPr="000B1A44">
        <w:t xml:space="preserve">españolas han sido una de las principales </w:t>
      </w:r>
      <w:r>
        <w:t>afectadas por</w:t>
      </w:r>
      <w:r w:rsidRPr="000B1A44">
        <w:t xml:space="preserve"> la crisis financiera y económica de los últimos años</w:t>
      </w:r>
      <w:r>
        <w:t xml:space="preserve"> lo que ha supuesto una limitación importante </w:t>
      </w:r>
      <w:r w:rsidR="00EF28F7">
        <w:t>de</w:t>
      </w:r>
      <w:r>
        <w:t xml:space="preserve"> la financiación bancaria</w:t>
      </w:r>
      <w:r w:rsidRPr="000B1A44">
        <w:t>.</w:t>
      </w:r>
      <w:r>
        <w:t xml:space="preserve"> Ahora bien, e</w:t>
      </w:r>
      <w:r w:rsidRPr="008257FB">
        <w:t xml:space="preserve">l crecimiento real que está sufriendo la economía está contribuyendo a la expansión de la concesión de nuevos créditos a los hogares y las PYME, favorecida por un sector financiero más saneado. </w:t>
      </w:r>
    </w:p>
    <w:p w14:paraId="6E73C65F" w14:textId="74189D46" w:rsidR="0036155D" w:rsidRDefault="0036155D" w:rsidP="00625098">
      <w:pPr>
        <w:pStyle w:val="Body"/>
      </w:pPr>
      <w:r>
        <w:t>La situación y evolución d</w:t>
      </w:r>
      <w:r w:rsidR="004B19A2">
        <w:t xml:space="preserve">el acceso a la financiación de las empresas del área del euro </w:t>
      </w:r>
      <w:r>
        <w:t xml:space="preserve">nos la ofrece la encuesta </w:t>
      </w:r>
      <w:r w:rsidR="004B19A2">
        <w:t>realizada por el BCE</w:t>
      </w:r>
      <w:r w:rsidR="00625098">
        <w:rPr>
          <w:rStyle w:val="Refdenotaalpie"/>
        </w:rPr>
        <w:footnoteReference w:id="40"/>
      </w:r>
      <w:r w:rsidR="004B19A2">
        <w:t xml:space="preserve"> (SAFE, por sus siglas en inglés)</w:t>
      </w:r>
      <w:r>
        <w:t xml:space="preserve">. </w:t>
      </w:r>
    </w:p>
    <w:p w14:paraId="03879FE9" w14:textId="550A7F66" w:rsidR="002E2387" w:rsidRDefault="0036155D" w:rsidP="00625098">
      <w:pPr>
        <w:pStyle w:val="Body"/>
      </w:pPr>
      <w:r>
        <w:t xml:space="preserve">La última encuesta nos muestra </w:t>
      </w:r>
      <w:r w:rsidR="00625098">
        <w:t xml:space="preserve">una evolución positiva de </w:t>
      </w:r>
      <w:r>
        <w:t>la</w:t>
      </w:r>
      <w:r w:rsidR="00625098">
        <w:t xml:space="preserve"> situación económica y financiera</w:t>
      </w:r>
      <w:r>
        <w:t xml:space="preserve"> en el caso de las PYME españolas</w:t>
      </w:r>
      <w:r w:rsidR="00B45282">
        <w:t xml:space="preserve">. </w:t>
      </w:r>
      <w:r w:rsidR="00625098">
        <w:t>Así, el número de empresas que declararon un aumento de las ventas volvió a superar, por octava vez consecutiva, al de las que señalaron lo contrario, siendo la diferencia entre ambos grupos (porcentaje neto) del 20%, inferior tanto al dato de la encuesta previa (26%) como al registrado para el conjunto del área del euro (24%) (</w:t>
      </w:r>
      <w:r w:rsidR="00233748">
        <w:t>Véase</w:t>
      </w:r>
      <w:r w:rsidR="00B45282">
        <w:t xml:space="preserve"> </w:t>
      </w:r>
      <w:r w:rsidR="00B45282" w:rsidRPr="00B45282">
        <w:rPr>
          <w:highlight w:val="yellow"/>
        </w:rPr>
        <w:t xml:space="preserve">gráfico </w:t>
      </w:r>
      <w:r w:rsidR="00E40DE4">
        <w:t>1</w:t>
      </w:r>
      <w:r w:rsidR="00AC651F">
        <w:t>5</w:t>
      </w:r>
      <w:r w:rsidR="00B45282">
        <w:t>).</w:t>
      </w:r>
    </w:p>
    <w:p w14:paraId="0EC64479" w14:textId="77777777" w:rsidR="00764C39" w:rsidRDefault="00764C39" w:rsidP="00625098">
      <w:pPr>
        <w:pStyle w:val="Body"/>
      </w:pPr>
    </w:p>
    <w:tbl>
      <w:tblPr>
        <w:tblStyle w:val="Style1"/>
        <w:tblW w:w="4942" w:type="pct"/>
        <w:tblLook w:val="04A0" w:firstRow="1" w:lastRow="0" w:firstColumn="1" w:lastColumn="0" w:noHBand="0" w:noVBand="1"/>
      </w:tblPr>
      <w:tblGrid>
        <w:gridCol w:w="8966"/>
      </w:tblGrid>
      <w:tr w:rsidR="00DC0F1F" w:rsidRPr="007916CD" w14:paraId="63459B5A" w14:textId="77777777" w:rsidTr="00DE2432">
        <w:trPr>
          <w:trHeight w:val="250"/>
        </w:trPr>
        <w:tc>
          <w:tcPr>
            <w:tcW w:w="5000" w:type="pct"/>
          </w:tcPr>
          <w:p w14:paraId="461308CE" w14:textId="2C6B490F" w:rsidR="00DC0F1F" w:rsidRPr="00DC0F1F" w:rsidRDefault="00DC0F1F" w:rsidP="00DC0F1F">
            <w:pPr>
              <w:pStyle w:val="Descripcin1"/>
              <w:jc w:val="center"/>
              <w:rPr>
                <w:b w:val="0"/>
              </w:rPr>
            </w:pPr>
            <w:bookmarkStart w:id="56" w:name="_Toc526942123"/>
            <w:r w:rsidRPr="00DC0F1F">
              <w:rPr>
                <w:b w:val="0"/>
              </w:rPr>
              <w:t xml:space="preserve">Gráfico </w:t>
            </w:r>
            <w:r w:rsidRPr="008B6C6C">
              <w:rPr>
                <w:b w:val="0"/>
              </w:rPr>
              <w:fldChar w:fldCharType="begin"/>
            </w:r>
            <w:r w:rsidRPr="00DC0F1F">
              <w:rPr>
                <w:b w:val="0"/>
              </w:rPr>
              <w:instrText xml:space="preserve"> SEQ Gráfico \* ARABIC </w:instrText>
            </w:r>
            <w:r w:rsidRPr="008B6C6C">
              <w:rPr>
                <w:b w:val="0"/>
              </w:rPr>
              <w:fldChar w:fldCharType="separate"/>
            </w:r>
            <w:r w:rsidR="00764C39">
              <w:rPr>
                <w:b w:val="0"/>
                <w:noProof/>
              </w:rPr>
              <w:t>15</w:t>
            </w:r>
            <w:r w:rsidRPr="008B6C6C">
              <w:rPr>
                <w:b w:val="0"/>
              </w:rPr>
              <w:fldChar w:fldCharType="end"/>
            </w:r>
            <w:r w:rsidRPr="00DC0F1F">
              <w:rPr>
                <w:b w:val="0"/>
              </w:rPr>
              <w:t>. Evolución de las ventas y los beneficios</w:t>
            </w:r>
            <w:bookmarkEnd w:id="56"/>
          </w:p>
        </w:tc>
      </w:tr>
      <w:tr w:rsidR="00DC0F1F" w:rsidRPr="003D49F2" w14:paraId="5BAB0F78" w14:textId="77777777" w:rsidTr="00DE2432">
        <w:trPr>
          <w:trHeight w:val="250"/>
        </w:trPr>
        <w:tc>
          <w:tcPr>
            <w:tcW w:w="5000" w:type="pct"/>
          </w:tcPr>
          <w:p w14:paraId="2A16473A" w14:textId="280B2E4D" w:rsidR="00DC0F1F" w:rsidRPr="002506CD" w:rsidRDefault="00DC0F1F" w:rsidP="002213C9">
            <w:pPr>
              <w:contextualSpacing/>
              <w:jc w:val="center"/>
              <w:rPr>
                <w:lang w:val="es-ES"/>
              </w:rPr>
            </w:pPr>
          </w:p>
          <w:p w14:paraId="0065C7B5" w14:textId="1628F279" w:rsidR="00DE2432" w:rsidRPr="003D49F2" w:rsidRDefault="00DE2432" w:rsidP="002213C9">
            <w:pPr>
              <w:contextualSpacing/>
              <w:jc w:val="center"/>
              <w:rPr>
                <w:rFonts w:ascii="Century Gothic" w:hAnsi="Century Gothic" w:cs="Arial"/>
                <w:b/>
                <w:color w:val="000000"/>
                <w:sz w:val="18"/>
                <w:szCs w:val="18"/>
                <w:lang w:val="es-ES"/>
              </w:rPr>
            </w:pPr>
            <w:r w:rsidRPr="00DE2432">
              <w:rPr>
                <w:rFonts w:ascii="Century Gothic" w:hAnsi="Century Gothic" w:cs="Arial"/>
                <w:b/>
                <w:noProof/>
                <w:color w:val="000000"/>
                <w:sz w:val="18"/>
                <w:szCs w:val="18"/>
                <w:lang w:val="es-ES" w:eastAsia="es-ES"/>
              </w:rPr>
              <w:drawing>
                <wp:inline distT="0" distB="0" distL="0" distR="0" wp14:anchorId="3BEAD743" wp14:editId="3EC4E936">
                  <wp:extent cx="4641164" cy="29146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51196" cy="2920950"/>
                          </a:xfrm>
                          <a:prstGeom prst="rect">
                            <a:avLst/>
                          </a:prstGeom>
                        </pic:spPr>
                      </pic:pic>
                    </a:graphicData>
                  </a:graphic>
                </wp:inline>
              </w:drawing>
            </w:r>
          </w:p>
        </w:tc>
      </w:tr>
      <w:tr w:rsidR="00DC0F1F" w:rsidRPr="007916CD" w14:paraId="7D566A1F" w14:textId="77777777" w:rsidTr="00DE2432">
        <w:trPr>
          <w:trHeight w:val="250"/>
        </w:trPr>
        <w:tc>
          <w:tcPr>
            <w:tcW w:w="5000" w:type="pct"/>
          </w:tcPr>
          <w:p w14:paraId="4C7D4895" w14:textId="45DBFF10" w:rsidR="00DC0F1F" w:rsidRPr="003D49F2" w:rsidRDefault="00DC0F1F" w:rsidP="00DE2432">
            <w:pPr>
              <w:contextualSpacing/>
              <w:rPr>
                <w:rFonts w:ascii="Century Gothic" w:hAnsi="Century Gothic" w:cs="Arial"/>
                <w:color w:val="000000"/>
                <w:sz w:val="18"/>
                <w:szCs w:val="18"/>
                <w:lang w:val="es-ES"/>
              </w:rPr>
            </w:pPr>
            <w:r w:rsidRPr="003D49F2">
              <w:rPr>
                <w:rFonts w:ascii="Century Gothic" w:hAnsi="Century Gothic" w:cs="Arial"/>
                <w:i/>
                <w:sz w:val="16"/>
                <w:szCs w:val="18"/>
                <w:lang w:val="es-ES" w:eastAsia="en-GB"/>
              </w:rPr>
              <w:t xml:space="preserve">Fuente: </w:t>
            </w:r>
            <w:r>
              <w:rPr>
                <w:rFonts w:ascii="Century Gothic" w:hAnsi="Century Gothic" w:cs="Arial"/>
                <w:i/>
                <w:sz w:val="16"/>
                <w:szCs w:val="18"/>
                <w:lang w:val="es-ES" w:eastAsia="en-GB"/>
              </w:rPr>
              <w:t>Boletín económico 2/201</w:t>
            </w:r>
            <w:r w:rsidR="00625098">
              <w:rPr>
                <w:rFonts w:ascii="Century Gothic" w:hAnsi="Century Gothic" w:cs="Arial"/>
                <w:i/>
                <w:sz w:val="16"/>
                <w:szCs w:val="18"/>
                <w:lang w:val="es-ES" w:eastAsia="en-GB"/>
              </w:rPr>
              <w:t>8</w:t>
            </w:r>
            <w:r>
              <w:rPr>
                <w:rFonts w:ascii="Century Gothic" w:hAnsi="Century Gothic" w:cs="Arial"/>
                <w:i/>
                <w:sz w:val="16"/>
                <w:szCs w:val="18"/>
                <w:lang w:val="es-ES" w:eastAsia="en-GB"/>
              </w:rPr>
              <w:t xml:space="preserve"> del Banco de España a partir de los </w:t>
            </w:r>
            <w:r w:rsidRPr="003D49F2">
              <w:rPr>
                <w:rFonts w:ascii="Century Gothic" w:hAnsi="Century Gothic" w:cs="Arial"/>
                <w:i/>
                <w:sz w:val="16"/>
                <w:szCs w:val="18"/>
                <w:lang w:val="es-ES" w:eastAsia="en-GB"/>
              </w:rPr>
              <w:t>datos de la Encuesta SAFE</w:t>
            </w:r>
          </w:p>
        </w:tc>
      </w:tr>
    </w:tbl>
    <w:p w14:paraId="479A7B4B" w14:textId="19809041" w:rsidR="00E70B1F" w:rsidRDefault="00B45282" w:rsidP="000757D7">
      <w:pPr>
        <w:pStyle w:val="Body"/>
        <w:spacing w:before="120"/>
      </w:pPr>
      <w:r w:rsidRPr="00B45282">
        <w:t>E</w:t>
      </w:r>
      <w:r>
        <w:t xml:space="preserve">n esta encuesta, </w:t>
      </w:r>
      <w:r w:rsidR="0036155D">
        <w:t xml:space="preserve">el acceso a la financiación </w:t>
      </w:r>
      <w:r>
        <w:t xml:space="preserve">volvió a ser, de entre todos los factores incluidos en </w:t>
      </w:r>
      <w:r w:rsidR="0036155D">
        <w:t>la</w:t>
      </w:r>
      <w:r>
        <w:t xml:space="preserve"> pregunta</w:t>
      </w:r>
      <w:r w:rsidR="0036155D">
        <w:t xml:space="preserve"> sobre la principal preocupación de las PYME</w:t>
      </w:r>
      <w:r>
        <w:t xml:space="preserve">, el citado por un menor número de </w:t>
      </w:r>
      <w:r w:rsidR="00E70B1F">
        <w:t>compañías (</w:t>
      </w:r>
      <w:r w:rsidR="00E70B1F" w:rsidRPr="00B45282">
        <w:rPr>
          <w:highlight w:val="yellow"/>
        </w:rPr>
        <w:t xml:space="preserve">Gráfico </w:t>
      </w:r>
      <w:r w:rsidR="00E70B1F">
        <w:t>16)</w:t>
      </w:r>
      <w:r>
        <w:t xml:space="preserve">, un </w:t>
      </w:r>
      <w:r w:rsidR="00625098">
        <w:t>8</w:t>
      </w:r>
      <w:r>
        <w:t>% de ellas tanto en España como en la </w:t>
      </w:r>
      <w:r w:rsidR="00E70B1F">
        <w:t>Unión Económica y Monetaria (</w:t>
      </w:r>
      <w:r>
        <w:t>UEM</w:t>
      </w:r>
      <w:r w:rsidR="00E70B1F">
        <w:t>).</w:t>
      </w:r>
    </w:p>
    <w:tbl>
      <w:tblPr>
        <w:tblStyle w:val="Style1"/>
        <w:tblW w:w="4942" w:type="pct"/>
        <w:tblLook w:val="04A0" w:firstRow="1" w:lastRow="0" w:firstColumn="1" w:lastColumn="0" w:noHBand="0" w:noVBand="1"/>
      </w:tblPr>
      <w:tblGrid>
        <w:gridCol w:w="8966"/>
      </w:tblGrid>
      <w:tr w:rsidR="00DC0F1F" w:rsidRPr="007916CD" w14:paraId="290C9157" w14:textId="77777777" w:rsidTr="000757D7">
        <w:trPr>
          <w:trHeight w:val="250"/>
        </w:trPr>
        <w:tc>
          <w:tcPr>
            <w:tcW w:w="5000" w:type="pct"/>
          </w:tcPr>
          <w:p w14:paraId="37ADFE96" w14:textId="0B750F7E" w:rsidR="00DC0F1F" w:rsidRPr="00DC0F1F" w:rsidRDefault="00DC0F1F" w:rsidP="00DC0F1F">
            <w:pPr>
              <w:pStyle w:val="Descripcin1"/>
              <w:jc w:val="center"/>
              <w:rPr>
                <w:b w:val="0"/>
              </w:rPr>
            </w:pPr>
            <w:bookmarkStart w:id="57" w:name="_Toc526942124"/>
            <w:r w:rsidRPr="008B6C6C">
              <w:rPr>
                <w:b w:val="0"/>
              </w:rPr>
              <w:t xml:space="preserve">Gráfico </w:t>
            </w:r>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16</w:t>
            </w:r>
            <w:r w:rsidRPr="008B6C6C">
              <w:rPr>
                <w:b w:val="0"/>
              </w:rPr>
              <w:fldChar w:fldCharType="end"/>
            </w:r>
            <w:r w:rsidRPr="008B6C6C">
              <w:rPr>
                <w:b w:val="0"/>
              </w:rPr>
              <w:t xml:space="preserve">. </w:t>
            </w:r>
            <w:r>
              <w:rPr>
                <w:b w:val="0"/>
              </w:rPr>
              <w:t>Principales problemas que afectan a la actividad</w:t>
            </w:r>
            <w:bookmarkEnd w:id="57"/>
          </w:p>
        </w:tc>
      </w:tr>
      <w:tr w:rsidR="00B45282" w:rsidRPr="00013982" w14:paraId="4FBE5382" w14:textId="77777777" w:rsidTr="000757D7">
        <w:trPr>
          <w:trHeight w:val="250"/>
        </w:trPr>
        <w:tc>
          <w:tcPr>
            <w:tcW w:w="5000" w:type="pct"/>
          </w:tcPr>
          <w:p w14:paraId="625E1E53" w14:textId="6892531B" w:rsidR="00B45282" w:rsidRPr="003D49F2" w:rsidRDefault="000757D7" w:rsidP="004600F3">
            <w:pPr>
              <w:contextualSpacing/>
              <w:jc w:val="center"/>
              <w:rPr>
                <w:rFonts w:ascii="Century Gothic" w:hAnsi="Century Gothic" w:cs="Arial"/>
                <w:b/>
                <w:color w:val="000000"/>
                <w:sz w:val="18"/>
                <w:szCs w:val="18"/>
                <w:lang w:val="es-ES"/>
              </w:rPr>
            </w:pPr>
            <w:r>
              <w:object w:dxaOrig="8250" w:dyaOrig="5115" w14:anchorId="351970DF">
                <v:shape id="_x0000_i1030" type="#_x0000_t75" style="width:321.35pt;height:201pt" o:ole="">
                  <v:imagedata r:id="rId42" o:title=""/>
                </v:shape>
                <o:OLEObject Type="Embed" ProgID="PBrush" ShapeID="_x0000_i1030" DrawAspect="Content" ObjectID="_1602306100" r:id="rId43"/>
              </w:object>
            </w:r>
          </w:p>
        </w:tc>
      </w:tr>
      <w:tr w:rsidR="00B45282" w:rsidRPr="007916CD" w14:paraId="4E78D17A" w14:textId="77777777" w:rsidTr="000757D7">
        <w:trPr>
          <w:trHeight w:val="250"/>
        </w:trPr>
        <w:tc>
          <w:tcPr>
            <w:tcW w:w="5000" w:type="pct"/>
          </w:tcPr>
          <w:p w14:paraId="539677A5" w14:textId="64A594D6" w:rsidR="00B45282" w:rsidRPr="003D49F2" w:rsidRDefault="00F60B19" w:rsidP="00A14AF8">
            <w:pPr>
              <w:contextualSpacing/>
              <w:rPr>
                <w:rFonts w:ascii="Century Gothic" w:hAnsi="Century Gothic" w:cs="Arial"/>
                <w:color w:val="000000"/>
                <w:sz w:val="18"/>
                <w:szCs w:val="18"/>
                <w:lang w:val="es-ES"/>
              </w:rPr>
            </w:pPr>
            <w:r w:rsidRPr="003D49F2">
              <w:rPr>
                <w:rFonts w:ascii="Century Gothic" w:hAnsi="Century Gothic" w:cs="Arial"/>
                <w:i/>
                <w:sz w:val="16"/>
                <w:szCs w:val="18"/>
                <w:lang w:val="es-ES" w:eastAsia="en-GB"/>
              </w:rPr>
              <w:t xml:space="preserve">Fuente: </w:t>
            </w:r>
            <w:r>
              <w:rPr>
                <w:rFonts w:ascii="Century Gothic" w:hAnsi="Century Gothic" w:cs="Arial"/>
                <w:i/>
                <w:sz w:val="16"/>
                <w:szCs w:val="18"/>
                <w:lang w:val="es-ES" w:eastAsia="en-GB"/>
              </w:rPr>
              <w:t>Boletín económico 2/201</w:t>
            </w:r>
            <w:r w:rsidR="00A14AF8">
              <w:rPr>
                <w:rFonts w:ascii="Century Gothic" w:hAnsi="Century Gothic" w:cs="Arial"/>
                <w:i/>
                <w:sz w:val="16"/>
                <w:szCs w:val="18"/>
                <w:lang w:val="es-ES" w:eastAsia="en-GB"/>
              </w:rPr>
              <w:t>8</w:t>
            </w:r>
            <w:r>
              <w:rPr>
                <w:rFonts w:ascii="Century Gothic" w:hAnsi="Century Gothic" w:cs="Arial"/>
                <w:i/>
                <w:sz w:val="16"/>
                <w:szCs w:val="18"/>
                <w:lang w:val="es-ES" w:eastAsia="en-GB"/>
              </w:rPr>
              <w:t xml:space="preserve"> del Banco de España a partir de los </w:t>
            </w:r>
            <w:r w:rsidRPr="003D49F2">
              <w:rPr>
                <w:rFonts w:ascii="Century Gothic" w:hAnsi="Century Gothic" w:cs="Arial"/>
                <w:i/>
                <w:sz w:val="16"/>
                <w:szCs w:val="18"/>
                <w:lang w:val="es-ES" w:eastAsia="en-GB"/>
              </w:rPr>
              <w:t xml:space="preserve"> datos de la Encuesta SAFE</w:t>
            </w:r>
          </w:p>
        </w:tc>
      </w:tr>
    </w:tbl>
    <w:p w14:paraId="68B51F05" w14:textId="77777777" w:rsidR="00B45282" w:rsidRDefault="00B45282" w:rsidP="00DC0F1F">
      <w:pPr>
        <w:spacing w:after="0"/>
        <w:rPr>
          <w:rFonts w:ascii="Arial" w:hAnsi="Arial" w:cs="Arial"/>
          <w:lang w:val="es-ES"/>
        </w:rPr>
      </w:pPr>
    </w:p>
    <w:p w14:paraId="374BD361" w14:textId="5A8D0BEA" w:rsidR="00232D51" w:rsidRDefault="0036155D" w:rsidP="00013982">
      <w:pPr>
        <w:pStyle w:val="Body"/>
      </w:pPr>
      <w:r>
        <w:t>En cuanto a l</w:t>
      </w:r>
      <w:r w:rsidR="00013982">
        <w:t>a proporción de PYME españolas que solicitaron préstamos bancarios</w:t>
      </w:r>
      <w:r>
        <w:t>, ésta</w:t>
      </w:r>
      <w:r w:rsidR="00013982">
        <w:t xml:space="preserve"> creció unos </w:t>
      </w:r>
      <w:r w:rsidR="00A14AF8">
        <w:t>2</w:t>
      </w:r>
      <w:r w:rsidR="00013982">
        <w:t> puntos porcentuales</w:t>
      </w:r>
      <w:r>
        <w:t xml:space="preserve"> respecto a la encuesta anterior</w:t>
      </w:r>
      <w:r w:rsidR="00013982">
        <w:t xml:space="preserve">, hasta situarse en un </w:t>
      </w:r>
      <w:r w:rsidR="00A14AF8">
        <w:t>29</w:t>
      </w:r>
      <w:r w:rsidR="00013982">
        <w:t xml:space="preserve">%, cifra </w:t>
      </w:r>
      <w:r w:rsidR="00A14AF8">
        <w:t>algo menor</w:t>
      </w:r>
      <w:r w:rsidR="00013982">
        <w:t xml:space="preserve"> a la registrada en la UEM (3</w:t>
      </w:r>
      <w:r w:rsidR="00A14AF8">
        <w:t>0</w:t>
      </w:r>
      <w:r w:rsidR="00013982">
        <w:t xml:space="preserve">%). </w:t>
      </w:r>
      <w:r w:rsidR="00A34D62">
        <w:t>También se registró que e</w:t>
      </w:r>
      <w:r w:rsidR="00A14AF8">
        <w:t xml:space="preserve">l acceso a la </w:t>
      </w:r>
      <w:r w:rsidR="00013982">
        <w:t>financiación bancaria continuó mejorando</w:t>
      </w:r>
      <w:r w:rsidR="00A14AF8">
        <w:t xml:space="preserve">. El 24% </w:t>
      </w:r>
      <w:r w:rsidR="00013982">
        <w:t xml:space="preserve">de las PYME </w:t>
      </w:r>
      <w:r w:rsidR="00A14AF8">
        <w:t>informó de una mejoría en este aspecto</w:t>
      </w:r>
      <w:r w:rsidR="00232D51">
        <w:t xml:space="preserve"> (10 puntos por encima de la UEM)</w:t>
      </w:r>
      <w:r w:rsidR="00013982">
        <w:t xml:space="preserve">. </w:t>
      </w:r>
    </w:p>
    <w:p w14:paraId="1CA7D2DC" w14:textId="16413C23" w:rsidR="00013982" w:rsidRDefault="00013982" w:rsidP="00013982">
      <w:pPr>
        <w:pStyle w:val="Body"/>
      </w:pPr>
      <w:r>
        <w:lastRenderedPageBreak/>
        <w:t>Además,</w:t>
      </w:r>
      <w:r w:rsidR="006F1ABD">
        <w:t xml:space="preserve"> se observa una evolución positiva en la mayoría de los factores que afectan a la oferta de crédito. Así,</w:t>
      </w:r>
      <w:r>
        <w:t xml:space="preserve"> un 3</w:t>
      </w:r>
      <w:r w:rsidR="00A14AF8">
        <w:t>3</w:t>
      </w:r>
      <w:r>
        <w:t xml:space="preserve">% informó de </w:t>
      </w:r>
      <w:r w:rsidR="00232D51">
        <w:t>una mayor disposición de las entidades a facilitar financiación</w:t>
      </w:r>
      <w:r>
        <w:t xml:space="preserve">. Otros motivos destacados por las empresas de esta mejoría en las condiciones de acceso al crédito fueron la </w:t>
      </w:r>
      <w:r w:rsidR="00013AD5">
        <w:t>propia recuperación</w:t>
      </w:r>
      <w:r>
        <w:t xml:space="preserve"> de la situación específica de la empresa </w:t>
      </w:r>
      <w:r w:rsidR="00232D51">
        <w:t xml:space="preserve">(aunque 5 puntos menos que la encuesta anterior) </w:t>
      </w:r>
      <w:r>
        <w:t>o</w:t>
      </w:r>
      <w:r w:rsidR="006F1ABD">
        <w:t xml:space="preserve"> unas mejores perspectivas </w:t>
      </w:r>
      <w:r>
        <w:t>económicas.</w:t>
      </w:r>
    </w:p>
    <w:p w14:paraId="47D049B0" w14:textId="0DCE5A54" w:rsidR="00013982" w:rsidRDefault="00013982" w:rsidP="00E14754">
      <w:pPr>
        <w:pStyle w:val="Body"/>
      </w:pPr>
      <w:r>
        <w:t xml:space="preserve">En cuanto a las peticiones de financiación rechazadas, </w:t>
      </w:r>
      <w:r w:rsidR="00232D51">
        <w:t>se observa un pequeño aumento de un punto hasta</w:t>
      </w:r>
      <w:r>
        <w:t xml:space="preserve"> el </w:t>
      </w:r>
      <w:r w:rsidR="00232D51">
        <w:t>5</w:t>
      </w:r>
      <w:r>
        <w:t xml:space="preserve">%. Respecto a las condiciones de financiación, las empresas informaron </w:t>
      </w:r>
      <w:r w:rsidR="00066779">
        <w:t xml:space="preserve">de </w:t>
      </w:r>
      <w:r>
        <w:t>una mejora de los tipos de interés</w:t>
      </w:r>
      <w:r w:rsidR="00066779">
        <w:t xml:space="preserve"> (un </w:t>
      </w:r>
      <w:r w:rsidR="006F1ABD">
        <w:t>6</w:t>
      </w:r>
      <w:r w:rsidR="00066779">
        <w:t>%</w:t>
      </w:r>
      <w:r w:rsidR="006F1ABD">
        <w:t>) y de la cuantía del préstamo (11%)</w:t>
      </w:r>
      <w:r w:rsidR="00066779">
        <w:t xml:space="preserve">, </w:t>
      </w:r>
      <w:r w:rsidR="006F1ABD">
        <w:t>aunque</w:t>
      </w:r>
      <w:r w:rsidR="00066779">
        <w:t xml:space="preserve"> </w:t>
      </w:r>
      <w:r w:rsidR="006F1ABD">
        <w:t xml:space="preserve">se reducen </w:t>
      </w:r>
      <w:r w:rsidR="00066779">
        <w:t>el plazo de vencimiento</w:t>
      </w:r>
      <w:r w:rsidR="006F1ABD">
        <w:t xml:space="preserve"> y se enduren las garantías y otras condiciones</w:t>
      </w:r>
      <w:r w:rsidR="00066779">
        <w:t>.</w:t>
      </w:r>
    </w:p>
    <w:p w14:paraId="2344977F" w14:textId="243BF0D7" w:rsidR="00745EC3" w:rsidRDefault="00A34D62" w:rsidP="004713F5">
      <w:pPr>
        <w:pStyle w:val="Body"/>
      </w:pPr>
      <w:r>
        <w:t xml:space="preserve">Estos datos se asemejan a los presentados en el informe </w:t>
      </w:r>
      <w:r w:rsidR="004713F5">
        <w:t>“</w:t>
      </w:r>
      <w:r w:rsidR="004713F5">
        <w:rPr>
          <w:i/>
        </w:rPr>
        <w:t>L</w:t>
      </w:r>
      <w:r w:rsidRPr="00A34D62">
        <w:rPr>
          <w:i/>
        </w:rPr>
        <w:t>a financiación de la pyme en España</w:t>
      </w:r>
      <w:r w:rsidR="004713F5">
        <w:rPr>
          <w:i/>
        </w:rPr>
        <w:t>”</w:t>
      </w:r>
      <w:r>
        <w:t xml:space="preserve"> realizado por CESGAR. Así</w:t>
      </w:r>
      <w:r w:rsidR="004713F5">
        <w:t>,</w:t>
      </w:r>
      <w:r>
        <w:t xml:space="preserve"> en su último informe (el VI de marzo de 2018), </w:t>
      </w:r>
      <w:r w:rsidR="004713F5">
        <w:t>observamos que, e</w:t>
      </w:r>
      <w:r w:rsidR="004713F5" w:rsidRPr="004713F5">
        <w:t xml:space="preserve">n líneas generales, </w:t>
      </w:r>
      <w:r w:rsidR="004713F5">
        <w:t xml:space="preserve">se da </w:t>
      </w:r>
      <w:r w:rsidR="004713F5" w:rsidRPr="004713F5">
        <w:t xml:space="preserve">una mayor facilidad en el acceso de las pymes españolas a la financiación, especialmente respecto a la situación observada hace un año, lo que se debe principalmente a la evolución reciente de la financiación bancaria. </w:t>
      </w:r>
      <w:r w:rsidR="004713F5">
        <w:t>Algo más d</w:t>
      </w:r>
      <w:r w:rsidR="004713F5" w:rsidRPr="004713F5">
        <w:t>el 8</w:t>
      </w:r>
      <w:r w:rsidR="004713F5">
        <w:t>4</w:t>
      </w:r>
      <w:r w:rsidR="004713F5" w:rsidRPr="004713F5">
        <w:t xml:space="preserve">% de las pymes con necesidades de financiación en los últimos seis meses ha resuelto las mismas con financiación ajena y de </w:t>
      </w:r>
      <w:r w:rsidR="004713F5">
        <w:t>é</w:t>
      </w:r>
      <w:r w:rsidR="004713F5" w:rsidRPr="004713F5">
        <w:t xml:space="preserve">stas, aproximadamente el 82% ha recurrido a la financiación bancaria. </w:t>
      </w:r>
      <w:r w:rsidR="004713F5">
        <w:t>L</w:t>
      </w:r>
      <w:r w:rsidR="004713F5" w:rsidRPr="004713F5">
        <w:t>a reorientación</w:t>
      </w:r>
      <w:r w:rsidR="004713F5">
        <w:t>,</w:t>
      </w:r>
      <w:r w:rsidR="004713F5" w:rsidRPr="004713F5">
        <w:t xml:space="preserve"> </w:t>
      </w:r>
      <w:r w:rsidR="006D0041">
        <w:t>iniciada</w:t>
      </w:r>
      <w:r w:rsidR="004713F5" w:rsidRPr="004713F5">
        <w:t xml:space="preserve"> en septiembre de 2017, de las pymes hacia este tipo de financiación</w:t>
      </w:r>
      <w:r w:rsidR="004713F5">
        <w:t xml:space="preserve"> es clara</w:t>
      </w:r>
      <w:r w:rsidR="004713F5" w:rsidRPr="004713F5">
        <w:t xml:space="preserve">. </w:t>
      </w:r>
      <w:r w:rsidR="00C02CE5">
        <w:t>A</w:t>
      </w:r>
      <w:r w:rsidR="004713F5" w:rsidRPr="004713F5">
        <w:t>demás</w:t>
      </w:r>
      <w:r w:rsidR="00C61A90">
        <w:t>,</w:t>
      </w:r>
      <w:r w:rsidR="004713F5" w:rsidRPr="004713F5">
        <w:t xml:space="preserve"> cada vez son más las PYME que obtienen la financiación bancaria solicitada (el 85%)</w:t>
      </w:r>
      <w:r w:rsidR="006D0041">
        <w:t xml:space="preserve"> y, por tanto, </w:t>
      </w:r>
      <w:r w:rsidR="00745EC3" w:rsidRPr="004713F5">
        <w:t xml:space="preserve">el </w:t>
      </w:r>
      <w:r w:rsidR="00745EC3">
        <w:t>porcentaje</w:t>
      </w:r>
      <w:r w:rsidR="00745EC3" w:rsidRPr="004713F5">
        <w:t xml:space="preserve"> de PYME que no ha encontrado obstáculos a la finan</w:t>
      </w:r>
      <w:r w:rsidR="00745EC3">
        <w:t>ciación (60,8%)</w:t>
      </w:r>
      <w:r w:rsidR="00745EC3" w:rsidRPr="004713F5">
        <w:t>.</w:t>
      </w:r>
    </w:p>
    <w:p w14:paraId="2655A5C4" w14:textId="32E53215" w:rsidR="00C02CE5" w:rsidRDefault="00745EC3" w:rsidP="006D0041">
      <w:pPr>
        <w:pStyle w:val="Body"/>
      </w:pPr>
      <w:r>
        <w:t>No obstante</w:t>
      </w:r>
      <w:r w:rsidR="00C02CE5">
        <w:t>, la financiación ajena no bancaria se sitúa en valores muy inferiores a los de hace un año (3,4%) y sigue siendo un recurso minoritario entre las pymes.</w:t>
      </w:r>
      <w:r w:rsidR="006D0041">
        <w:t xml:space="preserve"> </w:t>
      </w:r>
    </w:p>
    <w:p w14:paraId="505272F6" w14:textId="206FB954" w:rsidR="00C02CE5" w:rsidRDefault="00745EC3" w:rsidP="004713F5">
      <w:pPr>
        <w:pStyle w:val="Body"/>
      </w:pPr>
      <w:r>
        <w:t>Por otra parte</w:t>
      </w:r>
      <w:r w:rsidR="00C02CE5">
        <w:t xml:space="preserve">, entre los obstáculos para acceder a la financiación, destaca no haber podido presentar las garantías solicitadas </w:t>
      </w:r>
      <w:r>
        <w:t>(18,5% de las pymes con necesidades de financiación), aunque se ha reducido notablemente desde el último año.</w:t>
      </w:r>
    </w:p>
    <w:p w14:paraId="7342AAF6" w14:textId="1233E118" w:rsidR="004713F5" w:rsidRPr="004713F5" w:rsidRDefault="004713F5" w:rsidP="00C02CE5">
      <w:pPr>
        <w:pStyle w:val="Body"/>
      </w:pPr>
      <w:r w:rsidRPr="004713F5">
        <w:t>Cae también significativamente el porcentaje de pymes que indican que el precio de la financiación (incluyendo los costes indirectos) es un obstáculo importante p</w:t>
      </w:r>
      <w:r w:rsidR="00745EC3">
        <w:t>ara ellas (del 24,3% al 13,9%) y a</w:t>
      </w:r>
      <w:r w:rsidRPr="004713F5">
        <w:t xml:space="preserve">umentan los denominados </w:t>
      </w:r>
      <w:r w:rsidR="00745EC3">
        <w:t>o</w:t>
      </w:r>
      <w:r w:rsidRPr="004713F5">
        <w:t xml:space="preserve">tros obstáculos, principalmente </w:t>
      </w:r>
      <w:r w:rsidR="00745EC3">
        <w:t>los relacionados con</w:t>
      </w:r>
      <w:r w:rsidRPr="004713F5">
        <w:t xml:space="preserve"> los trámites administrativos de las entidades bancarias (del 6,1% al 8,7%), falta de comprensión de sus modelos de negocio (del 3,0% al 3,3%) y falta de financiación disponible en el mercado (2,5%).</w:t>
      </w:r>
    </w:p>
    <w:p w14:paraId="3B1C6B68" w14:textId="7139986F" w:rsidR="006D0041" w:rsidRDefault="006D0041" w:rsidP="00013AD5">
      <w:pPr>
        <w:pStyle w:val="Body"/>
      </w:pPr>
      <w:r>
        <w:t xml:space="preserve">Como se ha visto anteriormente y </w:t>
      </w:r>
      <w:r w:rsidR="00E14754">
        <w:t>a pesar de esta mejora en el acceso a la financiación, las PYME siguen dependiendo en exceso de la finan</w:t>
      </w:r>
      <w:r w:rsidR="008257FB">
        <w:t>ciación bancaria</w:t>
      </w:r>
      <w:r w:rsidR="00E14754">
        <w:t>, haciéndolas muy vulnerables a las condiciones cíclicas de la financiación</w:t>
      </w:r>
      <w:r w:rsidR="006E1B46">
        <w:t xml:space="preserve"> (ver </w:t>
      </w:r>
      <w:r w:rsidR="006E1B46" w:rsidRPr="006E08FD">
        <w:rPr>
          <w:highlight w:val="yellow"/>
        </w:rPr>
        <w:t xml:space="preserve">Gráfico </w:t>
      </w:r>
      <w:r w:rsidR="00E40DE4">
        <w:t>1</w:t>
      </w:r>
      <w:r w:rsidR="00AC651F">
        <w:t>7</w:t>
      </w:r>
      <w:r w:rsidR="006E1B46">
        <w:t>)</w:t>
      </w:r>
      <w:r w:rsidR="00E14754">
        <w:t xml:space="preserve">. Descontando el crédito comercial y la financiación bancaria, las fuentes alternativas solo representan el 23% de los instrumentos financieros utilizados por las PYME. </w:t>
      </w:r>
      <w:r w:rsidRPr="006D0041">
        <w:t xml:space="preserve">La dependencia del crédito bancario es </w:t>
      </w:r>
      <w:r w:rsidR="00624F55" w:rsidRPr="006D0041">
        <w:t>clara</w:t>
      </w:r>
      <w:r w:rsidRPr="006D0041">
        <w:t xml:space="preserve"> en las empresas españolas que alcanza un 40,4% de su balance total, más que el caso de Italia (34,8%) y de la media de la zona euro (31,4%) y muy alejada de países como Reino Unido (19,1%), Alemania (25,3%) o Fra</w:t>
      </w:r>
      <w:r>
        <w:t>ncia (25,8%)</w:t>
      </w:r>
      <w:r w:rsidRPr="006D0041">
        <w:t>.</w:t>
      </w:r>
    </w:p>
    <w:tbl>
      <w:tblPr>
        <w:tblStyle w:val="Style1"/>
        <w:tblW w:w="5000" w:type="pct"/>
        <w:tblLook w:val="04A0" w:firstRow="1" w:lastRow="0" w:firstColumn="1" w:lastColumn="0" w:noHBand="0" w:noVBand="1"/>
      </w:tblPr>
      <w:tblGrid>
        <w:gridCol w:w="9071"/>
      </w:tblGrid>
      <w:tr w:rsidR="00E530C9" w:rsidRPr="007916CD" w14:paraId="32B8CDA3" w14:textId="77777777" w:rsidTr="00E530C9">
        <w:trPr>
          <w:trHeight w:val="250"/>
        </w:trPr>
        <w:tc>
          <w:tcPr>
            <w:tcW w:w="9287" w:type="dxa"/>
          </w:tcPr>
          <w:p w14:paraId="567DC9F0" w14:textId="1013A270" w:rsidR="00E530C9" w:rsidRPr="00E530C9" w:rsidRDefault="00E530C9" w:rsidP="00325C73">
            <w:pPr>
              <w:pStyle w:val="Descripcin1"/>
              <w:spacing w:afterLines="100" w:after="240"/>
              <w:jc w:val="center"/>
              <w:rPr>
                <w:b w:val="0"/>
              </w:rPr>
            </w:pPr>
            <w:bookmarkStart w:id="58" w:name="_Toc526942125"/>
            <w:r w:rsidRPr="008B6C6C">
              <w:rPr>
                <w:b w:val="0"/>
              </w:rPr>
              <w:lastRenderedPageBreak/>
              <w:t xml:space="preserve">Gráfico </w:t>
            </w:r>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17</w:t>
            </w:r>
            <w:r w:rsidRPr="008B6C6C">
              <w:rPr>
                <w:b w:val="0"/>
              </w:rPr>
              <w:fldChar w:fldCharType="end"/>
            </w:r>
            <w:r w:rsidRPr="008B6C6C">
              <w:rPr>
                <w:b w:val="0"/>
              </w:rPr>
              <w:t>. Nivel de utilización de distintos instrumentos financieros en los últimos 6 meses, Marzo 201</w:t>
            </w:r>
            <w:r w:rsidR="00233748">
              <w:rPr>
                <w:b w:val="0"/>
              </w:rPr>
              <w:t>7</w:t>
            </w:r>
            <w:bookmarkEnd w:id="58"/>
          </w:p>
        </w:tc>
      </w:tr>
      <w:tr w:rsidR="00E14754" w:rsidRPr="003D49F2" w14:paraId="29A096E9" w14:textId="77777777" w:rsidTr="00E530C9">
        <w:trPr>
          <w:trHeight w:val="250"/>
        </w:trPr>
        <w:tc>
          <w:tcPr>
            <w:tcW w:w="9287" w:type="dxa"/>
          </w:tcPr>
          <w:p w14:paraId="3B8CF505" w14:textId="7106A473" w:rsidR="00E14754" w:rsidRPr="003D49F2" w:rsidRDefault="00233748" w:rsidP="00325C73">
            <w:pPr>
              <w:spacing w:afterLines="80" w:after="192"/>
              <w:contextualSpacing/>
              <w:jc w:val="center"/>
              <w:rPr>
                <w:rFonts w:ascii="Century Gothic" w:hAnsi="Century Gothic" w:cs="Arial"/>
                <w:b/>
                <w:color w:val="000000"/>
                <w:sz w:val="18"/>
                <w:szCs w:val="18"/>
                <w:lang w:val="es-ES"/>
              </w:rPr>
            </w:pPr>
            <w:r>
              <w:rPr>
                <w:rFonts w:ascii="Century Gothic" w:hAnsi="Century Gothic" w:cs="Arial"/>
                <w:b/>
                <w:noProof/>
                <w:color w:val="000000"/>
                <w:sz w:val="18"/>
                <w:szCs w:val="18"/>
                <w:lang w:val="es-ES" w:eastAsia="es-ES"/>
              </w:rPr>
              <w:drawing>
                <wp:inline distT="0" distB="0" distL="0" distR="0" wp14:anchorId="378C3AD3" wp14:editId="20A18F64">
                  <wp:extent cx="5401310" cy="231076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2310765"/>
                          </a:xfrm>
                          <a:prstGeom prst="rect">
                            <a:avLst/>
                          </a:prstGeom>
                          <a:noFill/>
                        </pic:spPr>
                      </pic:pic>
                    </a:graphicData>
                  </a:graphic>
                </wp:inline>
              </w:drawing>
            </w:r>
          </w:p>
        </w:tc>
      </w:tr>
      <w:tr w:rsidR="00E14754" w:rsidRPr="007916CD" w14:paraId="38B3543F" w14:textId="77777777" w:rsidTr="00E530C9">
        <w:trPr>
          <w:trHeight w:val="250"/>
        </w:trPr>
        <w:tc>
          <w:tcPr>
            <w:tcW w:w="9287" w:type="dxa"/>
          </w:tcPr>
          <w:p w14:paraId="10CA372C" w14:textId="066B04B2" w:rsidR="00E14754" w:rsidRPr="003D49F2" w:rsidRDefault="00E14754" w:rsidP="00325C73">
            <w:pPr>
              <w:spacing w:before="120" w:after="120"/>
              <w:rPr>
                <w:rFonts w:ascii="Century Gothic" w:hAnsi="Century Gothic" w:cs="Arial"/>
                <w:color w:val="000000"/>
                <w:sz w:val="18"/>
                <w:szCs w:val="18"/>
                <w:lang w:val="es-ES"/>
              </w:rPr>
            </w:pPr>
            <w:r w:rsidRPr="003D49F2">
              <w:rPr>
                <w:rFonts w:ascii="Century Gothic" w:hAnsi="Century Gothic" w:cs="Arial"/>
                <w:i/>
                <w:sz w:val="16"/>
                <w:szCs w:val="18"/>
                <w:lang w:val="es-ES" w:eastAsia="en-GB"/>
              </w:rPr>
              <w:t xml:space="preserve">Fuente: </w:t>
            </w:r>
            <w:r w:rsidR="00232D51">
              <w:rPr>
                <w:rFonts w:ascii="Century Gothic" w:hAnsi="Century Gothic" w:cs="Arial"/>
                <w:i/>
                <w:sz w:val="16"/>
                <w:szCs w:val="18"/>
                <w:lang w:val="es-ES" w:eastAsia="en-GB"/>
              </w:rPr>
              <w:t xml:space="preserve">CESGAR (2017), </w:t>
            </w:r>
            <w:r w:rsidR="00233748">
              <w:rPr>
                <w:rFonts w:ascii="Century Gothic" w:hAnsi="Century Gothic" w:cs="Arial"/>
                <w:i/>
                <w:sz w:val="16"/>
                <w:szCs w:val="18"/>
                <w:lang w:val="es-ES" w:eastAsia="en-GB"/>
              </w:rPr>
              <w:t>I</w:t>
            </w:r>
            <w:r w:rsidRPr="00E20CEF">
              <w:rPr>
                <w:rFonts w:ascii="Century Gothic" w:hAnsi="Century Gothic" w:cs="Arial"/>
                <w:i/>
                <w:sz w:val="16"/>
                <w:szCs w:val="18"/>
                <w:lang w:val="es-ES" w:eastAsia="en-GB"/>
              </w:rPr>
              <w:t>V Informe “La financiación de la PYME en España”</w:t>
            </w:r>
          </w:p>
        </w:tc>
      </w:tr>
    </w:tbl>
    <w:p w14:paraId="686577C8" w14:textId="7C0353B2" w:rsidR="00E70B1F" w:rsidRPr="00E70B1F" w:rsidRDefault="00E70B1F" w:rsidP="00F17B41">
      <w:pPr>
        <w:spacing w:before="120" w:line="276" w:lineRule="auto"/>
        <w:rPr>
          <w:rFonts w:ascii="Century Gothic" w:hAnsi="Century Gothic" w:cs="Arial"/>
          <w:color w:val="000000"/>
          <w:kern w:val="24"/>
          <w:lang w:val="es-ES" w:eastAsia="es-ES"/>
        </w:rPr>
      </w:pPr>
      <w:r w:rsidRPr="00E70B1F">
        <w:rPr>
          <w:rFonts w:ascii="Century Gothic" w:hAnsi="Century Gothic" w:cs="Arial"/>
          <w:color w:val="000000"/>
          <w:kern w:val="24"/>
          <w:lang w:val="es-ES" w:eastAsia="es-ES"/>
        </w:rPr>
        <w:t>Por otro lado, además de esta dependencia de la financiación bancaria nuestras PYME están en clara desventaja en comparación con otros países de nuestro entorno al tener que enfrentarse a mayores tipos de interés. Así, el tipo de interés que pagan las PYME no financieras en España se sitúa en torno a 60 puntos básicos por encima del tipo de interés pagado por las PYME alemanas y francesas</w:t>
      </w:r>
      <w:r w:rsidRPr="00E70B1F">
        <w:rPr>
          <w:rFonts w:ascii="Century Gothic" w:hAnsi="Century Gothic" w:cs="Arial"/>
          <w:color w:val="000000"/>
          <w:kern w:val="24"/>
          <w:vertAlign w:val="superscript"/>
          <w:lang w:eastAsia="es-ES"/>
        </w:rPr>
        <w:footnoteReference w:id="41"/>
      </w:r>
      <w:r w:rsidRPr="00E70B1F">
        <w:rPr>
          <w:rFonts w:ascii="Century Gothic" w:hAnsi="Century Gothic" w:cs="Arial"/>
          <w:color w:val="000000"/>
          <w:kern w:val="24"/>
          <w:lang w:val="es-ES" w:eastAsia="es-ES"/>
        </w:rPr>
        <w:t>.</w:t>
      </w:r>
    </w:p>
    <w:p w14:paraId="7BA9FBEE" w14:textId="3434A7C5" w:rsidR="005F53D4" w:rsidRDefault="005F53D4" w:rsidP="00F17B41">
      <w:pPr>
        <w:spacing w:before="120" w:line="276" w:lineRule="auto"/>
        <w:rPr>
          <w:rFonts w:ascii="Century Gothic" w:hAnsi="Century Gothic" w:cs="Arial"/>
          <w:color w:val="000000"/>
          <w:kern w:val="24"/>
          <w:lang w:val="es-ES" w:eastAsia="es-ES"/>
        </w:rPr>
      </w:pPr>
      <w:r w:rsidRPr="005C5706">
        <w:rPr>
          <w:rFonts w:ascii="Century Gothic" w:hAnsi="Century Gothic" w:cs="Arial"/>
          <w:color w:val="000000"/>
          <w:kern w:val="24"/>
          <w:lang w:val="es-ES" w:eastAsia="es-ES"/>
        </w:rPr>
        <w:t xml:space="preserve">En los últimos años, las Administraciones públicas españolas han hecho un importante esfuerzo en mejorar y generar </w:t>
      </w:r>
      <w:r w:rsidR="00DF5B33" w:rsidRPr="005C5706">
        <w:rPr>
          <w:rFonts w:ascii="Century Gothic" w:hAnsi="Century Gothic" w:cs="Arial"/>
          <w:color w:val="000000"/>
          <w:kern w:val="24"/>
          <w:lang w:val="es-ES" w:eastAsia="es-ES"/>
        </w:rPr>
        <w:t xml:space="preserve">nuevas </w:t>
      </w:r>
      <w:r w:rsidRPr="005C5706">
        <w:rPr>
          <w:rFonts w:ascii="Century Gothic" w:hAnsi="Century Gothic" w:cs="Arial"/>
          <w:color w:val="000000"/>
          <w:kern w:val="24"/>
          <w:lang w:val="es-ES" w:eastAsia="es-ES"/>
        </w:rPr>
        <w:t xml:space="preserve">fuentes alternativas de financiación. </w:t>
      </w:r>
      <w:r w:rsidR="00DF5B33" w:rsidRPr="005C5706">
        <w:rPr>
          <w:rFonts w:ascii="Century Gothic" w:hAnsi="Century Gothic" w:cs="Arial"/>
          <w:color w:val="000000"/>
          <w:kern w:val="24"/>
          <w:lang w:val="es-ES" w:eastAsia="es-ES"/>
        </w:rPr>
        <w:t xml:space="preserve">Desde actuaciones en </w:t>
      </w:r>
      <w:r w:rsidR="0073370F" w:rsidRPr="005C5706">
        <w:rPr>
          <w:rFonts w:ascii="Century Gothic" w:hAnsi="Century Gothic" w:cs="Arial"/>
          <w:color w:val="000000"/>
          <w:kern w:val="24"/>
          <w:lang w:val="es-ES" w:eastAsia="es-ES"/>
        </w:rPr>
        <w:t>los</w:t>
      </w:r>
      <w:r w:rsidR="00DF5B33" w:rsidRPr="005C5706">
        <w:rPr>
          <w:rFonts w:ascii="Century Gothic" w:hAnsi="Century Gothic" w:cs="Arial"/>
          <w:color w:val="000000"/>
          <w:kern w:val="24"/>
          <w:lang w:val="es-ES" w:eastAsia="es-ES"/>
        </w:rPr>
        <w:t xml:space="preserve"> mercado</w:t>
      </w:r>
      <w:r w:rsidR="0073370F" w:rsidRPr="005C5706">
        <w:rPr>
          <w:rFonts w:ascii="Century Gothic" w:hAnsi="Century Gothic" w:cs="Arial"/>
          <w:color w:val="000000"/>
          <w:kern w:val="24"/>
          <w:lang w:val="es-ES" w:eastAsia="es-ES"/>
        </w:rPr>
        <w:t>s</w:t>
      </w:r>
      <w:r w:rsidR="00DF5B33" w:rsidRPr="005C5706">
        <w:rPr>
          <w:rFonts w:ascii="Century Gothic" w:hAnsi="Century Gothic" w:cs="Arial"/>
          <w:color w:val="000000"/>
          <w:kern w:val="24"/>
          <w:lang w:val="es-ES" w:eastAsia="es-ES"/>
        </w:rPr>
        <w:t xml:space="preserve"> de valores (</w:t>
      </w:r>
      <w:r w:rsidR="0073370F" w:rsidRPr="005C5706">
        <w:rPr>
          <w:rFonts w:ascii="Century Gothic" w:hAnsi="Century Gothic" w:cs="Arial"/>
          <w:color w:val="000000"/>
          <w:kern w:val="24"/>
          <w:lang w:val="es-ES" w:eastAsia="es-ES"/>
        </w:rPr>
        <w:t xml:space="preserve">como la </w:t>
      </w:r>
      <w:r w:rsidR="00DF5B33" w:rsidRPr="005C5706">
        <w:rPr>
          <w:rFonts w:ascii="Century Gothic" w:hAnsi="Century Gothic" w:cs="Arial"/>
          <w:color w:val="000000"/>
          <w:kern w:val="24"/>
          <w:lang w:val="es-ES" w:eastAsia="es-ES"/>
        </w:rPr>
        <w:t xml:space="preserve">creación </w:t>
      </w:r>
      <w:r w:rsidR="0073370F" w:rsidRPr="005C5706">
        <w:rPr>
          <w:rFonts w:ascii="Century Gothic" w:hAnsi="Century Gothic" w:cs="Arial"/>
          <w:color w:val="000000"/>
          <w:kern w:val="24"/>
          <w:lang w:val="es-ES" w:eastAsia="es-ES"/>
        </w:rPr>
        <w:t xml:space="preserve">e impulso </w:t>
      </w:r>
      <w:r w:rsidR="00DF5B33" w:rsidRPr="005C5706">
        <w:rPr>
          <w:rFonts w:ascii="Century Gothic" w:hAnsi="Century Gothic" w:cs="Arial"/>
          <w:color w:val="000000"/>
          <w:kern w:val="24"/>
          <w:lang w:val="es-ES" w:eastAsia="es-ES"/>
        </w:rPr>
        <w:t xml:space="preserve">de </w:t>
      </w:r>
      <w:r w:rsidR="003B5BBD" w:rsidRPr="005C5706">
        <w:rPr>
          <w:rFonts w:ascii="Century Gothic" w:hAnsi="Century Gothic" w:cs="Arial"/>
          <w:color w:val="000000"/>
          <w:kern w:val="24"/>
          <w:lang w:val="es-ES" w:eastAsia="es-ES"/>
        </w:rPr>
        <w:t>los mercados alternativos bursátil y de renta fija</w:t>
      </w:r>
      <w:r w:rsidR="00DF5B33" w:rsidRPr="005C5706">
        <w:rPr>
          <w:rFonts w:ascii="Century Gothic" w:hAnsi="Century Gothic" w:cs="Arial"/>
          <w:color w:val="000000"/>
          <w:kern w:val="24"/>
          <w:lang w:val="es-ES" w:eastAsia="es-ES"/>
        </w:rPr>
        <w:t xml:space="preserve">) como el </w:t>
      </w:r>
      <w:r w:rsidR="006735C0" w:rsidRPr="005C5706">
        <w:rPr>
          <w:rFonts w:ascii="Century Gothic" w:hAnsi="Century Gothic" w:cs="Arial"/>
          <w:color w:val="000000"/>
          <w:kern w:val="24"/>
          <w:lang w:val="es-ES" w:eastAsia="es-ES"/>
        </w:rPr>
        <w:t>desarrollo de</w:t>
      </w:r>
      <w:r w:rsidR="00DF5B33" w:rsidRPr="005C5706">
        <w:rPr>
          <w:rFonts w:ascii="Century Gothic" w:hAnsi="Century Gothic" w:cs="Arial"/>
          <w:color w:val="000000"/>
          <w:kern w:val="24"/>
          <w:lang w:val="es-ES" w:eastAsia="es-ES"/>
        </w:rPr>
        <w:t xml:space="preserve">l mercado de Capital Riesgo (ENISA, FOND-ICO Global, etc.) pasando por el refuerzo del sistema de garantías español, la regulación de las plataformas on-line de financiación </w:t>
      </w:r>
      <w:r w:rsidR="006735C0" w:rsidRPr="005C5706">
        <w:rPr>
          <w:rFonts w:ascii="Century Gothic" w:hAnsi="Century Gothic" w:cs="Arial"/>
          <w:color w:val="000000"/>
          <w:kern w:val="24"/>
          <w:lang w:val="es-ES" w:eastAsia="es-ES"/>
        </w:rPr>
        <w:t xml:space="preserve">(crowdfunding) </w:t>
      </w:r>
      <w:r w:rsidR="00DF5B33" w:rsidRPr="005C5706">
        <w:rPr>
          <w:rFonts w:ascii="Century Gothic" w:hAnsi="Century Gothic" w:cs="Arial"/>
          <w:color w:val="000000"/>
          <w:kern w:val="24"/>
          <w:lang w:val="es-ES" w:eastAsia="es-ES"/>
        </w:rPr>
        <w:t>y el apoyo a los business angels</w:t>
      </w:r>
      <w:r w:rsidR="00E70B1F">
        <w:rPr>
          <w:rFonts w:ascii="Century Gothic" w:hAnsi="Century Gothic" w:cs="Arial"/>
          <w:color w:val="000000"/>
          <w:kern w:val="24"/>
          <w:lang w:val="es-ES" w:eastAsia="es-ES"/>
        </w:rPr>
        <w:t xml:space="preserve"> (programa de apoyo a las redes de business angels así como incentivos fiscales a nivel estatal y autonómico)</w:t>
      </w:r>
      <w:r w:rsidR="00DF5B33" w:rsidRPr="005C5706">
        <w:rPr>
          <w:rFonts w:ascii="Century Gothic" w:hAnsi="Century Gothic" w:cs="Arial"/>
          <w:color w:val="000000"/>
          <w:kern w:val="24"/>
          <w:lang w:val="es-ES" w:eastAsia="es-ES"/>
        </w:rPr>
        <w:t xml:space="preserve">. </w:t>
      </w:r>
    </w:p>
    <w:p w14:paraId="103758BA" w14:textId="74705D39" w:rsidR="00C5217A" w:rsidRDefault="00C61A90" w:rsidP="00F17B41">
      <w:pPr>
        <w:spacing w:before="120" w:line="276" w:lineRule="auto"/>
        <w:rPr>
          <w:rFonts w:ascii="Century Gothic" w:hAnsi="Century Gothic" w:cs="Arial"/>
          <w:color w:val="000000"/>
          <w:kern w:val="24"/>
          <w:lang w:val="es-ES" w:eastAsia="es-ES"/>
        </w:rPr>
      </w:pPr>
      <w:r>
        <w:rPr>
          <w:rFonts w:ascii="Century Gothic" w:hAnsi="Century Gothic" w:cs="Arial"/>
          <w:color w:val="000000"/>
          <w:kern w:val="24"/>
          <w:lang w:val="es-ES" w:eastAsia="es-ES"/>
        </w:rPr>
        <w:t>Aun así, según lo visto anteriormente, el uso de esta financiación alternativa aún es baja entre la</w:t>
      </w:r>
      <w:r w:rsidR="002268A7">
        <w:rPr>
          <w:rFonts w:ascii="Century Gothic" w:hAnsi="Century Gothic" w:cs="Arial"/>
          <w:color w:val="000000"/>
          <w:kern w:val="24"/>
          <w:lang w:val="es-ES" w:eastAsia="es-ES"/>
        </w:rPr>
        <w:t xml:space="preserve"> PYME española</w:t>
      </w:r>
      <w:r w:rsidR="00C5217A">
        <w:rPr>
          <w:rFonts w:ascii="Century Gothic" w:hAnsi="Century Gothic" w:cs="Arial"/>
          <w:color w:val="000000"/>
          <w:kern w:val="24"/>
          <w:lang w:val="es-ES" w:eastAsia="es-ES"/>
        </w:rPr>
        <w:t xml:space="preserve">. Esto supone un riesgo, como hemos visto en la </w:t>
      </w:r>
      <w:r w:rsidR="00392228">
        <w:rPr>
          <w:rFonts w:ascii="Century Gothic" w:hAnsi="Century Gothic" w:cs="Arial"/>
          <w:color w:val="000000"/>
          <w:kern w:val="24"/>
          <w:lang w:val="es-ES" w:eastAsia="es-ES"/>
        </w:rPr>
        <w:t xml:space="preserve">última </w:t>
      </w:r>
      <w:r w:rsidR="00C5217A">
        <w:rPr>
          <w:rFonts w:ascii="Century Gothic" w:hAnsi="Century Gothic" w:cs="Arial"/>
          <w:color w:val="000000"/>
          <w:kern w:val="24"/>
          <w:lang w:val="es-ES" w:eastAsia="es-ES"/>
        </w:rPr>
        <w:t xml:space="preserve">crisis económica y financiera, ya que </w:t>
      </w:r>
      <w:r w:rsidR="00C5217A" w:rsidRPr="00C5217A">
        <w:rPr>
          <w:rFonts w:ascii="Century Gothic" w:hAnsi="Century Gothic" w:cs="Arial"/>
          <w:color w:val="000000"/>
          <w:kern w:val="24"/>
          <w:lang w:val="es-ES" w:eastAsia="es-ES"/>
        </w:rPr>
        <w:t xml:space="preserve">un endurecimiento en la concesión de financiación por las entidades </w:t>
      </w:r>
      <w:r w:rsidR="00C5217A">
        <w:rPr>
          <w:rFonts w:ascii="Century Gothic" w:hAnsi="Century Gothic" w:cs="Arial"/>
          <w:color w:val="000000"/>
          <w:kern w:val="24"/>
          <w:lang w:val="es-ES" w:eastAsia="es-ES"/>
        </w:rPr>
        <w:t>financieras</w:t>
      </w:r>
      <w:r w:rsidR="00C5217A" w:rsidRPr="00C5217A">
        <w:rPr>
          <w:rFonts w:ascii="Century Gothic" w:hAnsi="Century Gothic" w:cs="Arial"/>
          <w:color w:val="000000"/>
          <w:kern w:val="24"/>
          <w:lang w:val="es-ES" w:eastAsia="es-ES"/>
        </w:rPr>
        <w:t xml:space="preserve"> hace difícil para muchas empresas obtener los recursos necesarios, lo que tiene un efecto especialmente grave en </w:t>
      </w:r>
      <w:r w:rsidR="00C5217A">
        <w:rPr>
          <w:rFonts w:ascii="Century Gothic" w:hAnsi="Century Gothic" w:cs="Arial"/>
          <w:color w:val="000000"/>
          <w:kern w:val="24"/>
          <w:lang w:val="es-ES" w:eastAsia="es-ES"/>
        </w:rPr>
        <w:t xml:space="preserve">las PYME. </w:t>
      </w:r>
    </w:p>
    <w:p w14:paraId="50A58C3F" w14:textId="12551D4F" w:rsidR="00392228" w:rsidRDefault="00392228" w:rsidP="00392228">
      <w:pPr>
        <w:pStyle w:val="Body"/>
      </w:pPr>
      <w:r>
        <w:t xml:space="preserve">No obstante, esta situación es generalizada en toda Europa, así </w:t>
      </w:r>
      <w:r w:rsidR="00C95E6C">
        <w:t xml:space="preserve">según la última Encuesta del Banco Central Europeo sobre financiación a empresas, </w:t>
      </w:r>
      <w:r>
        <w:t xml:space="preserve">la financiación bancaria sigue siendo la fuente más importante para las PYME en comparación con los instrumentos basados </w:t>
      </w:r>
      <w:r>
        <w:rPr>
          <w:rFonts w:ascii="Arial" w:hAnsi="Arial" w:cs="Arial"/>
        </w:rPr>
        <w:t>​​</w:t>
      </w:r>
      <w:r>
        <w:t>en el mercado y otras fuentes de financiaci</w:t>
      </w:r>
      <w:r>
        <w:rPr>
          <w:rFonts w:cs="Century Gothic"/>
        </w:rPr>
        <w:t>ó</w:t>
      </w:r>
      <w:r>
        <w:t xml:space="preserve">n. Más del 50% de las pymes de la zona del euro consideraron la financiación bancaria (préstamos y líneas de crédito) como instrumentos financieros relevantes. En cambio, los instrumentos basados </w:t>
      </w:r>
      <w:r>
        <w:rPr>
          <w:rFonts w:ascii="Arial" w:hAnsi="Arial" w:cs="Arial"/>
        </w:rPr>
        <w:t>​​</w:t>
      </w:r>
      <w:r>
        <w:t xml:space="preserve">en el mercado, como el capital </w:t>
      </w:r>
      <w:r>
        <w:lastRenderedPageBreak/>
        <w:t>(11%) y los t</w:t>
      </w:r>
      <w:r>
        <w:rPr>
          <w:rFonts w:cs="Century Gothic"/>
        </w:rPr>
        <w:t>í</w:t>
      </w:r>
      <w:r>
        <w:t>tulos de deuda (3%), pero también el factoring (9%), se consideraron mucho menos como una posible fuente de financiación</w:t>
      </w:r>
      <w:r>
        <w:rPr>
          <w:rStyle w:val="Refdenotaalpie"/>
        </w:rPr>
        <w:footnoteReference w:id="42"/>
      </w:r>
      <w:r>
        <w:t>.</w:t>
      </w:r>
    </w:p>
    <w:p w14:paraId="67298923" w14:textId="4B554C00" w:rsidR="00325058" w:rsidRDefault="00C95E6C" w:rsidP="00072987">
      <w:pPr>
        <w:pStyle w:val="Body"/>
        <w:rPr>
          <w:rFonts w:cs="Arial"/>
          <w:color w:val="000000"/>
          <w:kern w:val="24"/>
          <w:lang w:eastAsia="es-ES"/>
        </w:rPr>
      </w:pPr>
      <w:r w:rsidRPr="00C95E6C">
        <w:t xml:space="preserve">La disponibilidad y el acceso a fuentes alternativas de financiación se ve frenada por una combinación de barreras </w:t>
      </w:r>
      <w:r w:rsidR="00325058">
        <w:t>en la parte de</w:t>
      </w:r>
      <w:r w:rsidRPr="00C95E6C">
        <w:t xml:space="preserve"> </w:t>
      </w:r>
      <w:r w:rsidR="00325058">
        <w:t xml:space="preserve">la </w:t>
      </w:r>
      <w:r w:rsidRPr="00C95E6C">
        <w:t xml:space="preserve">demanda y de </w:t>
      </w:r>
      <w:r w:rsidR="00325058">
        <w:t xml:space="preserve">la </w:t>
      </w:r>
      <w:r w:rsidRPr="00C95E6C">
        <w:t xml:space="preserve">oferta. Por el lado de la demanda, muchos empresarios carecen de conocimiento financiero, visión estratégica, recursos y, a veces, incluso la voluntad </w:t>
      </w:r>
      <w:r>
        <w:t>para conseguir otro tipo de financiación que no sea la deuda bancaria</w:t>
      </w:r>
      <w:r w:rsidRPr="00C95E6C">
        <w:t xml:space="preserve">. </w:t>
      </w:r>
      <w:r w:rsidR="00325058">
        <w:t xml:space="preserve">Esto se une el </w:t>
      </w:r>
      <w:r w:rsidR="00325058">
        <w:rPr>
          <w:rFonts w:cs="Arial"/>
          <w:color w:val="000000"/>
          <w:kern w:val="24"/>
          <w:lang w:eastAsia="es-ES"/>
        </w:rPr>
        <w:t xml:space="preserve">desconocimiento de los procedimientos administrativos para solicitarlas, en caso de tratarse de instrumentos públicos. </w:t>
      </w:r>
      <w:r w:rsidR="002C1A52">
        <w:rPr>
          <w:rFonts w:cs="Arial"/>
          <w:color w:val="000000"/>
          <w:kern w:val="24"/>
          <w:lang w:eastAsia="es-ES"/>
        </w:rPr>
        <w:t>Además, la financiación en capital supone muchas veces perder control en la dirección de la empresa, lo que se une a las barreras anteriores.</w:t>
      </w:r>
    </w:p>
    <w:p w14:paraId="67A46677" w14:textId="57A6669B" w:rsidR="00C95E6C" w:rsidRDefault="00C95E6C" w:rsidP="00072987">
      <w:pPr>
        <w:pStyle w:val="Body"/>
      </w:pPr>
      <w:r w:rsidRPr="00C95E6C">
        <w:t xml:space="preserve">Por el lado de la oferta, los </w:t>
      </w:r>
      <w:r w:rsidR="00325058">
        <w:t>inversores</w:t>
      </w:r>
      <w:r w:rsidRPr="00C95E6C">
        <w:t xml:space="preserve"> potenciales </w:t>
      </w:r>
      <w:r w:rsidR="00325058">
        <w:t xml:space="preserve">tienen dificultades para conocer información económico-financiera de las empresas, lo que se une </w:t>
      </w:r>
      <w:r w:rsidRPr="00C95E6C">
        <w:t xml:space="preserve">la falta de opciones de salida </w:t>
      </w:r>
      <w:r w:rsidR="00325058">
        <w:t xml:space="preserve">(desinversión) </w:t>
      </w:r>
      <w:r w:rsidRPr="00C95E6C">
        <w:t>y l</w:t>
      </w:r>
      <w:r w:rsidR="00325058">
        <w:t>as trabas normativas junto con bajos incentivos fiscales en muchas ocasiones</w:t>
      </w:r>
      <w:r w:rsidRPr="00C95E6C">
        <w:t xml:space="preserve">. Como consecuencia, los instrumentos financieros para las PYMES a menudo operan en mercados </w:t>
      </w:r>
      <w:r w:rsidR="00325058">
        <w:t>pequeños con muy poca liquidez (véase la situación, por ejemplo, del MAB español)</w:t>
      </w:r>
      <w:r w:rsidRPr="00C95E6C">
        <w:t xml:space="preserve">, con un bajo número de </w:t>
      </w:r>
      <w:r w:rsidR="00325058">
        <w:t>inversores</w:t>
      </w:r>
      <w:r w:rsidRPr="00C95E6C">
        <w:t>, lo que a su vez reduce la demanda de las PYMES y des</w:t>
      </w:r>
      <w:r w:rsidR="00325058">
        <w:t>incentiva a la entrada de nuevos inversores (</w:t>
      </w:r>
      <w:r w:rsidRPr="00C95E6C">
        <w:t>OCDE, 201</w:t>
      </w:r>
      <w:r w:rsidR="00325058">
        <w:t>8 Enhancing SME access to diversified financing instruments, discussion paper, Conferencia Ministerial de PYME, México</w:t>
      </w:r>
      <w:r w:rsidRPr="00C95E6C">
        <w:t>).</w:t>
      </w:r>
    </w:p>
    <w:p w14:paraId="246DA08A" w14:textId="2C23774C" w:rsidR="00325C73" w:rsidRDefault="00131F4C" w:rsidP="00072987">
      <w:pPr>
        <w:pStyle w:val="Body"/>
      </w:pPr>
      <w:r>
        <w:t>Además, esta falta de uso</w:t>
      </w:r>
      <w:r w:rsidR="00C5217A">
        <w:t xml:space="preserve"> de la financiación alternativa (tanto pública como privada)</w:t>
      </w:r>
      <w:r>
        <w:t xml:space="preserve"> también puede darse porque no existen instrumentos financieros que respondan a las necesidades de </w:t>
      </w:r>
      <w:r w:rsidR="00C5217A">
        <w:t>las</w:t>
      </w:r>
      <w:r>
        <w:t xml:space="preserve"> empresas. </w:t>
      </w:r>
    </w:p>
    <w:p w14:paraId="24CC2BA6" w14:textId="4967C3E4" w:rsidR="00072987" w:rsidRDefault="00131F4C" w:rsidP="00072987">
      <w:pPr>
        <w:pStyle w:val="Body"/>
      </w:pPr>
      <w:r>
        <w:t xml:space="preserve">En la </w:t>
      </w:r>
      <w:r w:rsidR="0016620A">
        <w:t>Comunicación</w:t>
      </w:r>
      <w:r>
        <w:t xml:space="preserve"> de la Comisión Europea, “</w:t>
      </w:r>
      <w:r w:rsidRPr="00131F4C">
        <w:t>COM</w:t>
      </w:r>
      <w:r>
        <w:t xml:space="preserve"> </w:t>
      </w:r>
      <w:r w:rsidRPr="00131F4C">
        <w:t>(2016) 733 final. Iniciativa sobre las empresas emergentes y en expansión</w:t>
      </w:r>
      <w:r>
        <w:t xml:space="preserve">”, se asegura que </w:t>
      </w:r>
      <w:r w:rsidR="00072987">
        <w:t>los estudios académicos y las consultas públicas confirman que existen diferencias sustanciales durante la fase de expansión</w:t>
      </w:r>
      <w:r>
        <w:t xml:space="preserve"> entre Estados Unidos y la Unión Europa, debido, en </w:t>
      </w:r>
      <w:r w:rsidR="00072987">
        <w:t>parte, a la cantidad de financiación disponible para la inversión de capital riesgo</w:t>
      </w:r>
      <w:r w:rsidR="00DB7066">
        <w:rPr>
          <w:rStyle w:val="Refdenotaalpie"/>
        </w:rPr>
        <w:footnoteReference w:id="43"/>
      </w:r>
      <w:r w:rsidR="00DB7066">
        <w:t xml:space="preserve">. Efectivamente, si </w:t>
      </w:r>
      <w:r w:rsidR="006B7119">
        <w:t>tomamos</w:t>
      </w:r>
      <w:r w:rsidR="00DB7066">
        <w:t xml:space="preserve"> uno de los parámetros que nos permite ver el volumen, como los fondos </w:t>
      </w:r>
      <w:r w:rsidR="006B7119">
        <w:t>conseguidos</w:t>
      </w:r>
      <w:r w:rsidR="00DB7066">
        <w:t>, en 2017 sólo los fondos europeos de capital riesgo (venture capital, sin contar otras modalidades de capital riesgo) habrían captado unos 7.700 millones de euros</w:t>
      </w:r>
      <w:r w:rsidR="00DB7066">
        <w:rPr>
          <w:rStyle w:val="Refdenotaalpie"/>
        </w:rPr>
        <w:footnoteReference w:id="44"/>
      </w:r>
      <w:r w:rsidR="00DB7066">
        <w:t xml:space="preserve"> mientras que en Estados Unidos esta cantidad llega a 37.440</w:t>
      </w:r>
      <w:r w:rsidR="00DB7066">
        <w:rPr>
          <w:rStyle w:val="Refdenotaalpie"/>
        </w:rPr>
        <w:footnoteReference w:id="45"/>
      </w:r>
      <w:r w:rsidR="00DB7066">
        <w:t xml:space="preserve"> millones de dólares.</w:t>
      </w:r>
    </w:p>
    <w:p w14:paraId="6488291B" w14:textId="40666D64" w:rsidR="00131F4C" w:rsidRDefault="007E5B7A" w:rsidP="00072987">
      <w:pPr>
        <w:pStyle w:val="Body"/>
      </w:pPr>
      <w:r>
        <w:t xml:space="preserve">Otro dato interesante que remarca esta </w:t>
      </w:r>
      <w:r w:rsidR="0016620A">
        <w:t>Comunicación</w:t>
      </w:r>
      <w:r>
        <w:t xml:space="preserve"> es que “los fondos de capital riesgo europeos son, de media, más pequeños y no pueden ayudar de manera suficiente a las empresas a pasar de empresas emergentes a empresas de mediana capitalización”. En el período 2007-2012, el tamaño medio de los fondos de capital riesgo europeos fue de 61 </w:t>
      </w:r>
      <w:r>
        <w:lastRenderedPageBreak/>
        <w:t>millones de euros, y el 50% eran inferiores a 27 millones de euros; en 2014, el fondo de capital riesgo estadounidense medio tenía un tamaño de 135 millones de dólares</w:t>
      </w:r>
      <w:r w:rsidR="00D40948">
        <w:rPr>
          <w:rStyle w:val="Refdenotaalpie"/>
        </w:rPr>
        <w:footnoteReference w:id="46"/>
      </w:r>
      <w:r>
        <w:t>.</w:t>
      </w:r>
    </w:p>
    <w:p w14:paraId="465188C9" w14:textId="3057B7C7" w:rsidR="007E5B7A" w:rsidRDefault="00231F17" w:rsidP="007819F4">
      <w:pPr>
        <w:pStyle w:val="Body"/>
      </w:pPr>
      <w:r>
        <w:t xml:space="preserve">España, </w:t>
      </w:r>
      <w:r w:rsidR="00AB6546">
        <w:t>en concreto, sigue lejos de otros mercados de capital riesgo, aunque ha mejorado de manera muy importante en los últimos años. Así, s</w:t>
      </w:r>
      <w:r w:rsidR="007819F4">
        <w:t xml:space="preserve">egún el Informe de actividad </w:t>
      </w:r>
      <w:r w:rsidR="00AB6546">
        <w:t>“</w:t>
      </w:r>
      <w:r w:rsidR="007819F4">
        <w:t>Venture Capital &amp; Private Equity 2018</w:t>
      </w:r>
      <w:r w:rsidR="00AB6546">
        <w:t>”</w:t>
      </w:r>
      <w:r w:rsidR="007819F4">
        <w:t xml:space="preserve"> de ASCRI (Asociación Española de Capital, Crecimiento e Inversión), la captación de fondos por parte de las entidades privadas de Private Equity y Venture Capital</w:t>
      </w:r>
      <w:r w:rsidR="00AB6546">
        <w:t xml:space="preserve"> españolas</w:t>
      </w:r>
      <w:r w:rsidR="007819F4">
        <w:t xml:space="preserve"> </w:t>
      </w:r>
      <w:r w:rsidR="00C5217A">
        <w:t>en 2017</w:t>
      </w:r>
      <w:r w:rsidR="007819F4">
        <w:t xml:space="preserve"> superó los 1.865 millones de euros, </w:t>
      </w:r>
      <w:r w:rsidR="00AB6546">
        <w:t>aún muy distanciada</w:t>
      </w:r>
      <w:r w:rsidR="007819F4">
        <w:t xml:space="preserve"> de la </w:t>
      </w:r>
      <w:r w:rsidR="00AB6546">
        <w:t xml:space="preserve">recaudación de fondos </w:t>
      </w:r>
      <w:r w:rsidR="007819F4">
        <w:t xml:space="preserve">de otros países </w:t>
      </w:r>
      <w:r w:rsidR="00C5217A">
        <w:t>europeos importantes</w:t>
      </w:r>
      <w:r w:rsidR="007819F4">
        <w:t xml:space="preserve"> como Francia (16.738 millones), Italia (2.563) o Alemania (3.037).</w:t>
      </w:r>
      <w:r w:rsidR="00DE2432">
        <w:t xml:space="preserve"> </w:t>
      </w:r>
    </w:p>
    <w:p w14:paraId="0CFCC3A8" w14:textId="77777777" w:rsidR="00C95E6C" w:rsidRDefault="00C95E6C" w:rsidP="00C95E6C">
      <w:pPr>
        <w:spacing w:before="120" w:line="276" w:lineRule="auto"/>
        <w:rPr>
          <w:rFonts w:ascii="Century Gothic" w:hAnsi="Century Gothic" w:cs="Arial"/>
          <w:color w:val="000000"/>
          <w:kern w:val="24"/>
          <w:lang w:val="es-ES" w:eastAsia="es-ES"/>
        </w:rPr>
      </w:pPr>
      <w:r>
        <w:rPr>
          <w:rFonts w:ascii="Century Gothic" w:hAnsi="Century Gothic" w:cs="Arial"/>
          <w:color w:val="000000"/>
          <w:kern w:val="24"/>
          <w:lang w:val="es-ES" w:eastAsia="es-ES"/>
        </w:rPr>
        <w:t>Por tanto, es necesario seguir difundiendo y mejorando este tipo de instrumentos. La falta de información, el desconocimiento de los procedimientos administrativos para solicitarlas o la falta de conocimiento sobre las ventajas y desventajas de cada forma de financiación son barreras importantes a solucionar.</w:t>
      </w:r>
    </w:p>
    <w:p w14:paraId="52A00F4C" w14:textId="72E834E2" w:rsidR="00ED4AC8" w:rsidRDefault="00ED4AC8" w:rsidP="007819F4">
      <w:pPr>
        <w:pStyle w:val="Body"/>
      </w:pPr>
      <w:r w:rsidRPr="00ED4AC8">
        <w:t>La crisis económica y financiera obligó a las empresas a buscar nuevas fuentes de financiación, ahora que el crédito bancario se ha recuperado las empresas vuelven a acudir a este tipo de financiación. Por ello es necesario seguir avanzando en la difusión y mejora de los instrumentos alternativos, así como trabajar en su mejora (especialización según el estadio de desarrollo de la empresa y su sector de actividad, mayor disponibilidad de fondos, implementación de una ventanilla única de financiación empresarial, entre otros).</w:t>
      </w:r>
    </w:p>
    <w:p w14:paraId="5141B62A" w14:textId="292DD40C" w:rsidR="00106CA3" w:rsidRPr="00106CA3" w:rsidRDefault="00106CA3" w:rsidP="007819F4">
      <w:pPr>
        <w:pStyle w:val="Body"/>
        <w:rPr>
          <w:b/>
          <w:u w:val="single"/>
        </w:rPr>
      </w:pPr>
      <w:r w:rsidRPr="00106CA3">
        <w:rPr>
          <w:b/>
          <w:u w:val="single"/>
        </w:rPr>
        <w:t>Morosidad</w:t>
      </w:r>
    </w:p>
    <w:p w14:paraId="5E2CA04E" w14:textId="70018237" w:rsidR="00106CA3" w:rsidRDefault="004C5A41" w:rsidP="007819F4">
      <w:pPr>
        <w:pStyle w:val="Body"/>
      </w:pPr>
      <w:r>
        <w:t>El retraso en los plazos de pago a proveedores es un elemento que incide directamente en la competitividad de nuestras empresas y que l</w:t>
      </w:r>
      <w:r w:rsidR="006B7119">
        <w:t>e</w:t>
      </w:r>
      <w:r>
        <w:t>s impide financiarse correctamente.</w:t>
      </w:r>
    </w:p>
    <w:p w14:paraId="56074E8D" w14:textId="31032672" w:rsidR="004C5A41" w:rsidRDefault="004C5A41" w:rsidP="007819F4">
      <w:pPr>
        <w:pStyle w:val="Body"/>
      </w:pPr>
      <w:r>
        <w:t>Aunque en la Unión Europea existe una normativa común de lucha contra la morosidad en las operaciones comerciales, que ha sido transpuesta correctamente a la legislación española, la realidad es que queda aún un gran margen de mejora, tanto en los pagos por parte de las Administraciones públicas como la morosidad entre empresas.</w:t>
      </w:r>
    </w:p>
    <w:p w14:paraId="0CA76A87" w14:textId="77777777" w:rsidR="004C5A41" w:rsidRDefault="004C5A41" w:rsidP="007819F4">
      <w:pPr>
        <w:pStyle w:val="Body"/>
      </w:pPr>
      <w:r>
        <w:t>El seguimiento de la evolución de la morosidad no es sencillo ya que existen distintas fuentes de morosidad y tampoco es fácil medir los periodos medios de pago.</w:t>
      </w:r>
    </w:p>
    <w:p w14:paraId="6C23D932" w14:textId="1D8EAC91" w:rsidR="004C5A41" w:rsidRDefault="004C5A41" w:rsidP="007819F4">
      <w:pPr>
        <w:pStyle w:val="Body"/>
      </w:pPr>
      <w:r>
        <w:t xml:space="preserve">Si </w:t>
      </w:r>
      <w:r w:rsidR="009F0AB9">
        <w:t>vemos la evolución de los últimos meses de las Administraciones públicas observamos que la obligación de pagar en 30 días como marca la legislación vigente aún está lejos de cumplirse (véase gráfico</w:t>
      </w:r>
      <w:r w:rsidR="00FA2E51">
        <w:t xml:space="preserve"> 18</w:t>
      </w:r>
      <w:r w:rsidR="009F0AB9">
        <w:t>)</w:t>
      </w:r>
      <w:r w:rsidR="00971402">
        <w:t>.</w:t>
      </w:r>
    </w:p>
    <w:p w14:paraId="057F0654" w14:textId="248C6F3C" w:rsidR="00764C39" w:rsidRDefault="00764C39" w:rsidP="007819F4">
      <w:pPr>
        <w:pStyle w:val="Body"/>
      </w:pPr>
    </w:p>
    <w:p w14:paraId="3A9412CF" w14:textId="5BEEBCB2" w:rsidR="00764C39" w:rsidRDefault="00764C39" w:rsidP="007819F4">
      <w:pPr>
        <w:pStyle w:val="Body"/>
      </w:pPr>
    </w:p>
    <w:p w14:paraId="70C9EE86" w14:textId="4025C064" w:rsidR="00764C39" w:rsidRDefault="00764C39" w:rsidP="007819F4">
      <w:pPr>
        <w:pStyle w:val="Body"/>
      </w:pPr>
    </w:p>
    <w:p w14:paraId="03528A08" w14:textId="77777777" w:rsidR="00764C39" w:rsidRDefault="00764C39" w:rsidP="007819F4">
      <w:pPr>
        <w:pStyle w:val="Body"/>
      </w:pPr>
    </w:p>
    <w:tbl>
      <w:tblPr>
        <w:tblStyle w:val="Style1"/>
        <w:tblW w:w="0" w:type="auto"/>
        <w:tblLook w:val="04A0" w:firstRow="1" w:lastRow="0" w:firstColumn="1" w:lastColumn="0" w:noHBand="0" w:noVBand="1"/>
      </w:tblPr>
      <w:tblGrid>
        <w:gridCol w:w="9071"/>
      </w:tblGrid>
      <w:tr w:rsidR="009F0AB9" w:rsidRPr="007916CD" w14:paraId="1B85790F" w14:textId="77777777" w:rsidTr="00FA2E51">
        <w:tc>
          <w:tcPr>
            <w:tcW w:w="9211" w:type="dxa"/>
            <w:vAlign w:val="center"/>
          </w:tcPr>
          <w:p w14:paraId="3F8CE6F7" w14:textId="445FD314" w:rsidR="009F0AB9" w:rsidRPr="00FA2E51" w:rsidRDefault="00FA2E51" w:rsidP="00FA2E51">
            <w:pPr>
              <w:pStyle w:val="Body"/>
              <w:spacing w:after="120"/>
              <w:jc w:val="left"/>
              <w:rPr>
                <w:sz w:val="18"/>
                <w:szCs w:val="18"/>
              </w:rPr>
            </w:pPr>
            <w:bookmarkStart w:id="59" w:name="_Toc526942126"/>
            <w:r w:rsidRPr="00FA2E51">
              <w:rPr>
                <w:sz w:val="18"/>
                <w:szCs w:val="18"/>
              </w:rPr>
              <w:lastRenderedPageBreak/>
              <w:t xml:space="preserve">Gráfico </w:t>
            </w:r>
            <w:r w:rsidRPr="00FA2E51">
              <w:rPr>
                <w:sz w:val="18"/>
                <w:szCs w:val="18"/>
                <w:lang w:val="en-GB"/>
              </w:rPr>
              <w:fldChar w:fldCharType="begin"/>
            </w:r>
            <w:r w:rsidRPr="002506CD">
              <w:rPr>
                <w:sz w:val="18"/>
                <w:szCs w:val="18"/>
              </w:rPr>
              <w:instrText xml:space="preserve"> SEQ Gráfico \* ARABIC </w:instrText>
            </w:r>
            <w:r w:rsidRPr="00FA2E51">
              <w:rPr>
                <w:sz w:val="18"/>
                <w:szCs w:val="18"/>
                <w:lang w:val="en-GB"/>
              </w:rPr>
              <w:fldChar w:fldCharType="separate"/>
            </w:r>
            <w:r w:rsidR="00764C39">
              <w:rPr>
                <w:noProof/>
                <w:sz w:val="18"/>
                <w:szCs w:val="18"/>
              </w:rPr>
              <w:t>18</w:t>
            </w:r>
            <w:r w:rsidRPr="00FA2E51">
              <w:rPr>
                <w:sz w:val="18"/>
                <w:szCs w:val="18"/>
              </w:rPr>
              <w:fldChar w:fldCharType="end"/>
            </w:r>
            <w:r w:rsidRPr="00FA2E51">
              <w:rPr>
                <w:sz w:val="18"/>
                <w:szCs w:val="18"/>
              </w:rPr>
              <w:t>. Evolución del Periodo Medio de Pago</w:t>
            </w:r>
            <w:r>
              <w:rPr>
                <w:sz w:val="18"/>
                <w:szCs w:val="18"/>
              </w:rPr>
              <w:t xml:space="preserve"> del sector público.</w:t>
            </w:r>
            <w:bookmarkEnd w:id="59"/>
          </w:p>
        </w:tc>
      </w:tr>
      <w:tr w:rsidR="009F0AB9" w14:paraId="177140D4" w14:textId="77777777" w:rsidTr="009F0AB9">
        <w:tc>
          <w:tcPr>
            <w:tcW w:w="9211" w:type="dxa"/>
          </w:tcPr>
          <w:p w14:paraId="6A81FA6E" w14:textId="34425CC4" w:rsidR="009F0AB9" w:rsidRDefault="00FA2E51" w:rsidP="007819F4">
            <w:pPr>
              <w:pStyle w:val="Body"/>
            </w:pPr>
            <w:r w:rsidRPr="00FA2E51">
              <w:rPr>
                <w:noProof/>
                <w:lang w:eastAsia="es-ES"/>
              </w:rPr>
              <w:drawing>
                <wp:inline distT="0" distB="0" distL="0" distR="0" wp14:anchorId="70EDA94F" wp14:editId="7B8FBCB4">
                  <wp:extent cx="5255813" cy="2909209"/>
                  <wp:effectExtent l="0" t="0" r="254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67492" cy="2915674"/>
                          </a:xfrm>
                          <a:prstGeom prst="rect">
                            <a:avLst/>
                          </a:prstGeom>
                        </pic:spPr>
                      </pic:pic>
                    </a:graphicData>
                  </a:graphic>
                </wp:inline>
              </w:drawing>
            </w:r>
          </w:p>
        </w:tc>
      </w:tr>
      <w:tr w:rsidR="009F0AB9" w:rsidRPr="007916CD" w14:paraId="5AE04D50" w14:textId="77777777" w:rsidTr="009F0AB9">
        <w:tc>
          <w:tcPr>
            <w:tcW w:w="9211" w:type="dxa"/>
          </w:tcPr>
          <w:p w14:paraId="6ED0C9F2" w14:textId="66AFAB77" w:rsidR="009F0AB9" w:rsidRPr="00FA2E51" w:rsidRDefault="00FA2E51" w:rsidP="000B170B">
            <w:pPr>
              <w:pStyle w:val="Body"/>
              <w:spacing w:after="0"/>
              <w:rPr>
                <w:sz w:val="18"/>
                <w:szCs w:val="18"/>
              </w:rPr>
            </w:pPr>
            <w:r w:rsidRPr="00FA2E51">
              <w:rPr>
                <w:sz w:val="18"/>
                <w:szCs w:val="18"/>
              </w:rPr>
              <w:t>Fuente.</w:t>
            </w:r>
            <w:r>
              <w:rPr>
                <w:sz w:val="18"/>
                <w:szCs w:val="18"/>
              </w:rPr>
              <w:t xml:space="preserve"> </w:t>
            </w:r>
            <w:r w:rsidRPr="00FA2E51">
              <w:rPr>
                <w:sz w:val="18"/>
                <w:szCs w:val="18"/>
              </w:rPr>
              <w:t>Elaboración propia a partir de los datos del Ministerio de Hacienda.</w:t>
            </w:r>
          </w:p>
        </w:tc>
      </w:tr>
    </w:tbl>
    <w:p w14:paraId="7C9087AB" w14:textId="77777777" w:rsidR="00DB3762" w:rsidRDefault="00DB3762" w:rsidP="00DB3762">
      <w:pPr>
        <w:pStyle w:val="Body"/>
        <w:spacing w:after="0"/>
      </w:pPr>
    </w:p>
    <w:p w14:paraId="60819296" w14:textId="6C698C35" w:rsidR="000B170B" w:rsidRDefault="00DB3762" w:rsidP="00F94196">
      <w:pPr>
        <w:pStyle w:val="Body"/>
      </w:pPr>
      <w:r>
        <w:t>En cuanto a la morosidad empresarial, igualmente se observa el incumplimiento del periodo máximo para pagar establecido en la normativo de 60 días (véase gráfico 19).</w:t>
      </w:r>
    </w:p>
    <w:tbl>
      <w:tblPr>
        <w:tblStyle w:val="Style1"/>
        <w:tblW w:w="0" w:type="auto"/>
        <w:tblLook w:val="04A0" w:firstRow="1" w:lastRow="0" w:firstColumn="1" w:lastColumn="0" w:noHBand="0" w:noVBand="1"/>
      </w:tblPr>
      <w:tblGrid>
        <w:gridCol w:w="9071"/>
      </w:tblGrid>
      <w:tr w:rsidR="00DB3762" w:rsidRPr="007916CD" w14:paraId="5F1E25EC" w14:textId="77777777" w:rsidTr="0001066D">
        <w:tc>
          <w:tcPr>
            <w:tcW w:w="9287" w:type="dxa"/>
          </w:tcPr>
          <w:p w14:paraId="62227638" w14:textId="4DDAAED6" w:rsidR="00DB3762" w:rsidRDefault="00DB3762" w:rsidP="00713C39">
            <w:pPr>
              <w:pStyle w:val="Body"/>
            </w:pPr>
            <w:bookmarkStart w:id="60" w:name="_Toc526942127"/>
            <w:r w:rsidRPr="00FA2E51">
              <w:rPr>
                <w:sz w:val="18"/>
                <w:szCs w:val="18"/>
              </w:rPr>
              <w:t xml:space="preserve">Gráfico </w:t>
            </w:r>
            <w:r w:rsidRPr="00FA2E51">
              <w:rPr>
                <w:sz w:val="18"/>
                <w:szCs w:val="18"/>
                <w:lang w:val="en-GB"/>
              </w:rPr>
              <w:fldChar w:fldCharType="begin"/>
            </w:r>
            <w:r w:rsidRPr="002506CD">
              <w:rPr>
                <w:sz w:val="18"/>
                <w:szCs w:val="18"/>
              </w:rPr>
              <w:instrText xml:space="preserve"> SEQ Gráfico \* ARABIC </w:instrText>
            </w:r>
            <w:r w:rsidRPr="00FA2E51">
              <w:rPr>
                <w:sz w:val="18"/>
                <w:szCs w:val="18"/>
                <w:lang w:val="en-GB"/>
              </w:rPr>
              <w:fldChar w:fldCharType="separate"/>
            </w:r>
            <w:r w:rsidR="00764C39">
              <w:rPr>
                <w:noProof/>
                <w:sz w:val="18"/>
                <w:szCs w:val="18"/>
              </w:rPr>
              <w:t>19</w:t>
            </w:r>
            <w:r w:rsidRPr="00FA2E51">
              <w:rPr>
                <w:sz w:val="18"/>
                <w:szCs w:val="18"/>
              </w:rPr>
              <w:fldChar w:fldCharType="end"/>
            </w:r>
            <w:r w:rsidRPr="00FA2E51">
              <w:rPr>
                <w:sz w:val="18"/>
                <w:szCs w:val="18"/>
              </w:rPr>
              <w:t>. Evolución del Periodo Medio de Pago</w:t>
            </w:r>
            <w:r>
              <w:rPr>
                <w:sz w:val="18"/>
                <w:szCs w:val="18"/>
              </w:rPr>
              <w:t>.</w:t>
            </w:r>
            <w:bookmarkEnd w:id="60"/>
          </w:p>
        </w:tc>
      </w:tr>
      <w:tr w:rsidR="00DB3762" w14:paraId="311A2690" w14:textId="77777777" w:rsidTr="0001066D">
        <w:tc>
          <w:tcPr>
            <w:tcW w:w="9287" w:type="dxa"/>
          </w:tcPr>
          <w:p w14:paraId="22A1B7F0" w14:textId="515C3072" w:rsidR="00DB3762" w:rsidRDefault="00DB3762" w:rsidP="007819F4">
            <w:pPr>
              <w:pStyle w:val="Body"/>
            </w:pPr>
            <w:r w:rsidRPr="00DB3762">
              <w:rPr>
                <w:noProof/>
                <w:lang w:eastAsia="es-ES"/>
              </w:rPr>
              <w:drawing>
                <wp:inline distT="0" distB="0" distL="0" distR="0" wp14:anchorId="58BB6D0A" wp14:editId="7404CE82">
                  <wp:extent cx="5296619" cy="207812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03861" cy="2080966"/>
                          </a:xfrm>
                          <a:prstGeom prst="rect">
                            <a:avLst/>
                          </a:prstGeom>
                        </pic:spPr>
                      </pic:pic>
                    </a:graphicData>
                  </a:graphic>
                </wp:inline>
              </w:drawing>
            </w:r>
          </w:p>
        </w:tc>
      </w:tr>
      <w:tr w:rsidR="00DB3762" w:rsidRPr="007916CD" w14:paraId="484D980A" w14:textId="77777777" w:rsidTr="0001066D">
        <w:tc>
          <w:tcPr>
            <w:tcW w:w="9287" w:type="dxa"/>
          </w:tcPr>
          <w:p w14:paraId="53463AE0" w14:textId="76134735" w:rsidR="00DB3762" w:rsidRPr="00DB3762" w:rsidRDefault="00DB3762" w:rsidP="000B170B">
            <w:pPr>
              <w:pStyle w:val="Body"/>
              <w:spacing w:after="0"/>
              <w:rPr>
                <w:sz w:val="18"/>
                <w:szCs w:val="18"/>
              </w:rPr>
            </w:pPr>
            <w:r w:rsidRPr="00DB3762">
              <w:rPr>
                <w:sz w:val="18"/>
                <w:szCs w:val="18"/>
              </w:rPr>
              <w:t xml:space="preserve">Fuente: </w:t>
            </w:r>
            <w:r w:rsidRPr="002506CD">
              <w:rPr>
                <w:sz w:val="18"/>
                <w:szCs w:val="18"/>
              </w:rPr>
              <w:t>Central de Balances del Banco de España</w:t>
            </w:r>
          </w:p>
        </w:tc>
      </w:tr>
    </w:tbl>
    <w:p w14:paraId="15D37D7A" w14:textId="3D1B95A8" w:rsidR="00DB3762" w:rsidRDefault="00DB3762" w:rsidP="00DB3762">
      <w:pPr>
        <w:pStyle w:val="Body"/>
        <w:spacing w:after="0"/>
      </w:pPr>
    </w:p>
    <w:p w14:paraId="6649288B" w14:textId="6F93390C" w:rsidR="00DB3762" w:rsidRDefault="00DB3762" w:rsidP="007819F4">
      <w:pPr>
        <w:pStyle w:val="Body"/>
      </w:pPr>
      <w:r>
        <w:t>La morosidad es un aspecto muy perjudicial para las empresas, en especial las PYME que son las que más lo sufren al ser, normalmente los proveedores de las grandes empresas. Es un elemento claro que dificulta el acceso a nueva financiación y resta competitividad tanto a niv</w:t>
      </w:r>
      <w:r w:rsidR="00BD2C3B">
        <w:t>el nacional como internacional.</w:t>
      </w:r>
    </w:p>
    <w:p w14:paraId="52B3D6BE" w14:textId="77777777" w:rsidR="001A2283" w:rsidRDefault="00633D11" w:rsidP="00896E23">
      <w:pPr>
        <w:pStyle w:val="Ttulo3"/>
      </w:pPr>
      <w:bookmarkStart w:id="61" w:name="_Toc527630349"/>
      <w:r>
        <w:t>Líneas de actuación</w:t>
      </w:r>
      <w:bookmarkEnd w:id="61"/>
    </w:p>
    <w:p w14:paraId="58421967" w14:textId="02AC1A14" w:rsidR="00E100EA" w:rsidRDefault="0046315C" w:rsidP="00F17B41">
      <w:pPr>
        <w:spacing w:line="276" w:lineRule="auto"/>
        <w:rPr>
          <w:rFonts w:ascii="Century Gothic" w:hAnsi="Century Gothic" w:cs="Arial"/>
          <w:color w:val="000000"/>
          <w:kern w:val="24"/>
          <w:lang w:val="es-ES" w:eastAsia="es-ES"/>
        </w:rPr>
      </w:pPr>
      <w:r>
        <w:rPr>
          <w:rFonts w:ascii="Century Gothic" w:hAnsi="Century Gothic" w:cs="Arial"/>
          <w:color w:val="000000"/>
          <w:kern w:val="24"/>
          <w:lang w:val="es-ES" w:eastAsia="es-ES"/>
        </w:rPr>
        <w:t xml:space="preserve">El objetivo de esta palanca es </w:t>
      </w:r>
      <w:r>
        <w:rPr>
          <w:rFonts w:ascii="Century Gothic" w:hAnsi="Century Gothic" w:cs="Arial"/>
          <w:b/>
          <w:color w:val="000000"/>
          <w:kern w:val="24"/>
          <w:lang w:val="es-ES" w:eastAsia="es-ES"/>
        </w:rPr>
        <w:t>m</w:t>
      </w:r>
      <w:r w:rsidR="00E100EA" w:rsidRPr="0046315C">
        <w:rPr>
          <w:rFonts w:ascii="Century Gothic" w:hAnsi="Century Gothic" w:cs="Arial"/>
          <w:b/>
          <w:color w:val="000000"/>
          <w:kern w:val="24"/>
          <w:lang w:val="es-ES" w:eastAsia="es-ES"/>
        </w:rPr>
        <w:t xml:space="preserve">ejorar el acceso </w:t>
      </w:r>
      <w:r>
        <w:rPr>
          <w:rFonts w:ascii="Century Gothic" w:hAnsi="Century Gothic" w:cs="Arial"/>
          <w:b/>
          <w:color w:val="000000"/>
          <w:kern w:val="24"/>
          <w:lang w:val="es-ES" w:eastAsia="es-ES"/>
        </w:rPr>
        <w:t xml:space="preserve">de las PYME </w:t>
      </w:r>
      <w:r w:rsidR="00E100EA" w:rsidRPr="0046315C">
        <w:rPr>
          <w:rFonts w:ascii="Century Gothic" w:hAnsi="Century Gothic" w:cs="Arial"/>
          <w:b/>
          <w:color w:val="000000"/>
          <w:kern w:val="24"/>
          <w:lang w:val="es-ES" w:eastAsia="es-ES"/>
        </w:rPr>
        <w:t xml:space="preserve">a </w:t>
      </w:r>
      <w:r>
        <w:rPr>
          <w:rFonts w:ascii="Century Gothic" w:hAnsi="Century Gothic" w:cs="Arial"/>
          <w:b/>
          <w:color w:val="000000"/>
          <w:kern w:val="24"/>
          <w:lang w:val="es-ES" w:eastAsia="es-ES"/>
        </w:rPr>
        <w:t xml:space="preserve">los </w:t>
      </w:r>
      <w:r w:rsidR="00E100EA" w:rsidRPr="0046315C">
        <w:rPr>
          <w:rFonts w:ascii="Century Gothic" w:hAnsi="Century Gothic" w:cs="Arial"/>
          <w:b/>
          <w:color w:val="000000"/>
          <w:kern w:val="24"/>
          <w:lang w:val="es-ES" w:eastAsia="es-ES"/>
        </w:rPr>
        <w:t>instrumentos financieros</w:t>
      </w:r>
      <w:r>
        <w:rPr>
          <w:rFonts w:ascii="Century Gothic" w:hAnsi="Century Gothic" w:cs="Arial"/>
          <w:color w:val="000000"/>
          <w:kern w:val="24"/>
          <w:lang w:val="es-ES" w:eastAsia="es-ES"/>
        </w:rPr>
        <w:t>, asistiendo</w:t>
      </w:r>
      <w:r w:rsidR="00E100EA" w:rsidRPr="0046315C">
        <w:rPr>
          <w:rFonts w:ascii="Century Gothic" w:hAnsi="Century Gothic" w:cs="Arial"/>
          <w:color w:val="000000"/>
          <w:kern w:val="24"/>
          <w:lang w:val="es-ES" w:eastAsia="es-ES"/>
        </w:rPr>
        <w:t xml:space="preserve"> a las PYME para encontrar disponibilidad de una mayor gama de instrumentos </w:t>
      </w:r>
      <w:r w:rsidR="00E100EA" w:rsidRPr="0046315C">
        <w:rPr>
          <w:rFonts w:ascii="Century Gothic" w:hAnsi="Century Gothic" w:cs="Arial"/>
          <w:color w:val="000000"/>
          <w:kern w:val="24"/>
          <w:lang w:val="es-ES" w:eastAsia="es-ES"/>
        </w:rPr>
        <w:lastRenderedPageBreak/>
        <w:t>financieros y alternativ</w:t>
      </w:r>
      <w:r w:rsidR="00013AD5">
        <w:rPr>
          <w:rFonts w:ascii="Century Gothic" w:hAnsi="Century Gothic" w:cs="Arial"/>
          <w:color w:val="000000"/>
          <w:kern w:val="24"/>
          <w:lang w:val="es-ES" w:eastAsia="es-ES"/>
        </w:rPr>
        <w:t>o</w:t>
      </w:r>
      <w:r w:rsidR="00E100EA" w:rsidRPr="0046315C">
        <w:rPr>
          <w:rFonts w:ascii="Century Gothic" w:hAnsi="Century Gothic" w:cs="Arial"/>
          <w:color w:val="000000"/>
          <w:kern w:val="24"/>
          <w:lang w:val="es-ES" w:eastAsia="es-ES"/>
        </w:rPr>
        <w:t>s al crédito bancario, que se adapten a las distintas fases de</w:t>
      </w:r>
      <w:r>
        <w:rPr>
          <w:rFonts w:ascii="Century Gothic" w:hAnsi="Century Gothic" w:cs="Arial"/>
          <w:color w:val="000000"/>
          <w:kern w:val="24"/>
          <w:lang w:val="es-ES" w:eastAsia="es-ES"/>
        </w:rPr>
        <w:t xml:space="preserve"> su</w:t>
      </w:r>
      <w:r w:rsidR="00E100EA" w:rsidRPr="0046315C">
        <w:rPr>
          <w:rFonts w:ascii="Century Gothic" w:hAnsi="Century Gothic" w:cs="Arial"/>
          <w:color w:val="000000"/>
          <w:kern w:val="24"/>
          <w:lang w:val="es-ES" w:eastAsia="es-ES"/>
        </w:rPr>
        <w:t xml:space="preserve"> </w:t>
      </w:r>
      <w:r w:rsidR="00E154CF">
        <w:rPr>
          <w:rFonts w:ascii="Century Gothic" w:hAnsi="Century Gothic" w:cs="Arial"/>
          <w:color w:val="000000"/>
          <w:kern w:val="24"/>
          <w:lang w:val="es-ES" w:eastAsia="es-ES"/>
        </w:rPr>
        <w:t>evolución</w:t>
      </w:r>
      <w:r w:rsidR="00013AD5">
        <w:rPr>
          <w:rFonts w:ascii="Century Gothic" w:hAnsi="Century Gothic" w:cs="Arial"/>
          <w:color w:val="000000"/>
          <w:kern w:val="24"/>
          <w:lang w:val="es-ES" w:eastAsia="es-ES"/>
        </w:rPr>
        <w:t>, desde las etapas iniciales</w:t>
      </w:r>
      <w:r w:rsidR="00E100EA" w:rsidRPr="0046315C">
        <w:rPr>
          <w:rFonts w:ascii="Century Gothic" w:hAnsi="Century Gothic" w:cs="Arial"/>
          <w:color w:val="000000"/>
          <w:kern w:val="24"/>
          <w:lang w:val="es-ES" w:eastAsia="es-ES"/>
        </w:rPr>
        <w:t>, hasta las fases de pleno desarrollo.</w:t>
      </w:r>
    </w:p>
    <w:p w14:paraId="41DB24BC" w14:textId="08DA534E" w:rsidR="00B62B7F" w:rsidRPr="0046315C" w:rsidRDefault="00B62B7F" w:rsidP="00F17B41">
      <w:pPr>
        <w:spacing w:line="276" w:lineRule="auto"/>
        <w:rPr>
          <w:rFonts w:ascii="Century Gothic" w:hAnsi="Century Gothic"/>
          <w:lang w:val="es-ES"/>
        </w:rPr>
      </w:pPr>
      <w:r>
        <w:rPr>
          <w:rFonts w:ascii="Century Gothic" w:hAnsi="Century Gothic" w:cs="Arial"/>
          <w:color w:val="000000"/>
          <w:kern w:val="24"/>
          <w:lang w:val="es-ES" w:eastAsia="es-ES"/>
        </w:rPr>
        <w:t>Las líneas de actuación en esta palanca son:</w:t>
      </w:r>
    </w:p>
    <w:p w14:paraId="4E57AAD2" w14:textId="3DBFF519" w:rsidR="005F3B40" w:rsidRPr="005F3B40" w:rsidRDefault="00E100EA" w:rsidP="00757E55">
      <w:pPr>
        <w:pStyle w:val="Prrafodelista"/>
        <w:numPr>
          <w:ilvl w:val="0"/>
          <w:numId w:val="32"/>
        </w:numPr>
        <w:rPr>
          <w:rFonts w:ascii="Century Gothic" w:hAnsi="Century Gothic" w:cs="Arial"/>
          <w:b/>
          <w:color w:val="000000"/>
          <w:kern w:val="24"/>
          <w:lang w:val="es-ES" w:eastAsia="es-ES"/>
        </w:rPr>
      </w:pPr>
      <w:r w:rsidRPr="00B35CE7">
        <w:rPr>
          <w:rFonts w:ascii="Century Gothic" w:hAnsi="Century Gothic" w:cs="Arial"/>
          <w:b/>
          <w:color w:val="000000"/>
          <w:kern w:val="24"/>
          <w:lang w:val="es-ES" w:eastAsia="es-ES"/>
        </w:rPr>
        <w:t>LA</w:t>
      </w:r>
      <w:r w:rsidR="00C471DC" w:rsidRPr="00B35CE7">
        <w:rPr>
          <w:rFonts w:ascii="Century Gothic" w:hAnsi="Century Gothic"/>
          <w:b/>
          <w:lang w:val="es-ES"/>
        </w:rPr>
        <w:fldChar w:fldCharType="begin"/>
      </w:r>
      <w:r w:rsidR="00C471DC" w:rsidRPr="00B35CE7">
        <w:rPr>
          <w:rFonts w:ascii="Century Gothic" w:hAnsi="Century Gothic"/>
          <w:b/>
          <w:lang w:val="es-ES"/>
        </w:rPr>
        <w:instrText xml:space="preserve"> AUTONUM  </w:instrText>
      </w:r>
      <w:r w:rsidR="00C471DC" w:rsidRPr="00B35CE7">
        <w:rPr>
          <w:rFonts w:ascii="Century Gothic" w:hAnsi="Century Gothic"/>
          <w:b/>
          <w:lang w:val="es-ES"/>
        </w:rPr>
        <w:fldChar w:fldCharType="end"/>
      </w:r>
      <w:r w:rsidRPr="00B35CE7">
        <w:rPr>
          <w:rFonts w:ascii="Century Gothic" w:hAnsi="Century Gothic" w:cs="Arial"/>
          <w:b/>
          <w:color w:val="000000"/>
          <w:kern w:val="24"/>
          <w:lang w:val="es-ES" w:eastAsia="es-ES"/>
        </w:rPr>
        <w:t xml:space="preserve"> </w:t>
      </w:r>
      <w:r w:rsidR="00013AD5">
        <w:rPr>
          <w:rFonts w:ascii="Century Gothic" w:hAnsi="Century Gothic" w:cs="Arial"/>
          <w:b/>
          <w:color w:val="000000"/>
          <w:kern w:val="24"/>
          <w:lang w:val="es-ES" w:eastAsia="es-ES"/>
        </w:rPr>
        <w:t>F</w:t>
      </w:r>
      <w:r w:rsidRPr="00B35CE7">
        <w:rPr>
          <w:rFonts w:ascii="Century Gothic" w:hAnsi="Century Gothic" w:cs="Arial"/>
          <w:b/>
          <w:color w:val="000000"/>
          <w:kern w:val="24"/>
          <w:lang w:val="es-ES" w:eastAsia="es-ES"/>
        </w:rPr>
        <w:t xml:space="preserve">omentar las alternativas a la financiación bancaria: </w:t>
      </w:r>
      <w:r w:rsidRPr="00B35CE7">
        <w:rPr>
          <w:rFonts w:ascii="Century Gothic" w:hAnsi="Century Gothic" w:cs="Arial"/>
          <w:color w:val="000000"/>
          <w:kern w:val="24"/>
          <w:lang w:val="es-ES" w:eastAsia="es-ES"/>
        </w:rPr>
        <w:t>Potenciar las fuentes de financiación no bancaria (financiación alternativa) incentivando</w:t>
      </w:r>
      <w:r w:rsidR="00E154CF" w:rsidRPr="00B35CE7">
        <w:rPr>
          <w:rFonts w:ascii="Century Gothic" w:hAnsi="Century Gothic" w:cs="Arial"/>
          <w:color w:val="000000"/>
          <w:kern w:val="24"/>
          <w:lang w:val="es-ES" w:eastAsia="es-ES"/>
        </w:rPr>
        <w:t>, entre otros,</w:t>
      </w:r>
      <w:r w:rsidRPr="00B35CE7">
        <w:rPr>
          <w:rFonts w:ascii="Century Gothic" w:hAnsi="Century Gothic" w:cs="Arial"/>
          <w:color w:val="000000"/>
          <w:kern w:val="24"/>
          <w:lang w:val="es-ES" w:eastAsia="es-ES"/>
        </w:rPr>
        <w:t xml:space="preserve"> el crédito comercial entre empresas y el capital </w:t>
      </w:r>
      <w:r w:rsidR="00B62B7F" w:rsidRPr="00B35CE7">
        <w:rPr>
          <w:rFonts w:ascii="Century Gothic" w:hAnsi="Century Gothic" w:cs="Arial"/>
          <w:color w:val="000000"/>
          <w:kern w:val="24"/>
          <w:lang w:val="es-ES" w:eastAsia="es-ES"/>
        </w:rPr>
        <w:t>privado</w:t>
      </w:r>
      <w:r w:rsidRPr="00B35CE7">
        <w:rPr>
          <w:rFonts w:ascii="Century Gothic" w:hAnsi="Century Gothic" w:cs="Arial"/>
          <w:color w:val="000000"/>
          <w:kern w:val="24"/>
          <w:lang w:val="es-ES" w:eastAsia="es-ES"/>
        </w:rPr>
        <w:t xml:space="preserve">. </w:t>
      </w:r>
      <w:r w:rsidR="0046315C" w:rsidRPr="00B35CE7">
        <w:rPr>
          <w:rFonts w:ascii="Century Gothic" w:hAnsi="Century Gothic" w:cs="Arial"/>
          <w:color w:val="000000"/>
          <w:kern w:val="24"/>
          <w:lang w:val="es-ES" w:eastAsia="es-ES"/>
        </w:rPr>
        <w:t>Impulsar el uso de las n</w:t>
      </w:r>
      <w:r w:rsidRPr="00B35CE7">
        <w:rPr>
          <w:rFonts w:ascii="Century Gothic" w:hAnsi="Century Gothic" w:cs="Arial"/>
          <w:color w:val="000000"/>
          <w:kern w:val="24"/>
          <w:lang w:val="es-ES" w:eastAsia="es-ES"/>
        </w:rPr>
        <w:t>uevas plataformas on-line, crowfunding, crowlending, Fintech, etc</w:t>
      </w:r>
      <w:r w:rsidR="0046315C" w:rsidRPr="00B35CE7">
        <w:rPr>
          <w:rFonts w:ascii="Century Gothic" w:hAnsi="Century Gothic" w:cs="Arial"/>
          <w:color w:val="000000"/>
          <w:kern w:val="24"/>
          <w:lang w:val="es-ES" w:eastAsia="es-ES"/>
        </w:rPr>
        <w:t>., por parte de las PYME</w:t>
      </w:r>
      <w:r w:rsidR="000A5161">
        <w:rPr>
          <w:rFonts w:ascii="Century Gothic" w:hAnsi="Century Gothic" w:cs="Arial"/>
          <w:color w:val="000000"/>
          <w:kern w:val="24"/>
          <w:lang w:val="es-ES" w:eastAsia="es-ES"/>
        </w:rPr>
        <w:t xml:space="preserve">, </w:t>
      </w:r>
      <w:r w:rsidR="000A5161" w:rsidRPr="000A5161">
        <w:rPr>
          <w:rFonts w:ascii="Century Gothic" w:hAnsi="Century Gothic" w:cs="Arial"/>
          <w:color w:val="000000"/>
          <w:kern w:val="24"/>
          <w:lang w:val="es-ES" w:eastAsia="es-ES"/>
        </w:rPr>
        <w:t>mediante acciones de información. Estudiar deducciones fiscales para estos instrumentos cuando inviertan en proyectos empresariales en sus primeras etapas</w:t>
      </w:r>
      <w:r w:rsidR="00EA5C4A">
        <w:rPr>
          <w:rFonts w:ascii="Century Gothic" w:hAnsi="Century Gothic" w:cs="Arial"/>
          <w:color w:val="000000"/>
          <w:kern w:val="24"/>
          <w:lang w:val="es-ES" w:eastAsia="es-ES"/>
        </w:rPr>
        <w:t xml:space="preserve">. </w:t>
      </w:r>
    </w:p>
    <w:p w14:paraId="7AD57136" w14:textId="3A8FD2F6" w:rsidR="00E100EA" w:rsidRDefault="00EA5C4A" w:rsidP="005F3B40">
      <w:pPr>
        <w:spacing w:line="276" w:lineRule="auto"/>
        <w:ind w:left="357"/>
        <w:rPr>
          <w:rFonts w:ascii="Century Gothic" w:hAnsi="Century Gothic" w:cs="Arial"/>
          <w:color w:val="000000"/>
          <w:kern w:val="24"/>
          <w:lang w:val="es-ES" w:eastAsia="es-ES"/>
        </w:rPr>
      </w:pPr>
      <w:r>
        <w:rPr>
          <w:rFonts w:ascii="Century Gothic" w:hAnsi="Century Gothic" w:cs="Arial"/>
          <w:color w:val="000000"/>
          <w:kern w:val="24"/>
          <w:lang w:val="es-ES" w:eastAsia="es-ES"/>
        </w:rPr>
        <w:t>Aumentar el uso</w:t>
      </w:r>
      <w:r w:rsidRPr="005F3B40">
        <w:rPr>
          <w:rFonts w:ascii="Century Gothic" w:hAnsi="Century Gothic" w:cs="Arial"/>
          <w:color w:val="000000"/>
          <w:kern w:val="24"/>
          <w:lang w:val="es-ES" w:eastAsia="es-ES"/>
        </w:rPr>
        <w:t xml:space="preserve"> </w:t>
      </w:r>
      <w:r w:rsidRPr="00EA5C4A">
        <w:rPr>
          <w:rFonts w:ascii="Century Gothic" w:hAnsi="Century Gothic" w:cs="Arial"/>
          <w:color w:val="000000"/>
          <w:kern w:val="24"/>
          <w:lang w:val="es-ES" w:eastAsia="es-ES"/>
        </w:rPr>
        <w:t xml:space="preserve">de los recursos </w:t>
      </w:r>
      <w:r>
        <w:rPr>
          <w:rFonts w:ascii="Century Gothic" w:hAnsi="Century Gothic" w:cs="Arial"/>
          <w:color w:val="000000"/>
          <w:kern w:val="24"/>
          <w:lang w:val="es-ES" w:eastAsia="es-ES"/>
        </w:rPr>
        <w:t>de</w:t>
      </w:r>
      <w:r w:rsidRPr="00EA5C4A">
        <w:rPr>
          <w:rFonts w:ascii="Century Gothic" w:hAnsi="Century Gothic" w:cs="Arial"/>
          <w:color w:val="000000"/>
          <w:kern w:val="24"/>
          <w:lang w:val="es-ES" w:eastAsia="es-ES"/>
        </w:rPr>
        <w:t xml:space="preserve"> las instituciones </w:t>
      </w:r>
      <w:r w:rsidRPr="000A5161">
        <w:rPr>
          <w:rFonts w:ascii="Century Gothic" w:hAnsi="Century Gothic" w:cs="Arial"/>
          <w:color w:val="000000"/>
          <w:kern w:val="24"/>
          <w:lang w:val="es-ES" w:eastAsia="es-ES"/>
        </w:rPr>
        <w:t>europeas</w:t>
      </w:r>
      <w:r w:rsidR="00E100EA" w:rsidRPr="000A5161">
        <w:rPr>
          <w:rFonts w:ascii="Century Gothic" w:hAnsi="Century Gothic" w:cs="Arial"/>
          <w:color w:val="000000"/>
          <w:kern w:val="24"/>
          <w:lang w:val="es-ES" w:eastAsia="es-ES"/>
        </w:rPr>
        <w:t>.</w:t>
      </w:r>
      <w:r w:rsidR="00B35CE7" w:rsidRPr="005F3B40">
        <w:rPr>
          <w:rFonts w:ascii="Century Gothic" w:hAnsi="Century Gothic" w:cs="Arial"/>
          <w:color w:val="000000"/>
          <w:kern w:val="24"/>
          <w:lang w:val="es-ES" w:eastAsia="es-ES"/>
        </w:rPr>
        <w:t xml:space="preserve"> Crear nuevas </w:t>
      </w:r>
      <w:r w:rsidR="00B35CE7" w:rsidRPr="000A5161">
        <w:rPr>
          <w:rFonts w:ascii="Century Gothic" w:hAnsi="Century Gothic" w:cs="Arial"/>
          <w:color w:val="000000"/>
          <w:kern w:val="24"/>
          <w:lang w:val="es-ES" w:eastAsia="es-ES"/>
        </w:rPr>
        <w:t>figuras financieras que le permitan</w:t>
      </w:r>
      <w:r w:rsidR="00B35CE7" w:rsidRPr="00B35CE7">
        <w:rPr>
          <w:rFonts w:ascii="Century Gothic" w:hAnsi="Century Gothic" w:cs="Arial"/>
          <w:color w:val="000000"/>
          <w:kern w:val="24"/>
          <w:lang w:val="es-ES" w:eastAsia="es-ES"/>
        </w:rPr>
        <w:t xml:space="preserve"> a la empresa reducir los niveles de morosidad, otorgándole mayor liquidez en su gestión.</w:t>
      </w:r>
    </w:p>
    <w:p w14:paraId="3A9D09C0" w14:textId="4235D1AA" w:rsidR="005F3B40" w:rsidRPr="005F3B40" w:rsidRDefault="005F3B40" w:rsidP="005F3B40">
      <w:pPr>
        <w:spacing w:line="276" w:lineRule="auto"/>
        <w:ind w:left="357"/>
        <w:rPr>
          <w:rFonts w:ascii="Century Gothic" w:hAnsi="Century Gothic" w:cs="Arial"/>
          <w:color w:val="000000"/>
          <w:kern w:val="24"/>
          <w:lang w:val="es-ES" w:eastAsia="es-ES"/>
        </w:rPr>
      </w:pPr>
      <w:r>
        <w:rPr>
          <w:rFonts w:ascii="Century Gothic" w:hAnsi="Century Gothic" w:cs="Arial"/>
          <w:color w:val="000000"/>
          <w:kern w:val="24"/>
          <w:lang w:val="es-ES" w:eastAsia="es-ES"/>
        </w:rPr>
        <w:t>Seguir trabajando en el desarrollo del mercado de capital riesgo promoviendo un mayor tamaño de las inversiones y de la captación de fondos.</w:t>
      </w:r>
    </w:p>
    <w:p w14:paraId="00349F75" w14:textId="77777777" w:rsidR="002C1A52" w:rsidRDefault="00E100EA" w:rsidP="00757E55">
      <w:pPr>
        <w:pStyle w:val="Prrafodelista"/>
        <w:numPr>
          <w:ilvl w:val="0"/>
          <w:numId w:val="32"/>
        </w:numPr>
        <w:rPr>
          <w:rFonts w:ascii="Century Gothic" w:hAnsi="Century Gothic" w:cs="Arial"/>
          <w:b/>
          <w:color w:val="000000"/>
          <w:kern w:val="24"/>
          <w:lang w:val="es-ES" w:eastAsia="es-ES"/>
        </w:rPr>
      </w:pPr>
      <w:r w:rsidRPr="0046315C">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46315C">
        <w:rPr>
          <w:rFonts w:ascii="Century Gothic" w:hAnsi="Century Gothic" w:cs="Arial"/>
          <w:b/>
          <w:color w:val="000000"/>
          <w:kern w:val="24"/>
          <w:lang w:val="es-ES" w:eastAsia="es-ES"/>
        </w:rPr>
        <w:t xml:space="preserve"> Ampliar la disponibilidad financiera </w:t>
      </w:r>
      <w:r w:rsidR="00E154CF">
        <w:rPr>
          <w:rFonts w:ascii="Century Gothic" w:hAnsi="Century Gothic" w:cs="Arial"/>
          <w:b/>
          <w:color w:val="000000"/>
          <w:kern w:val="24"/>
          <w:lang w:val="es-ES" w:eastAsia="es-ES"/>
        </w:rPr>
        <w:t>en las</w:t>
      </w:r>
      <w:r w:rsidRPr="0046315C">
        <w:rPr>
          <w:rFonts w:ascii="Century Gothic" w:hAnsi="Century Gothic" w:cs="Arial"/>
          <w:b/>
          <w:color w:val="000000"/>
          <w:kern w:val="24"/>
          <w:lang w:val="es-ES" w:eastAsia="es-ES"/>
        </w:rPr>
        <w:t xml:space="preserve"> distintas fases del ciclo de vida de las PYME: </w:t>
      </w:r>
      <w:r w:rsidRPr="0046315C">
        <w:rPr>
          <w:rFonts w:ascii="Century Gothic" w:hAnsi="Century Gothic" w:cs="Arial"/>
          <w:color w:val="000000"/>
          <w:kern w:val="24"/>
          <w:lang w:val="es-ES" w:eastAsia="es-ES"/>
        </w:rPr>
        <w:t>Diversificar las fuentes de financiación para que se adapten a las distintas fases del desarrollo empresarial, desde las etapas iniciales de investigación e incubación hasta las fases de pleno desarrollo.</w:t>
      </w:r>
      <w:r w:rsidRPr="0046315C">
        <w:rPr>
          <w:rFonts w:ascii="Century Gothic" w:hAnsi="Century Gothic" w:cs="Arial"/>
          <w:b/>
          <w:color w:val="000000"/>
          <w:kern w:val="24"/>
          <w:lang w:val="es-ES" w:eastAsia="es-ES"/>
        </w:rPr>
        <w:t xml:space="preserve"> </w:t>
      </w:r>
    </w:p>
    <w:p w14:paraId="69651AED" w14:textId="75956AF1" w:rsidR="00E100EA" w:rsidRPr="002C1A52" w:rsidRDefault="00C81BE3" w:rsidP="002C1A52">
      <w:pPr>
        <w:spacing w:line="276" w:lineRule="auto"/>
        <w:ind w:left="357"/>
        <w:rPr>
          <w:rFonts w:ascii="Century Gothic" w:hAnsi="Century Gothic" w:cs="Arial"/>
          <w:b/>
          <w:color w:val="000000"/>
          <w:kern w:val="24"/>
          <w:lang w:val="es-ES" w:eastAsia="es-ES"/>
        </w:rPr>
      </w:pPr>
      <w:r w:rsidRPr="002C1A52">
        <w:rPr>
          <w:rFonts w:ascii="Century Gothic" w:hAnsi="Century Gothic" w:cs="Arial"/>
          <w:color w:val="000000"/>
          <w:kern w:val="24"/>
          <w:lang w:val="es-ES" w:eastAsia="es-ES"/>
        </w:rPr>
        <w:t xml:space="preserve">En </w:t>
      </w:r>
      <w:r w:rsidR="002C1A52" w:rsidRPr="002C1A52">
        <w:rPr>
          <w:rFonts w:ascii="Century Gothic" w:hAnsi="Century Gothic" w:cs="Arial"/>
          <w:color w:val="000000"/>
          <w:kern w:val="24"/>
          <w:lang w:val="es-ES" w:eastAsia="es-ES"/>
        </w:rPr>
        <w:t xml:space="preserve">ese </w:t>
      </w:r>
      <w:r w:rsidRPr="002C1A52">
        <w:rPr>
          <w:rFonts w:ascii="Century Gothic" w:hAnsi="Century Gothic" w:cs="Arial"/>
          <w:color w:val="000000"/>
          <w:kern w:val="24"/>
          <w:lang w:val="es-ES" w:eastAsia="es-ES"/>
        </w:rPr>
        <w:t xml:space="preserve">sentido, no sólo hay que potenciar las fuentes no bancarias, sino también fortalecer el acceso </w:t>
      </w:r>
      <w:r w:rsidR="00013AD5" w:rsidRPr="002C1A52">
        <w:rPr>
          <w:rFonts w:ascii="Century Gothic" w:hAnsi="Century Gothic" w:cs="Arial"/>
          <w:color w:val="000000"/>
          <w:kern w:val="24"/>
          <w:lang w:val="es-ES" w:eastAsia="es-ES"/>
        </w:rPr>
        <w:t>de</w:t>
      </w:r>
      <w:r w:rsidRPr="002C1A52">
        <w:rPr>
          <w:rFonts w:ascii="Century Gothic" w:hAnsi="Century Gothic" w:cs="Arial"/>
          <w:color w:val="000000"/>
          <w:kern w:val="24"/>
          <w:lang w:val="es-ES" w:eastAsia="es-ES"/>
        </w:rPr>
        <w:t xml:space="preserve"> las pymes a la financiación bancaria, mediante la promoción de los sistemas de garantías de crédito, la emisión de titulizaciones o una mejora de la política de dotación de provisiones para compensar pérdidas derivadas de fallidos.</w:t>
      </w:r>
      <w:r w:rsidR="009A7E37" w:rsidRPr="002C1A52">
        <w:rPr>
          <w:rFonts w:ascii="Century Gothic" w:hAnsi="Century Gothic" w:cs="Arial"/>
          <w:color w:val="000000"/>
          <w:kern w:val="24"/>
          <w:lang w:val="es-ES" w:eastAsia="es-ES"/>
        </w:rPr>
        <w:t xml:space="preserve"> También es importante ayudar a las PYME a conocer las fuentes de financiación ya existentes y asesorarlas en cómo utilizarlas.</w:t>
      </w:r>
    </w:p>
    <w:p w14:paraId="66C6EF1B" w14:textId="07B9DA0B" w:rsidR="00E100EA" w:rsidRPr="0046315C" w:rsidRDefault="00E100EA" w:rsidP="00757E55">
      <w:pPr>
        <w:pStyle w:val="Prrafodelista"/>
        <w:numPr>
          <w:ilvl w:val="0"/>
          <w:numId w:val="32"/>
        </w:numPr>
        <w:rPr>
          <w:rFonts w:ascii="Century Gothic" w:hAnsi="Century Gothic" w:cs="Arial"/>
          <w:b/>
          <w:color w:val="000000"/>
          <w:kern w:val="24"/>
          <w:lang w:val="es-ES" w:eastAsia="es-ES"/>
        </w:rPr>
      </w:pPr>
      <w:r w:rsidRPr="0046315C">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46315C">
        <w:rPr>
          <w:rFonts w:ascii="Century Gothic" w:hAnsi="Century Gothic" w:cs="Arial"/>
          <w:b/>
          <w:color w:val="000000"/>
          <w:kern w:val="24"/>
          <w:lang w:val="es-ES" w:eastAsia="es-ES"/>
        </w:rPr>
        <w:t xml:space="preserve"> Reorientar las condiciones de fiscalidad para la mejora de la financiación de las PYME: </w:t>
      </w:r>
      <w:r w:rsidRPr="0046315C">
        <w:rPr>
          <w:rFonts w:ascii="Century Gothic" w:hAnsi="Century Gothic" w:cs="Arial"/>
          <w:color w:val="000000"/>
          <w:kern w:val="24"/>
          <w:lang w:val="es-ES" w:eastAsia="es-ES"/>
        </w:rPr>
        <w:t xml:space="preserve">Revisar la regulación </w:t>
      </w:r>
      <w:r w:rsidR="00B62B7F">
        <w:rPr>
          <w:rFonts w:ascii="Century Gothic" w:hAnsi="Century Gothic" w:cs="Arial"/>
          <w:color w:val="000000"/>
          <w:kern w:val="24"/>
          <w:lang w:val="es-ES" w:eastAsia="es-ES"/>
        </w:rPr>
        <w:t>tributaria</w:t>
      </w:r>
      <w:r w:rsidRPr="0046315C">
        <w:rPr>
          <w:rFonts w:ascii="Century Gothic" w:hAnsi="Century Gothic" w:cs="Arial"/>
          <w:color w:val="000000"/>
          <w:kern w:val="24"/>
          <w:lang w:val="es-ES" w:eastAsia="es-ES"/>
        </w:rPr>
        <w:t xml:space="preserve"> para adaptar las condiciones de devolución del IVA para las PYME (sobre todo exportadoras) y </w:t>
      </w:r>
      <w:r w:rsidR="00AC7828">
        <w:rPr>
          <w:rFonts w:ascii="Century Gothic" w:hAnsi="Century Gothic" w:cs="Arial"/>
          <w:color w:val="000000"/>
          <w:kern w:val="24"/>
          <w:lang w:val="es-ES" w:eastAsia="es-ES"/>
        </w:rPr>
        <w:t xml:space="preserve">profundizar en los </w:t>
      </w:r>
      <w:r w:rsidRPr="0046315C">
        <w:rPr>
          <w:rFonts w:ascii="Century Gothic" w:hAnsi="Century Gothic" w:cs="Arial"/>
          <w:color w:val="000000"/>
          <w:kern w:val="24"/>
          <w:lang w:val="es-ES" w:eastAsia="es-ES"/>
        </w:rPr>
        <w:t>incentivos fiscales</w:t>
      </w:r>
      <w:r w:rsidR="00213DD6">
        <w:rPr>
          <w:rFonts w:ascii="Century Gothic" w:hAnsi="Century Gothic" w:cs="Arial"/>
          <w:color w:val="000000"/>
          <w:kern w:val="24"/>
          <w:lang w:val="es-ES" w:eastAsia="es-ES"/>
        </w:rPr>
        <w:t xml:space="preserve"> existentes</w:t>
      </w:r>
      <w:r w:rsidRPr="0046315C">
        <w:rPr>
          <w:rFonts w:ascii="Century Gothic" w:hAnsi="Century Gothic" w:cs="Arial"/>
          <w:color w:val="000000"/>
          <w:kern w:val="24"/>
          <w:lang w:val="es-ES" w:eastAsia="es-ES"/>
        </w:rPr>
        <w:t xml:space="preserve"> </w:t>
      </w:r>
      <w:r w:rsidR="00213DD6">
        <w:rPr>
          <w:rFonts w:ascii="Century Gothic" w:hAnsi="Century Gothic" w:cs="Arial"/>
          <w:color w:val="000000"/>
          <w:kern w:val="24"/>
          <w:lang w:val="es-ES" w:eastAsia="es-ES"/>
        </w:rPr>
        <w:t xml:space="preserve">así como valorar otros </w:t>
      </w:r>
      <w:r w:rsidRPr="0046315C">
        <w:rPr>
          <w:rFonts w:ascii="Century Gothic" w:hAnsi="Century Gothic" w:cs="Arial"/>
          <w:color w:val="000000"/>
          <w:kern w:val="24"/>
          <w:lang w:val="es-ES" w:eastAsia="es-ES"/>
        </w:rPr>
        <w:t>para aquellos inversores que estén dispuestos a financiar a las PYME.</w:t>
      </w:r>
    </w:p>
    <w:p w14:paraId="78CFC60E" w14:textId="5C95A422" w:rsidR="00E100EA" w:rsidRPr="00896E23" w:rsidRDefault="00E100EA" w:rsidP="00757E55">
      <w:pPr>
        <w:pStyle w:val="Prrafodelista"/>
        <w:numPr>
          <w:ilvl w:val="0"/>
          <w:numId w:val="32"/>
        </w:numPr>
        <w:rPr>
          <w:rFonts w:ascii="Century Gothic" w:hAnsi="Century Gothic" w:cs="Arial"/>
          <w:b/>
          <w:color w:val="000000"/>
          <w:kern w:val="24"/>
          <w:lang w:val="es-ES" w:eastAsia="es-ES"/>
        </w:rPr>
      </w:pPr>
      <w:r w:rsidRPr="00896E23">
        <w:rPr>
          <w:rFonts w:ascii="Century Gothic" w:hAnsi="Century Gothic" w:cs="Arial"/>
          <w:b/>
          <w:color w:val="000000"/>
          <w:kern w:val="24"/>
          <w:lang w:val="es-ES" w:eastAsia="es-ES"/>
        </w:rPr>
        <w:t>LA</w:t>
      </w:r>
      <w:r w:rsidR="00C471DC" w:rsidRPr="00896E23">
        <w:rPr>
          <w:rFonts w:ascii="Century Gothic" w:hAnsi="Century Gothic"/>
          <w:b/>
          <w:lang w:val="es-ES"/>
        </w:rPr>
        <w:fldChar w:fldCharType="begin"/>
      </w:r>
      <w:r w:rsidR="00C471DC" w:rsidRPr="00896E23">
        <w:rPr>
          <w:rFonts w:ascii="Century Gothic" w:hAnsi="Century Gothic"/>
          <w:b/>
          <w:lang w:val="es-ES"/>
        </w:rPr>
        <w:instrText xml:space="preserve"> AUTONUM  </w:instrText>
      </w:r>
      <w:r w:rsidR="00C471DC" w:rsidRPr="00896E23">
        <w:rPr>
          <w:rFonts w:ascii="Century Gothic" w:hAnsi="Century Gothic"/>
          <w:b/>
          <w:lang w:val="es-ES"/>
        </w:rPr>
        <w:fldChar w:fldCharType="end"/>
      </w:r>
      <w:r w:rsidRPr="00896E23">
        <w:rPr>
          <w:rFonts w:ascii="Century Gothic" w:hAnsi="Century Gothic" w:cs="Arial"/>
          <w:b/>
          <w:color w:val="000000"/>
          <w:kern w:val="24"/>
          <w:lang w:val="es-ES" w:eastAsia="es-ES"/>
        </w:rPr>
        <w:t xml:space="preserve"> Simplificación del acceso a las ayudas para las PYME: </w:t>
      </w:r>
      <w:r w:rsidR="00896E23" w:rsidRPr="00896E23">
        <w:rPr>
          <w:rFonts w:ascii="Century Gothic" w:hAnsi="Century Gothic" w:cs="Arial"/>
          <w:color w:val="000000"/>
          <w:kern w:val="24"/>
          <w:lang w:val="es-ES" w:eastAsia="es-ES"/>
        </w:rPr>
        <w:t>Creación de una ventanilla única de financiación que a</w:t>
      </w:r>
      <w:r w:rsidRPr="00896E23">
        <w:rPr>
          <w:rFonts w:ascii="Century Gothic" w:hAnsi="Century Gothic" w:cs="Arial"/>
          <w:color w:val="000000"/>
          <w:kern w:val="24"/>
          <w:lang w:val="es-ES" w:eastAsia="es-ES"/>
        </w:rPr>
        <w:t>grup</w:t>
      </w:r>
      <w:r w:rsidR="00896E23" w:rsidRPr="00896E23">
        <w:rPr>
          <w:rFonts w:ascii="Century Gothic" w:hAnsi="Century Gothic" w:cs="Arial"/>
          <w:color w:val="000000"/>
          <w:kern w:val="24"/>
          <w:lang w:val="es-ES" w:eastAsia="es-ES"/>
        </w:rPr>
        <w:t>e</w:t>
      </w:r>
      <w:r w:rsidRPr="00896E23">
        <w:rPr>
          <w:rFonts w:ascii="Century Gothic" w:hAnsi="Century Gothic" w:cs="Arial"/>
          <w:color w:val="000000"/>
          <w:kern w:val="24"/>
          <w:lang w:val="es-ES" w:eastAsia="es-ES"/>
        </w:rPr>
        <w:t xml:space="preserve"> en un solo portal </w:t>
      </w:r>
      <w:r w:rsidR="00896E23">
        <w:rPr>
          <w:rFonts w:ascii="Century Gothic" w:hAnsi="Century Gothic" w:cs="Arial"/>
          <w:color w:val="000000"/>
          <w:kern w:val="24"/>
          <w:lang w:val="es-ES" w:eastAsia="es-ES"/>
        </w:rPr>
        <w:t xml:space="preserve">información y asesoramiento sobre </w:t>
      </w:r>
      <w:r w:rsidRPr="00896E23">
        <w:rPr>
          <w:rFonts w:ascii="Century Gothic" w:hAnsi="Century Gothic" w:cs="Arial"/>
          <w:color w:val="000000"/>
          <w:kern w:val="24"/>
          <w:lang w:val="es-ES" w:eastAsia="es-ES"/>
        </w:rPr>
        <w:t>todas las ayudas y subvenciones de las distintas administraciones para la creación y desarrollo de la actividad de las PYME.</w:t>
      </w:r>
    </w:p>
    <w:p w14:paraId="55EE12D4" w14:textId="4C778EDB" w:rsidR="00E100EA" w:rsidRPr="00B35CE7" w:rsidRDefault="00E100EA" w:rsidP="00757E55">
      <w:pPr>
        <w:pStyle w:val="Prrafodelista"/>
        <w:numPr>
          <w:ilvl w:val="0"/>
          <w:numId w:val="32"/>
        </w:numPr>
        <w:rPr>
          <w:rFonts w:ascii="Century Gothic" w:hAnsi="Century Gothic" w:cs="Arial"/>
          <w:b/>
          <w:color w:val="000000"/>
          <w:kern w:val="24"/>
          <w:lang w:val="es-ES" w:eastAsia="es-ES"/>
        </w:rPr>
      </w:pPr>
      <w:r w:rsidRPr="00B35CE7">
        <w:rPr>
          <w:rFonts w:ascii="Century Gothic" w:hAnsi="Century Gothic" w:cs="Arial"/>
          <w:b/>
          <w:color w:val="000000"/>
          <w:kern w:val="24"/>
          <w:lang w:val="es-ES" w:eastAsia="es-ES"/>
        </w:rPr>
        <w:t>LA</w:t>
      </w:r>
      <w:r w:rsidR="00C471DC" w:rsidRPr="00B35CE7">
        <w:rPr>
          <w:rFonts w:ascii="Century Gothic" w:hAnsi="Century Gothic"/>
          <w:b/>
          <w:lang w:val="es-ES"/>
        </w:rPr>
        <w:fldChar w:fldCharType="begin"/>
      </w:r>
      <w:r w:rsidR="00C471DC" w:rsidRPr="00B35CE7">
        <w:rPr>
          <w:rFonts w:ascii="Century Gothic" w:hAnsi="Century Gothic"/>
          <w:b/>
          <w:lang w:val="es-ES"/>
        </w:rPr>
        <w:instrText xml:space="preserve"> AUTONUM  </w:instrText>
      </w:r>
      <w:r w:rsidR="00C471DC" w:rsidRPr="00B35CE7">
        <w:rPr>
          <w:rFonts w:ascii="Century Gothic" w:hAnsi="Century Gothic"/>
          <w:b/>
          <w:lang w:val="es-ES"/>
        </w:rPr>
        <w:fldChar w:fldCharType="end"/>
      </w:r>
      <w:r w:rsidRPr="00B35CE7">
        <w:rPr>
          <w:rFonts w:ascii="Century Gothic" w:hAnsi="Century Gothic" w:cs="Arial"/>
          <w:b/>
          <w:color w:val="000000"/>
          <w:kern w:val="24"/>
          <w:lang w:val="es-ES" w:eastAsia="es-ES"/>
        </w:rPr>
        <w:t xml:space="preserve"> Seguimiento </w:t>
      </w:r>
      <w:r w:rsidR="0046315C" w:rsidRPr="00B35CE7">
        <w:rPr>
          <w:rFonts w:ascii="Century Gothic" w:hAnsi="Century Gothic" w:cs="Arial"/>
          <w:b/>
          <w:color w:val="000000"/>
          <w:kern w:val="24"/>
          <w:lang w:val="es-ES" w:eastAsia="es-ES"/>
        </w:rPr>
        <w:t xml:space="preserve">de la </w:t>
      </w:r>
      <w:r w:rsidRPr="00B35CE7">
        <w:rPr>
          <w:rFonts w:ascii="Century Gothic" w:hAnsi="Century Gothic" w:cs="Arial"/>
          <w:b/>
          <w:color w:val="000000"/>
          <w:kern w:val="24"/>
          <w:lang w:val="es-ES" w:eastAsia="es-ES"/>
        </w:rPr>
        <w:t>morosidad</w:t>
      </w:r>
      <w:r w:rsidRPr="00B35CE7">
        <w:rPr>
          <w:rFonts w:ascii="Century Gothic" w:hAnsi="Century Gothic" w:cs="Arial"/>
          <w:color w:val="000000"/>
          <w:kern w:val="24"/>
          <w:lang w:val="es-ES" w:eastAsia="es-ES"/>
        </w:rPr>
        <w:t>. Promover códigos de buenas prácticas (público y privado) así como estudiar la implantación de un régimen sancionador</w:t>
      </w:r>
      <w:r w:rsidR="00D1391D" w:rsidRPr="00B35CE7">
        <w:rPr>
          <w:rFonts w:ascii="Century Gothic" w:hAnsi="Century Gothic" w:cs="Arial"/>
          <w:color w:val="000000"/>
          <w:kern w:val="24"/>
          <w:lang w:val="es-ES" w:eastAsia="es-ES"/>
        </w:rPr>
        <w:t xml:space="preserve">, </w:t>
      </w:r>
      <w:r w:rsidR="00C81BE3" w:rsidRPr="00B35CE7">
        <w:rPr>
          <w:rFonts w:ascii="Century Gothic" w:hAnsi="Century Gothic" w:cs="Arial"/>
          <w:color w:val="000000"/>
          <w:kern w:val="24"/>
          <w:lang w:val="es-ES" w:eastAsia="es-ES"/>
        </w:rPr>
        <w:t xml:space="preserve">un </w:t>
      </w:r>
      <w:r w:rsidR="00D1391D" w:rsidRPr="00B35CE7">
        <w:rPr>
          <w:rFonts w:ascii="Century Gothic" w:hAnsi="Century Gothic" w:cs="Arial"/>
          <w:color w:val="000000"/>
          <w:kern w:val="24"/>
          <w:lang w:val="es-ES" w:eastAsia="es-ES"/>
        </w:rPr>
        <w:t>sistema arbitral de morosidad, entre otros, con el fin de reducir la morosidad tanto pública como privada</w:t>
      </w:r>
      <w:r w:rsidRPr="00B35CE7">
        <w:rPr>
          <w:rFonts w:ascii="Century Gothic" w:hAnsi="Century Gothic" w:cs="Arial"/>
          <w:color w:val="000000"/>
          <w:kern w:val="24"/>
          <w:lang w:val="es-ES" w:eastAsia="es-ES"/>
        </w:rPr>
        <w:t>.</w:t>
      </w:r>
      <w:r w:rsidR="00B35CE7" w:rsidRPr="00B35CE7">
        <w:rPr>
          <w:rFonts w:ascii="Calibri" w:hAnsi="Calibri" w:cs="Calibri"/>
          <w:color w:val="000000"/>
          <w:sz w:val="24"/>
          <w:szCs w:val="24"/>
          <w:lang w:val="es-ES" w:eastAsia="nl-BE"/>
        </w:rPr>
        <w:t xml:space="preserve"> </w:t>
      </w:r>
      <w:r w:rsidR="00B35CE7" w:rsidRPr="00B35CE7">
        <w:rPr>
          <w:rFonts w:ascii="Century Gothic" w:hAnsi="Century Gothic" w:cs="Arial"/>
          <w:color w:val="000000"/>
          <w:kern w:val="24"/>
          <w:lang w:val="es-ES" w:eastAsia="es-ES"/>
        </w:rPr>
        <w:t xml:space="preserve">Impulsar los ficheros positivos de solvencia de las empresas para fomentar la competencia y la seguridad. </w:t>
      </w:r>
    </w:p>
    <w:p w14:paraId="29551FB7" w14:textId="77777777" w:rsidR="00E100EA" w:rsidRPr="00901876" w:rsidRDefault="00E100EA" w:rsidP="00757E55">
      <w:pPr>
        <w:pStyle w:val="Prrafodelista"/>
        <w:numPr>
          <w:ilvl w:val="0"/>
          <w:numId w:val="32"/>
        </w:numPr>
        <w:rPr>
          <w:rFonts w:ascii="Century Gothic" w:hAnsi="Century Gothic" w:cs="Arial"/>
          <w:b/>
          <w:color w:val="000000"/>
          <w:kern w:val="24"/>
          <w:lang w:val="es-ES" w:eastAsia="es-ES"/>
        </w:rPr>
      </w:pPr>
      <w:r w:rsidRPr="00901876">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901876">
        <w:rPr>
          <w:rFonts w:ascii="Century Gothic" w:hAnsi="Century Gothic" w:cs="Arial"/>
          <w:b/>
          <w:color w:val="000000"/>
          <w:kern w:val="24"/>
          <w:lang w:val="es-ES" w:eastAsia="es-ES"/>
        </w:rPr>
        <w:t xml:space="preserve"> Desarrollo de </w:t>
      </w:r>
      <w:r w:rsidR="00E92CD3">
        <w:rPr>
          <w:rFonts w:ascii="Century Gothic" w:hAnsi="Century Gothic" w:cs="Arial"/>
          <w:b/>
          <w:color w:val="000000"/>
          <w:kern w:val="24"/>
          <w:lang w:val="es-ES" w:eastAsia="es-ES"/>
        </w:rPr>
        <w:t>un marco</w:t>
      </w:r>
      <w:r w:rsidRPr="00901876">
        <w:rPr>
          <w:rFonts w:ascii="Century Gothic" w:hAnsi="Century Gothic" w:cs="Arial"/>
          <w:b/>
          <w:color w:val="000000"/>
          <w:kern w:val="24"/>
          <w:lang w:val="es-ES" w:eastAsia="es-ES"/>
        </w:rPr>
        <w:t xml:space="preserve"> sobre Garantías mobiliarias.</w:t>
      </w:r>
      <w:r w:rsidR="00B60174">
        <w:rPr>
          <w:rFonts w:ascii="Century Gothic" w:hAnsi="Century Gothic" w:cs="Arial"/>
          <w:color w:val="000000"/>
          <w:kern w:val="24"/>
          <w:lang w:val="es-ES" w:eastAsia="es-ES"/>
        </w:rPr>
        <w:t xml:space="preserve"> L</w:t>
      </w:r>
      <w:r w:rsidR="00B60174" w:rsidRPr="00B60174">
        <w:rPr>
          <w:rFonts w:ascii="Century Gothic" w:hAnsi="Century Gothic" w:cs="Arial"/>
          <w:color w:val="000000"/>
          <w:kern w:val="24"/>
          <w:lang w:val="es-ES" w:eastAsia="es-ES"/>
        </w:rPr>
        <w:t>levar a cabo el diseño de un nuevo sistema mobiliario registral efectivo, abriendo el mismo a otros derechos registrables distintos de las propias garantías reales y que resuelva los problemas existentes en el actual, con el fin de facilitar el acceso de la PYME a la financiación.</w:t>
      </w:r>
    </w:p>
    <w:p w14:paraId="41AE7B02" w14:textId="27649979" w:rsidR="00E100EA" w:rsidRPr="00C51697" w:rsidRDefault="00E100EA" w:rsidP="00757E55">
      <w:pPr>
        <w:pStyle w:val="Prrafodelista"/>
        <w:numPr>
          <w:ilvl w:val="0"/>
          <w:numId w:val="32"/>
        </w:numPr>
        <w:rPr>
          <w:rFonts w:ascii="Century Gothic" w:hAnsi="Century Gothic" w:cs="Arial"/>
          <w:b/>
          <w:color w:val="000000"/>
          <w:kern w:val="24"/>
          <w:lang w:val="es-ES" w:eastAsia="es-ES"/>
        </w:rPr>
      </w:pPr>
      <w:r w:rsidRPr="00901876">
        <w:rPr>
          <w:rFonts w:ascii="Century Gothic" w:hAnsi="Century Gothic" w:cs="Arial"/>
          <w:b/>
          <w:color w:val="000000"/>
          <w:kern w:val="24"/>
          <w:lang w:val="es-ES" w:eastAsia="es-ES"/>
        </w:rPr>
        <w:lastRenderedPageBreak/>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C51697">
        <w:rPr>
          <w:rFonts w:ascii="Century Gothic" w:hAnsi="Century Gothic" w:cs="Arial"/>
          <w:b/>
          <w:color w:val="000000"/>
          <w:kern w:val="24"/>
          <w:lang w:val="es-ES" w:eastAsia="es-ES"/>
        </w:rPr>
        <w:t xml:space="preserve"> Reforzar el sistema de garantías español y fomentar entre la PYME su conocimiento y uso.</w:t>
      </w:r>
      <w:r w:rsidR="00354910" w:rsidRPr="00354910">
        <w:rPr>
          <w:rFonts w:ascii="Arial Narrow" w:eastAsiaTheme="minorHAnsi" w:hAnsi="Arial Narrow" w:cstheme="minorBidi"/>
          <w:b/>
          <w:bCs/>
          <w:sz w:val="24"/>
          <w:szCs w:val="24"/>
          <w:lang w:val="es-ES" w:eastAsia="en-US"/>
        </w:rPr>
        <w:t xml:space="preserve"> </w:t>
      </w:r>
      <w:r w:rsidR="00354910" w:rsidRPr="00354910">
        <w:rPr>
          <w:rFonts w:ascii="Century Gothic" w:hAnsi="Century Gothic" w:cs="Arial"/>
          <w:bCs/>
          <w:color w:val="000000"/>
          <w:kern w:val="24"/>
          <w:lang w:val="es-ES" w:eastAsia="es-ES"/>
        </w:rPr>
        <w:t xml:space="preserve">Instrumentar ayudas públicas dirigidas a la reducción del riesgo de crédito, preferentemente mediante coberturas o garantías públicas a la financiación bancaria de las </w:t>
      </w:r>
      <w:r w:rsidR="00354910">
        <w:rPr>
          <w:rFonts w:ascii="Century Gothic" w:hAnsi="Century Gothic" w:cs="Arial"/>
          <w:bCs/>
          <w:color w:val="000000"/>
          <w:kern w:val="24"/>
          <w:lang w:val="es-ES" w:eastAsia="es-ES"/>
        </w:rPr>
        <w:t>PYME</w:t>
      </w:r>
      <w:r w:rsidR="00B62B7F">
        <w:rPr>
          <w:rFonts w:ascii="Century Gothic" w:hAnsi="Century Gothic" w:cs="Arial"/>
          <w:bCs/>
          <w:color w:val="000000"/>
          <w:kern w:val="24"/>
          <w:lang w:val="es-ES" w:eastAsia="es-ES"/>
        </w:rPr>
        <w:t>, así como reforzar el sistema de garantías mediante un aumento de recursos</w:t>
      </w:r>
      <w:r w:rsidR="00354910">
        <w:rPr>
          <w:rFonts w:ascii="Century Gothic" w:hAnsi="Century Gothic" w:cs="Arial"/>
          <w:bCs/>
          <w:color w:val="000000"/>
          <w:kern w:val="24"/>
          <w:lang w:val="es-ES" w:eastAsia="es-ES"/>
        </w:rPr>
        <w:t>.</w:t>
      </w:r>
      <w:r w:rsidR="005274CF">
        <w:rPr>
          <w:rFonts w:ascii="Century Gothic" w:hAnsi="Century Gothic" w:cs="Arial"/>
          <w:bCs/>
          <w:color w:val="000000"/>
          <w:kern w:val="24"/>
          <w:lang w:val="es-ES" w:eastAsia="es-ES"/>
        </w:rPr>
        <w:t xml:space="preserve"> </w:t>
      </w:r>
      <w:r w:rsidR="005274CF" w:rsidRPr="002E37B6">
        <w:rPr>
          <w:rFonts w:ascii="Century Gothic" w:hAnsi="Century Gothic" w:cs="Arial"/>
          <w:bCs/>
          <w:color w:val="000000"/>
          <w:kern w:val="24"/>
          <w:lang w:val="es-ES" w:eastAsia="es-ES"/>
        </w:rPr>
        <w:t>En este contexto se enmarca el Plan Estratégico de CERSA aprobado en el mes de noviembre de 2017 así como los diferentes contratos firmados por CERSA con el Fondo Europeo de Inversiones como parte de los programas COSME, INN</w:t>
      </w:r>
      <w:r w:rsidR="008239CD">
        <w:rPr>
          <w:rFonts w:ascii="Century Gothic" w:hAnsi="Century Gothic" w:cs="Arial"/>
          <w:bCs/>
          <w:color w:val="000000"/>
          <w:kern w:val="24"/>
          <w:lang w:val="es-ES" w:eastAsia="es-ES"/>
        </w:rPr>
        <w:t>O</w:t>
      </w:r>
      <w:r w:rsidR="005274CF" w:rsidRPr="002E37B6">
        <w:rPr>
          <w:rFonts w:ascii="Century Gothic" w:hAnsi="Century Gothic" w:cs="Arial"/>
          <w:bCs/>
          <w:color w:val="000000"/>
          <w:kern w:val="24"/>
          <w:lang w:val="es-ES" w:eastAsia="es-ES"/>
        </w:rPr>
        <w:t>VFIN y CCS</w:t>
      </w:r>
      <w:r w:rsidR="00C70EE6" w:rsidRPr="002E37B6">
        <w:rPr>
          <w:rFonts w:ascii="Century Gothic" w:hAnsi="Century Gothic" w:cs="Arial"/>
          <w:bCs/>
          <w:color w:val="000000"/>
          <w:kern w:val="24"/>
          <w:lang w:val="es-ES" w:eastAsia="es-ES"/>
        </w:rPr>
        <w:t>.</w:t>
      </w:r>
      <w:r w:rsidR="005274CF" w:rsidRPr="002E37B6">
        <w:rPr>
          <w:rFonts w:ascii="Century Gothic" w:hAnsi="Century Gothic" w:cs="Arial"/>
          <w:bCs/>
          <w:color w:val="000000"/>
          <w:kern w:val="24"/>
          <w:lang w:val="es-ES" w:eastAsia="es-ES"/>
        </w:rPr>
        <w:t xml:space="preserve"> Por otra </w:t>
      </w:r>
      <w:r w:rsidR="00EE5C25" w:rsidRPr="002E37B6">
        <w:rPr>
          <w:rFonts w:ascii="Century Gothic" w:hAnsi="Century Gothic" w:cs="Arial"/>
          <w:bCs/>
          <w:color w:val="000000"/>
          <w:kern w:val="24"/>
          <w:lang w:val="es-ES" w:eastAsia="es-ES"/>
        </w:rPr>
        <w:t>parte,</w:t>
      </w:r>
      <w:r w:rsidR="005274CF" w:rsidRPr="002E37B6">
        <w:rPr>
          <w:rFonts w:ascii="Century Gothic" w:hAnsi="Century Gothic" w:cs="Arial"/>
          <w:bCs/>
          <w:color w:val="000000"/>
          <w:kern w:val="24"/>
          <w:lang w:val="es-ES" w:eastAsia="es-ES"/>
        </w:rPr>
        <w:t xml:space="preserve"> y de cara a u</w:t>
      </w:r>
      <w:r w:rsidR="00C70EE6" w:rsidRPr="002E37B6">
        <w:rPr>
          <w:rFonts w:ascii="Century Gothic" w:hAnsi="Century Gothic" w:cs="Arial"/>
          <w:bCs/>
          <w:color w:val="000000"/>
          <w:kern w:val="24"/>
          <w:lang w:val="es-ES" w:eastAsia="es-ES"/>
        </w:rPr>
        <w:t>n</w:t>
      </w:r>
      <w:r w:rsidR="005274CF" w:rsidRPr="002E37B6">
        <w:rPr>
          <w:rFonts w:ascii="Century Gothic" w:hAnsi="Century Gothic" w:cs="Arial"/>
          <w:bCs/>
          <w:color w:val="000000"/>
          <w:kern w:val="24"/>
          <w:lang w:val="es-ES" w:eastAsia="es-ES"/>
        </w:rPr>
        <w:t xml:space="preserve"> mejor acceso de las PYME a los avales y facilitar la tramitación por las entidades de crédito se ha lanzado la plataforma “Con Aval Sí”.</w:t>
      </w:r>
    </w:p>
    <w:p w14:paraId="5DB1D929" w14:textId="691D4D76" w:rsidR="00E100EA" w:rsidRPr="003E570F" w:rsidRDefault="00E100EA" w:rsidP="00757E55">
      <w:pPr>
        <w:pStyle w:val="Prrafodelista"/>
        <w:numPr>
          <w:ilvl w:val="0"/>
          <w:numId w:val="32"/>
        </w:numPr>
        <w:rPr>
          <w:rFonts w:ascii="Century Gothic" w:hAnsi="Century Gothic" w:cs="Arial"/>
          <w:b/>
          <w:color w:val="000000"/>
          <w:kern w:val="24"/>
          <w:lang w:val="es-ES" w:eastAsia="es-ES"/>
        </w:rPr>
      </w:pPr>
      <w:r w:rsidRPr="00C5169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901876">
        <w:rPr>
          <w:rFonts w:ascii="Century Gothic" w:hAnsi="Century Gothic" w:cs="Arial"/>
          <w:b/>
          <w:color w:val="000000"/>
          <w:kern w:val="24"/>
          <w:lang w:val="es-ES" w:eastAsia="es-ES"/>
        </w:rPr>
        <w:t xml:space="preserve"> Promover la información y formación sobre financiación</w:t>
      </w:r>
      <w:r w:rsidR="005F3B40">
        <w:rPr>
          <w:rFonts w:ascii="Century Gothic" w:hAnsi="Century Gothic" w:cs="Arial"/>
          <w:b/>
          <w:color w:val="000000"/>
          <w:kern w:val="24"/>
          <w:lang w:val="es-ES" w:eastAsia="es-ES"/>
        </w:rPr>
        <w:t xml:space="preserve"> pública</w:t>
      </w:r>
      <w:r w:rsidRPr="00901876">
        <w:rPr>
          <w:rFonts w:ascii="Century Gothic" w:hAnsi="Century Gothic" w:cs="Arial"/>
          <w:b/>
          <w:color w:val="000000"/>
          <w:kern w:val="24"/>
          <w:lang w:val="es-ES" w:eastAsia="es-ES"/>
        </w:rPr>
        <w:t xml:space="preserve">. </w:t>
      </w:r>
      <w:r w:rsidR="00E9493B" w:rsidRPr="00E9493B">
        <w:rPr>
          <w:rFonts w:ascii="Century Gothic" w:hAnsi="Century Gothic" w:cs="Arial"/>
          <w:color w:val="000000"/>
          <w:kern w:val="24"/>
          <w:lang w:val="es-ES" w:eastAsia="es-ES"/>
        </w:rPr>
        <w:t>Llevar a cabo e</w:t>
      </w:r>
      <w:r w:rsidRPr="00901876">
        <w:rPr>
          <w:rFonts w:ascii="Century Gothic" w:hAnsi="Century Gothic" w:cs="Arial"/>
          <w:color w:val="000000"/>
          <w:kern w:val="24"/>
          <w:lang w:val="es-ES" w:eastAsia="es-ES"/>
        </w:rPr>
        <w:t xml:space="preserve">ventos </w:t>
      </w:r>
      <w:r w:rsidR="005F3B40">
        <w:rPr>
          <w:rFonts w:ascii="Century Gothic" w:hAnsi="Century Gothic" w:cs="Arial"/>
          <w:color w:val="000000"/>
          <w:kern w:val="24"/>
          <w:lang w:val="es-ES" w:eastAsia="es-ES"/>
        </w:rPr>
        <w:t>dirigidos a</w:t>
      </w:r>
      <w:r w:rsidRPr="00901876">
        <w:rPr>
          <w:rFonts w:ascii="Century Gothic" w:hAnsi="Century Gothic" w:cs="Arial"/>
          <w:color w:val="000000"/>
          <w:kern w:val="24"/>
          <w:lang w:val="es-ES" w:eastAsia="es-ES"/>
        </w:rPr>
        <w:t xml:space="preserve"> entidades financieras, </w:t>
      </w:r>
      <w:r w:rsidR="00E9493B">
        <w:rPr>
          <w:rFonts w:ascii="Century Gothic" w:hAnsi="Century Gothic" w:cs="Arial"/>
          <w:color w:val="000000"/>
          <w:kern w:val="24"/>
          <w:lang w:val="es-ES" w:eastAsia="es-ES"/>
        </w:rPr>
        <w:t xml:space="preserve">explicando los distintos instrumentos de los que disponen las Administraciones públicas. El objeto de informar a </w:t>
      </w:r>
      <w:r w:rsidR="003535DC">
        <w:rPr>
          <w:rFonts w:ascii="Century Gothic" w:hAnsi="Century Gothic" w:cs="Arial"/>
          <w:color w:val="000000"/>
          <w:kern w:val="24"/>
          <w:lang w:val="es-ES" w:eastAsia="es-ES"/>
        </w:rPr>
        <w:t>éstas</w:t>
      </w:r>
      <w:r w:rsidR="00E9493B">
        <w:rPr>
          <w:rFonts w:ascii="Century Gothic" w:hAnsi="Century Gothic" w:cs="Arial"/>
          <w:color w:val="000000"/>
          <w:kern w:val="24"/>
          <w:lang w:val="es-ES" w:eastAsia="es-ES"/>
        </w:rPr>
        <w:t xml:space="preserve"> es que puedan ofrecer a las PYME estos instrumentos</w:t>
      </w:r>
      <w:r w:rsidR="00B62B7F">
        <w:rPr>
          <w:rFonts w:ascii="Century Gothic" w:hAnsi="Century Gothic" w:cs="Arial"/>
          <w:color w:val="000000"/>
          <w:kern w:val="24"/>
          <w:lang w:val="es-ES" w:eastAsia="es-ES"/>
        </w:rPr>
        <w:t xml:space="preserve"> como elemento complementario</w:t>
      </w:r>
      <w:r w:rsidR="00E9493B">
        <w:rPr>
          <w:rFonts w:ascii="Century Gothic" w:hAnsi="Century Gothic" w:cs="Arial"/>
          <w:color w:val="000000"/>
          <w:kern w:val="24"/>
          <w:lang w:val="es-ES" w:eastAsia="es-ES"/>
        </w:rPr>
        <w:t>. Por otro lado, promover la</w:t>
      </w:r>
      <w:r w:rsidRPr="00901876">
        <w:rPr>
          <w:rFonts w:ascii="Century Gothic" w:hAnsi="Century Gothic" w:cs="Arial"/>
          <w:color w:val="000000"/>
          <w:kern w:val="24"/>
          <w:lang w:val="es-ES" w:eastAsia="es-ES"/>
        </w:rPr>
        <w:t xml:space="preserve"> formación en temas financieros para los empresarios</w:t>
      </w:r>
      <w:r w:rsidR="00F94DF3">
        <w:rPr>
          <w:rFonts w:ascii="Century Gothic" w:hAnsi="Century Gothic" w:cs="Arial"/>
          <w:color w:val="000000"/>
          <w:kern w:val="24"/>
          <w:lang w:val="es-ES" w:eastAsia="es-ES"/>
        </w:rPr>
        <w:t xml:space="preserve"> y como conseguir financiación</w:t>
      </w:r>
      <w:r w:rsidR="00E9493B">
        <w:rPr>
          <w:rFonts w:ascii="Century Gothic" w:hAnsi="Century Gothic" w:cs="Arial"/>
          <w:color w:val="000000"/>
          <w:kern w:val="24"/>
          <w:lang w:val="es-ES" w:eastAsia="es-ES"/>
        </w:rPr>
        <w:t>.</w:t>
      </w:r>
    </w:p>
    <w:p w14:paraId="0AE4E725" w14:textId="3D7570A0" w:rsidR="003E570F" w:rsidRPr="00901876" w:rsidRDefault="003E570F" w:rsidP="00757E55">
      <w:pPr>
        <w:pStyle w:val="Prrafodelista"/>
        <w:numPr>
          <w:ilvl w:val="0"/>
          <w:numId w:val="32"/>
        </w:numPr>
        <w:rPr>
          <w:rFonts w:ascii="Century Gothic" w:hAnsi="Century Gothic" w:cs="Arial"/>
          <w:b/>
          <w:color w:val="000000"/>
          <w:kern w:val="24"/>
          <w:lang w:val="es-ES" w:eastAsia="es-ES"/>
        </w:rPr>
      </w:pPr>
      <w:r>
        <w:rPr>
          <w:rFonts w:ascii="Century Gothic" w:hAnsi="Century Gothic" w:cs="Arial"/>
          <w:b/>
          <w:bCs/>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w:t>
      </w:r>
      <w:r w:rsidR="00E044D9">
        <w:rPr>
          <w:rFonts w:ascii="Century Gothic" w:hAnsi="Century Gothic" w:cs="Arial"/>
          <w:b/>
          <w:bCs/>
          <w:color w:val="000000"/>
          <w:kern w:val="24"/>
          <w:lang w:val="es-ES" w:eastAsia="es-ES"/>
        </w:rPr>
        <w:t>Fomentar</w:t>
      </w:r>
      <w:r w:rsidRPr="003E570F">
        <w:rPr>
          <w:rFonts w:ascii="Century Gothic" w:hAnsi="Century Gothic" w:cs="Arial"/>
          <w:b/>
          <w:bCs/>
          <w:color w:val="000000"/>
          <w:kern w:val="24"/>
          <w:lang w:val="es-ES" w:eastAsia="es-ES"/>
        </w:rPr>
        <w:t xml:space="preserve"> el buen gobierno y la</w:t>
      </w:r>
      <w:r w:rsidR="00E044D9">
        <w:rPr>
          <w:rFonts w:ascii="Century Gothic" w:hAnsi="Century Gothic" w:cs="Arial"/>
          <w:b/>
          <w:bCs/>
          <w:color w:val="000000"/>
          <w:kern w:val="24"/>
          <w:lang w:val="es-ES" w:eastAsia="es-ES"/>
        </w:rPr>
        <w:t xml:space="preserve"> transparencia financiera de la PYME </w:t>
      </w:r>
      <w:r w:rsidR="00E044D9" w:rsidRPr="00E044D9">
        <w:rPr>
          <w:rFonts w:ascii="Century Gothic" w:hAnsi="Century Gothic" w:cs="Arial"/>
          <w:bCs/>
          <w:color w:val="000000"/>
          <w:kern w:val="24"/>
          <w:lang w:val="es-ES" w:eastAsia="es-ES"/>
        </w:rPr>
        <w:t>como elementos que van a facilitar su financiación</w:t>
      </w:r>
      <w:r w:rsidR="00C81BE3">
        <w:rPr>
          <w:rFonts w:ascii="Century Gothic" w:hAnsi="Century Gothic" w:cs="Arial"/>
          <w:bCs/>
          <w:color w:val="000000"/>
          <w:kern w:val="24"/>
          <w:lang w:val="es-ES" w:eastAsia="es-ES"/>
        </w:rPr>
        <w:t>, así como m</w:t>
      </w:r>
      <w:r w:rsidR="00C81BE3" w:rsidRPr="00C81BE3">
        <w:rPr>
          <w:rFonts w:ascii="Century Gothic" w:hAnsi="Century Gothic" w:cs="Arial"/>
          <w:bCs/>
          <w:color w:val="000000"/>
          <w:kern w:val="24"/>
          <w:lang w:val="es-ES" w:eastAsia="es-ES"/>
        </w:rPr>
        <w:t>ejorar las habilidades financieras de las pymes y la visión estratégica de la financiación empresarial</w:t>
      </w:r>
      <w:r w:rsidR="003535DC">
        <w:rPr>
          <w:rFonts w:ascii="Century Gothic" w:hAnsi="Century Gothic" w:cs="Arial"/>
          <w:bCs/>
          <w:color w:val="000000"/>
          <w:kern w:val="24"/>
          <w:lang w:val="es-ES" w:eastAsia="es-ES"/>
        </w:rPr>
        <w:t>.</w:t>
      </w:r>
    </w:p>
    <w:p w14:paraId="7BF92CF1" w14:textId="77777777" w:rsidR="005F3B40" w:rsidRDefault="00E044D9" w:rsidP="00757E55">
      <w:pPr>
        <w:pStyle w:val="Prrafodelista"/>
        <w:numPr>
          <w:ilvl w:val="0"/>
          <w:numId w:val="32"/>
        </w:numPr>
        <w:rPr>
          <w:rFonts w:ascii="Century Gothic" w:hAnsi="Century Gothic" w:cs="Arial"/>
          <w:b/>
          <w:color w:val="000000"/>
          <w:kern w:val="24"/>
          <w:lang w:val="es-ES" w:eastAsia="es-ES"/>
        </w:rPr>
      </w:pPr>
      <w:r>
        <w:rPr>
          <w:rFonts w:ascii="Century Gothic" w:hAnsi="Century Gothic" w:cs="Arial"/>
          <w:b/>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w:t>
      </w:r>
      <w:r w:rsidRPr="00E044D9">
        <w:rPr>
          <w:rFonts w:ascii="Century Gothic" w:hAnsi="Century Gothic" w:cs="Arial"/>
          <w:b/>
          <w:color w:val="000000"/>
          <w:kern w:val="24"/>
          <w:lang w:val="es-ES" w:eastAsia="es-ES"/>
        </w:rPr>
        <w:t xml:space="preserve">Flexibilizar los requisitos de acceso </w:t>
      </w:r>
      <w:r>
        <w:rPr>
          <w:rFonts w:ascii="Century Gothic" w:hAnsi="Century Gothic" w:cs="Arial"/>
          <w:b/>
          <w:color w:val="000000"/>
          <w:kern w:val="24"/>
          <w:lang w:val="es-ES" w:eastAsia="es-ES"/>
        </w:rPr>
        <w:t>y fomentar las ventajas de</w:t>
      </w:r>
      <w:r w:rsidRPr="00E044D9">
        <w:rPr>
          <w:rFonts w:ascii="Century Gothic" w:hAnsi="Century Gothic" w:cs="Arial"/>
          <w:b/>
          <w:color w:val="000000"/>
          <w:kern w:val="24"/>
          <w:lang w:val="es-ES" w:eastAsia="es-ES"/>
        </w:rPr>
        <w:t xml:space="preserve">l Mercado Alternativo Bursátil (MAB) y </w:t>
      </w:r>
      <w:r>
        <w:rPr>
          <w:rFonts w:ascii="Century Gothic" w:hAnsi="Century Gothic" w:cs="Arial"/>
          <w:b/>
          <w:color w:val="000000"/>
          <w:kern w:val="24"/>
          <w:lang w:val="es-ES" w:eastAsia="es-ES"/>
        </w:rPr>
        <w:t>de</w:t>
      </w:r>
      <w:r w:rsidRPr="00E044D9">
        <w:rPr>
          <w:rFonts w:ascii="Century Gothic" w:hAnsi="Century Gothic" w:cs="Arial"/>
          <w:b/>
          <w:color w:val="000000"/>
          <w:kern w:val="24"/>
          <w:lang w:val="es-ES" w:eastAsia="es-ES"/>
        </w:rPr>
        <w:t>l Mercado Alternativo de Renta Fija (MARF)</w:t>
      </w:r>
      <w:r w:rsidR="008239CD" w:rsidRPr="008239CD">
        <w:rPr>
          <w:rFonts w:ascii="Century Gothic" w:hAnsi="Century Gothic" w:cs="Arial"/>
          <w:b/>
          <w:color w:val="000000"/>
          <w:kern w:val="24"/>
          <w:lang w:val="es-ES" w:eastAsia="es-ES"/>
        </w:rPr>
        <w:t>, así como de las plataformas de crowfunding y crowlending</w:t>
      </w:r>
      <w:r w:rsidRPr="00E044D9">
        <w:rPr>
          <w:rFonts w:ascii="Century Gothic" w:hAnsi="Century Gothic" w:cs="Arial"/>
          <w:b/>
          <w:color w:val="000000"/>
          <w:kern w:val="24"/>
          <w:lang w:val="es-ES" w:eastAsia="es-ES"/>
        </w:rPr>
        <w:t xml:space="preserve"> </w:t>
      </w:r>
      <w:r w:rsidRPr="00E044D9">
        <w:rPr>
          <w:rFonts w:ascii="Century Gothic" w:hAnsi="Century Gothic" w:cs="Arial"/>
          <w:color w:val="000000"/>
          <w:kern w:val="24"/>
          <w:lang w:val="es-ES" w:eastAsia="es-ES"/>
        </w:rPr>
        <w:t xml:space="preserve">para que sean realmente una posibilidad de financiación </w:t>
      </w:r>
      <w:r>
        <w:rPr>
          <w:rFonts w:ascii="Century Gothic" w:hAnsi="Century Gothic" w:cs="Arial"/>
          <w:color w:val="000000"/>
          <w:kern w:val="24"/>
          <w:lang w:val="es-ES" w:eastAsia="es-ES"/>
        </w:rPr>
        <w:t>para</w:t>
      </w:r>
      <w:r w:rsidRPr="00E044D9">
        <w:rPr>
          <w:rFonts w:ascii="Century Gothic" w:hAnsi="Century Gothic" w:cs="Arial"/>
          <w:color w:val="000000"/>
          <w:kern w:val="24"/>
          <w:lang w:val="es-ES" w:eastAsia="es-ES"/>
        </w:rPr>
        <w:t xml:space="preserve"> las </w:t>
      </w:r>
      <w:r w:rsidR="00E154CF">
        <w:rPr>
          <w:rFonts w:ascii="Century Gothic" w:hAnsi="Century Gothic" w:cs="Arial"/>
          <w:color w:val="000000"/>
          <w:kern w:val="24"/>
          <w:lang w:val="es-ES" w:eastAsia="es-ES"/>
        </w:rPr>
        <w:t>PYME</w:t>
      </w:r>
      <w:r w:rsidR="00E154CF" w:rsidRPr="00E044D9">
        <w:rPr>
          <w:rFonts w:ascii="Century Gothic" w:hAnsi="Century Gothic" w:cs="Arial"/>
          <w:color w:val="000000"/>
          <w:kern w:val="24"/>
          <w:lang w:val="es-ES" w:eastAsia="es-ES"/>
        </w:rPr>
        <w:t xml:space="preserve"> </w:t>
      </w:r>
      <w:r w:rsidRPr="00E044D9">
        <w:rPr>
          <w:rFonts w:ascii="Century Gothic" w:hAnsi="Century Gothic" w:cs="Arial"/>
          <w:color w:val="000000"/>
          <w:kern w:val="24"/>
          <w:lang w:val="es-ES" w:eastAsia="es-ES"/>
        </w:rPr>
        <w:t>españolas.</w:t>
      </w:r>
      <w:r w:rsidR="005F3B40" w:rsidRPr="005F3B40">
        <w:rPr>
          <w:rFonts w:ascii="Century Gothic" w:hAnsi="Century Gothic" w:cs="Arial"/>
          <w:b/>
          <w:color w:val="000000"/>
          <w:kern w:val="24"/>
          <w:lang w:val="es-ES" w:eastAsia="es-ES"/>
        </w:rPr>
        <w:t xml:space="preserve"> </w:t>
      </w:r>
    </w:p>
    <w:p w14:paraId="3D1A7743" w14:textId="77777777" w:rsidR="005F3B40" w:rsidRDefault="005F3B40" w:rsidP="00757E55">
      <w:pPr>
        <w:pStyle w:val="Prrafodelista"/>
        <w:numPr>
          <w:ilvl w:val="0"/>
          <w:numId w:val="32"/>
        </w:numPr>
        <w:rPr>
          <w:rFonts w:ascii="Century Gothic" w:hAnsi="Century Gothic" w:cs="Arial"/>
          <w:b/>
          <w:color w:val="000000"/>
          <w:kern w:val="24"/>
          <w:lang w:val="es-ES" w:eastAsia="es-ES"/>
        </w:rPr>
      </w:pPr>
      <w:r w:rsidRPr="00901876">
        <w:rPr>
          <w:rFonts w:ascii="Century Gothic" w:hAnsi="Century Gothic" w:cs="Arial"/>
          <w:b/>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sidRPr="00C51697">
        <w:rPr>
          <w:rFonts w:ascii="Century Gothic" w:hAnsi="Century Gothic" w:cs="Arial"/>
          <w:b/>
          <w:color w:val="000000"/>
          <w:kern w:val="24"/>
          <w:lang w:val="es-ES" w:eastAsia="es-ES"/>
        </w:rPr>
        <w:t xml:space="preserve"> </w:t>
      </w:r>
      <w:r>
        <w:rPr>
          <w:rFonts w:ascii="Century Gothic" w:hAnsi="Century Gothic" w:cs="Arial"/>
          <w:b/>
          <w:color w:val="000000"/>
          <w:kern w:val="24"/>
          <w:lang w:val="es-ES" w:eastAsia="es-ES"/>
        </w:rPr>
        <w:t>Otras medidas de financiación</w:t>
      </w:r>
      <w:r w:rsidRPr="00C51697">
        <w:rPr>
          <w:rFonts w:ascii="Century Gothic" w:hAnsi="Century Gothic" w:cs="Arial"/>
          <w:b/>
          <w:color w:val="000000"/>
          <w:kern w:val="24"/>
          <w:lang w:val="es-ES" w:eastAsia="es-ES"/>
        </w:rPr>
        <w:t>.</w:t>
      </w:r>
      <w:r>
        <w:rPr>
          <w:rFonts w:ascii="Century Gothic" w:hAnsi="Century Gothic" w:cs="Arial"/>
          <w:b/>
          <w:color w:val="000000"/>
          <w:kern w:val="24"/>
          <w:lang w:val="es-ES" w:eastAsia="es-ES"/>
        </w:rPr>
        <w:t xml:space="preserve"> </w:t>
      </w:r>
    </w:p>
    <w:p w14:paraId="23D7948F" w14:textId="3B673678" w:rsidR="005F3B40" w:rsidRPr="005F3B40" w:rsidRDefault="005F3B40" w:rsidP="00757E55">
      <w:pPr>
        <w:pStyle w:val="Prrafodelista"/>
        <w:numPr>
          <w:ilvl w:val="1"/>
          <w:numId w:val="32"/>
        </w:numPr>
        <w:rPr>
          <w:rFonts w:ascii="Century Gothic" w:hAnsi="Century Gothic" w:cs="Arial"/>
          <w:b/>
          <w:color w:val="000000"/>
          <w:kern w:val="24"/>
          <w:lang w:val="es-ES" w:eastAsia="es-ES"/>
        </w:rPr>
      </w:pPr>
      <w:r>
        <w:rPr>
          <w:rFonts w:ascii="Century Gothic" w:hAnsi="Century Gothic" w:cs="Arial"/>
          <w:color w:val="000000"/>
          <w:kern w:val="24"/>
          <w:lang w:val="es-ES" w:eastAsia="es-ES"/>
        </w:rPr>
        <w:t xml:space="preserve">Llevar a cabo un amplio desarrollo del microcrédito para la PYME, que incluya un entorno normativo claro, diseño de instrumentos, jornadas de difusión e información, etc. </w:t>
      </w:r>
    </w:p>
    <w:p w14:paraId="56DE7C3E" w14:textId="393B3EF3" w:rsidR="00877B9E" w:rsidRPr="000B170B" w:rsidRDefault="005F3B40" w:rsidP="000B170B">
      <w:pPr>
        <w:pStyle w:val="Prrafodelista"/>
        <w:numPr>
          <w:ilvl w:val="1"/>
          <w:numId w:val="32"/>
        </w:numPr>
        <w:rPr>
          <w:rFonts w:ascii="Century Gothic" w:hAnsi="Century Gothic" w:cs="Arial"/>
          <w:b/>
          <w:color w:val="000000"/>
          <w:kern w:val="24"/>
          <w:lang w:val="es-ES" w:eastAsia="es-ES"/>
        </w:rPr>
      </w:pPr>
      <w:r>
        <w:rPr>
          <w:rFonts w:ascii="Century Gothic" w:hAnsi="Century Gothic" w:cs="Arial"/>
          <w:color w:val="000000"/>
          <w:kern w:val="24"/>
          <w:lang w:val="es-ES" w:eastAsia="es-ES"/>
        </w:rPr>
        <w:t>Valorar instrumentos y actuaciones para financiar actuaciones de emprendimiento corporativo.</w:t>
      </w:r>
    </w:p>
    <w:p w14:paraId="7C3962C9" w14:textId="48FE17A9" w:rsidR="009C7C9A" w:rsidRPr="000F1FC8" w:rsidRDefault="00E14754" w:rsidP="000F1FC8">
      <w:pPr>
        <w:pStyle w:val="Ttulo2"/>
        <w:keepLines/>
        <w:numPr>
          <w:ilvl w:val="1"/>
          <w:numId w:val="28"/>
        </w:numPr>
        <w:spacing w:after="120" w:line="276" w:lineRule="auto"/>
        <w:rPr>
          <w:rFonts w:cs="Arial"/>
          <w:color w:val="003399"/>
          <w:sz w:val="24"/>
          <w:lang w:val="es-ES"/>
        </w:rPr>
      </w:pPr>
      <w:bookmarkStart w:id="62" w:name="_Toc527630350"/>
      <w:r w:rsidRPr="000F1FC8">
        <w:rPr>
          <w:rFonts w:cs="Arial"/>
          <w:color w:val="003399"/>
          <w:sz w:val="24"/>
          <w:lang w:val="es-ES"/>
        </w:rPr>
        <w:t>Innovación y digitalización</w:t>
      </w:r>
      <w:bookmarkEnd w:id="62"/>
      <w:r w:rsidR="00950390" w:rsidRPr="000F1FC8">
        <w:rPr>
          <w:rFonts w:cs="Arial"/>
          <w:color w:val="003399"/>
          <w:sz w:val="24"/>
          <w:lang w:val="es-ES"/>
        </w:rPr>
        <w:t xml:space="preserve"> </w:t>
      </w:r>
    </w:p>
    <w:p w14:paraId="408FB3C1" w14:textId="77777777" w:rsidR="003C0CB7" w:rsidRDefault="003C0CB7" w:rsidP="003C0CB7">
      <w:pPr>
        <w:pStyle w:val="Ttulo3"/>
      </w:pPr>
      <w:bookmarkStart w:id="63" w:name="_Toc527630351"/>
      <w:r>
        <w:t>Marco conceptual y diagnóstico</w:t>
      </w:r>
      <w:bookmarkEnd w:id="63"/>
    </w:p>
    <w:p w14:paraId="7EE49D59" w14:textId="1C73CA08" w:rsidR="00073336" w:rsidRDefault="005D1937" w:rsidP="00073336">
      <w:pPr>
        <w:pStyle w:val="Body"/>
      </w:pPr>
      <w:r>
        <w:t>Esta palanca trata dos aspectos que se consideran fundamentales para mejorar la competitividad de nuestras PYME</w:t>
      </w:r>
      <w:r w:rsidR="004B0DD9">
        <w:t>: l</w:t>
      </w:r>
      <w:r>
        <w:t xml:space="preserve">a innovación </w:t>
      </w:r>
      <w:r w:rsidR="004B0DD9">
        <w:t xml:space="preserve">empresarial y como parte de ésta pero que ha adquirido su propio desarrollo, la digitalización. Este nuevo paradigma está teniendo tal desarrollo que </w:t>
      </w:r>
      <w:r w:rsidR="00550DAC">
        <w:t xml:space="preserve">empieza a confundirse </w:t>
      </w:r>
      <w:r w:rsidR="004B0DD9">
        <w:t xml:space="preserve">innovación </w:t>
      </w:r>
      <w:r w:rsidR="00550DAC">
        <w:t>con digitalización.</w:t>
      </w:r>
      <w:r w:rsidR="004B0DD9">
        <w:t xml:space="preserve"> </w:t>
      </w:r>
    </w:p>
    <w:p w14:paraId="7FA3F0E0" w14:textId="4C3D6013" w:rsidR="00673557" w:rsidRDefault="004B0DD9" w:rsidP="00B62B7F">
      <w:pPr>
        <w:pStyle w:val="Body"/>
      </w:pPr>
      <w:r>
        <w:t xml:space="preserve">Si analizamos el estado de la </w:t>
      </w:r>
      <w:r w:rsidR="001A163C">
        <w:t>I+D+i</w:t>
      </w:r>
      <w:r>
        <w:t xml:space="preserve"> empresarial en España, vemos que l</w:t>
      </w:r>
      <w:r w:rsidR="00B62B7F">
        <w:t>as empresas españolas invierten poco en activos basados en el conocimiento, no sólo en I+D sino también en otras capacidades empresariales que son importantes para la innovación (</w:t>
      </w:r>
      <w:r w:rsidR="00B62B7F" w:rsidRPr="00DF2571">
        <w:rPr>
          <w:highlight w:val="yellow"/>
        </w:rPr>
        <w:t xml:space="preserve">gráfico </w:t>
      </w:r>
      <w:r>
        <w:t>20</w:t>
      </w:r>
      <w:r w:rsidR="00B62B7F">
        <w:t xml:space="preserve">). </w:t>
      </w:r>
    </w:p>
    <w:p w14:paraId="7B65534E" w14:textId="4496025C" w:rsidR="00764C39" w:rsidRDefault="00764C39" w:rsidP="00B62B7F">
      <w:pPr>
        <w:pStyle w:val="Body"/>
      </w:pPr>
    </w:p>
    <w:p w14:paraId="49E5534C" w14:textId="2DE8CCA9" w:rsidR="00764C39" w:rsidRDefault="00764C39" w:rsidP="00B62B7F">
      <w:pPr>
        <w:pStyle w:val="Body"/>
      </w:pPr>
    </w:p>
    <w:p w14:paraId="57003FCB" w14:textId="77777777" w:rsidR="00764C39" w:rsidRDefault="00764C39" w:rsidP="00B62B7F">
      <w:pPr>
        <w:pStyle w:val="Body"/>
      </w:pPr>
    </w:p>
    <w:tbl>
      <w:tblPr>
        <w:tblStyle w:val="Style1"/>
        <w:tblW w:w="0" w:type="auto"/>
        <w:tblLook w:val="04A0" w:firstRow="1" w:lastRow="0" w:firstColumn="1" w:lastColumn="0" w:noHBand="0" w:noVBand="1"/>
      </w:tblPr>
      <w:tblGrid>
        <w:gridCol w:w="9071"/>
      </w:tblGrid>
      <w:tr w:rsidR="00B62B7F" w:rsidRPr="007916CD" w14:paraId="36E237B9" w14:textId="77777777" w:rsidTr="004600F3">
        <w:tc>
          <w:tcPr>
            <w:tcW w:w="9211" w:type="dxa"/>
          </w:tcPr>
          <w:p w14:paraId="195D99CE" w14:textId="151925C2" w:rsidR="00B62B7F" w:rsidRPr="001F107C" w:rsidRDefault="00B62B7F" w:rsidP="008738FE">
            <w:pPr>
              <w:pStyle w:val="Body"/>
              <w:spacing w:after="0"/>
              <w:jc w:val="center"/>
              <w:rPr>
                <w:sz w:val="18"/>
                <w:szCs w:val="18"/>
              </w:rPr>
            </w:pPr>
            <w:bookmarkStart w:id="64" w:name="_Toc498688920"/>
            <w:bookmarkStart w:id="65" w:name="_Toc526942128"/>
            <w:r w:rsidRPr="001F107C">
              <w:rPr>
                <w:sz w:val="18"/>
                <w:szCs w:val="18"/>
              </w:rPr>
              <w:lastRenderedPageBreak/>
              <w:t xml:space="preserve">Gráfico </w:t>
            </w:r>
            <w:r w:rsidRPr="001F107C">
              <w:rPr>
                <w:sz w:val="18"/>
                <w:szCs w:val="18"/>
                <w:lang w:val="en-GB"/>
              </w:rPr>
              <w:fldChar w:fldCharType="begin"/>
            </w:r>
            <w:r w:rsidRPr="00DF2571">
              <w:rPr>
                <w:sz w:val="18"/>
                <w:szCs w:val="18"/>
              </w:rPr>
              <w:instrText xml:space="preserve"> SEQ Gráfico \* ARABIC </w:instrText>
            </w:r>
            <w:r w:rsidRPr="001F107C">
              <w:rPr>
                <w:sz w:val="18"/>
                <w:szCs w:val="18"/>
                <w:lang w:val="en-GB"/>
              </w:rPr>
              <w:fldChar w:fldCharType="separate"/>
            </w:r>
            <w:r w:rsidR="00764C39">
              <w:rPr>
                <w:noProof/>
                <w:sz w:val="18"/>
                <w:szCs w:val="18"/>
              </w:rPr>
              <w:t>20</w:t>
            </w:r>
            <w:r w:rsidRPr="001F107C">
              <w:rPr>
                <w:sz w:val="18"/>
                <w:szCs w:val="18"/>
              </w:rPr>
              <w:fldChar w:fldCharType="end"/>
            </w:r>
            <w:r w:rsidRPr="001F107C">
              <w:rPr>
                <w:sz w:val="18"/>
                <w:szCs w:val="18"/>
              </w:rPr>
              <w:t xml:space="preserve">. </w:t>
            </w:r>
            <w:r w:rsidRPr="00DF2571">
              <w:rPr>
                <w:sz w:val="18"/>
                <w:szCs w:val="18"/>
              </w:rPr>
              <w:t>Coeficiente de inversión en intangibles vs.</w:t>
            </w:r>
            <w:r>
              <w:rPr>
                <w:sz w:val="18"/>
                <w:szCs w:val="18"/>
              </w:rPr>
              <w:t xml:space="preserve"> </w:t>
            </w:r>
            <w:r w:rsidRPr="00DF2571">
              <w:rPr>
                <w:sz w:val="18"/>
                <w:szCs w:val="18"/>
              </w:rPr>
              <w:t>tangibles</w:t>
            </w:r>
            <w:bookmarkEnd w:id="64"/>
            <w:bookmarkEnd w:id="65"/>
          </w:p>
        </w:tc>
      </w:tr>
      <w:tr w:rsidR="00B62B7F" w:rsidRPr="001F107C" w14:paraId="1F5810BE" w14:textId="77777777" w:rsidTr="004600F3">
        <w:tc>
          <w:tcPr>
            <w:tcW w:w="9211" w:type="dxa"/>
          </w:tcPr>
          <w:p w14:paraId="1F807D6A" w14:textId="77777777" w:rsidR="00B62B7F" w:rsidRDefault="00B62B7F" w:rsidP="004600F3">
            <w:pPr>
              <w:pStyle w:val="Body"/>
              <w:jc w:val="center"/>
            </w:pPr>
            <w:r>
              <w:object w:dxaOrig="5175" w:dyaOrig="4395" w14:anchorId="1FF1C6A0">
                <v:shape id="_x0000_i1031" type="#_x0000_t75" style="width:257.95pt;height:217.1pt" o:ole="">
                  <v:imagedata r:id="rId47" o:title=""/>
                </v:shape>
                <o:OLEObject Type="Embed" ProgID="PBrush" ShapeID="_x0000_i1031" DrawAspect="Content" ObjectID="_1602306101" r:id="rId48"/>
              </w:object>
            </w:r>
          </w:p>
        </w:tc>
      </w:tr>
      <w:tr w:rsidR="00B62B7F" w:rsidRPr="007916CD" w14:paraId="2A5FD4D2" w14:textId="77777777" w:rsidTr="004600F3">
        <w:tc>
          <w:tcPr>
            <w:tcW w:w="9211" w:type="dxa"/>
          </w:tcPr>
          <w:p w14:paraId="10871C92" w14:textId="77777777" w:rsidR="00B62B7F" w:rsidRPr="00050920" w:rsidRDefault="00B62B7F" w:rsidP="004600F3">
            <w:pPr>
              <w:pStyle w:val="Body"/>
              <w:spacing w:after="0"/>
              <w:rPr>
                <w:i/>
                <w:sz w:val="16"/>
                <w:szCs w:val="16"/>
              </w:rPr>
            </w:pPr>
            <w:r w:rsidRPr="00050920">
              <w:rPr>
                <w:i/>
                <w:sz w:val="16"/>
                <w:szCs w:val="16"/>
              </w:rPr>
              <w:t>Estudios Económicos de la OCDE – España, marzo 2017</w:t>
            </w:r>
          </w:p>
        </w:tc>
      </w:tr>
    </w:tbl>
    <w:p w14:paraId="37D963F8" w14:textId="77777777" w:rsidR="00B62B7F" w:rsidRDefault="00B62B7F" w:rsidP="00B62B7F">
      <w:pPr>
        <w:pStyle w:val="Body"/>
        <w:spacing w:after="0"/>
      </w:pPr>
    </w:p>
    <w:p w14:paraId="4EF1246A" w14:textId="10CFA6DF" w:rsidR="00050920" w:rsidRPr="00050920" w:rsidRDefault="00050920" w:rsidP="00050920">
      <w:pPr>
        <w:pStyle w:val="Body"/>
        <w:spacing w:before="120"/>
      </w:pPr>
      <w:r w:rsidRPr="00050920">
        <w:t xml:space="preserve">Como puede observarse en el </w:t>
      </w:r>
      <w:r w:rsidRPr="00D73558">
        <w:rPr>
          <w:highlight w:val="yellow"/>
        </w:rPr>
        <w:t xml:space="preserve">gráfico </w:t>
      </w:r>
      <w:r w:rsidR="004B0DD9">
        <w:t>21</w:t>
      </w:r>
      <w:r w:rsidRPr="00050920">
        <w:t>, el porcentaje sobre el PIB que supone el gasto en I+D ejecutado por el sector empresarial en España es del 0,</w:t>
      </w:r>
      <w:r w:rsidR="00D73558">
        <w:t>7</w:t>
      </w:r>
      <w:r w:rsidRPr="00050920">
        <w:t xml:space="preserve">%, lo que supone </w:t>
      </w:r>
      <w:r w:rsidR="00D73558">
        <w:t xml:space="preserve">aproximadamente </w:t>
      </w:r>
      <w:r w:rsidRPr="00050920">
        <w:t xml:space="preserve">la mitad del porcentaje en la UE (1,2%), </w:t>
      </w:r>
      <w:r w:rsidR="00550DAC">
        <w:t xml:space="preserve">y </w:t>
      </w:r>
      <w:r w:rsidRPr="00050920">
        <w:t>muy lejos de países como Suecia, Austria y Alemania, que superan el 2%.</w:t>
      </w:r>
    </w:p>
    <w:p w14:paraId="2B67EFD7" w14:textId="211FF8F2" w:rsidR="00B62B7F" w:rsidRDefault="00050920" w:rsidP="00B62B7F">
      <w:pPr>
        <w:pStyle w:val="Body"/>
      </w:pPr>
      <w:r>
        <w:t>Por otra parte, e</w:t>
      </w:r>
      <w:r w:rsidR="00B62B7F">
        <w:t xml:space="preserve">n España, el </w:t>
      </w:r>
      <w:r>
        <w:t xml:space="preserve">porcentaje de </w:t>
      </w:r>
      <w:r w:rsidR="00B62B7F">
        <w:t xml:space="preserve">gasto </w:t>
      </w:r>
      <w:r>
        <w:t xml:space="preserve">empresarial </w:t>
      </w:r>
      <w:r w:rsidR="00B62B7F">
        <w:t>en I+D ejecutado por PYME</w:t>
      </w:r>
      <w:r>
        <w:t xml:space="preserve"> es del 45%</w:t>
      </w:r>
      <w:r w:rsidR="00B62B7F">
        <w:t xml:space="preserve">. </w:t>
      </w:r>
      <w:r>
        <w:t>Algunos países de nuestro entorno, como Portugal o Países Bajos, tienen porcentajes similares, pero en la mayoría de los casos este porcentaje se sitúa alrededor del 25% y, en el caso de Alemania es del 9%</w:t>
      </w:r>
      <w:r w:rsidR="00B62B7F">
        <w:t xml:space="preserve">, como puede observarse en el </w:t>
      </w:r>
      <w:r w:rsidR="00B62B7F" w:rsidRPr="0002318D">
        <w:rPr>
          <w:highlight w:val="yellow"/>
        </w:rPr>
        <w:t xml:space="preserve">gráfico </w:t>
      </w:r>
      <w:r w:rsidR="00550DAC">
        <w:t>22</w:t>
      </w:r>
      <w:r w:rsidR="00B62B7F">
        <w:t>.</w:t>
      </w:r>
    </w:p>
    <w:p w14:paraId="4F607748" w14:textId="7673D8C0" w:rsidR="00E14754" w:rsidRDefault="00B62B7F" w:rsidP="00073336">
      <w:pPr>
        <w:pStyle w:val="Body"/>
      </w:pPr>
      <w:r>
        <w:t xml:space="preserve">Del análisis del gasto en I+D ejecutado por cada segmento de tamaño (PYME </w:t>
      </w:r>
      <w:r w:rsidRPr="00304ED2">
        <w:rPr>
          <w:i/>
        </w:rPr>
        <w:t>versus</w:t>
      </w:r>
      <w:r>
        <w:t xml:space="preserve"> grandes empresas) como porcentaje del PIB</w:t>
      </w:r>
      <w:r w:rsidR="00065DBD">
        <w:t xml:space="preserve"> en España</w:t>
      </w:r>
      <w:r>
        <w:t xml:space="preserve">, se desprende que </w:t>
      </w:r>
      <w:r w:rsidR="00065DBD">
        <w:t xml:space="preserve">el bajo nivel del gasto empresarial en I+D se debe, sobre todo, a la escasa contribución de </w:t>
      </w:r>
      <w:r w:rsidR="0075031B">
        <w:t>las grandes empresas</w:t>
      </w:r>
      <w:r>
        <w:t xml:space="preserve">. </w:t>
      </w:r>
      <w:r w:rsidR="00065DBD">
        <w:t>Por ejemplo, el gasto en I+D ejecutado por las PYME españolas como porcentaje del PIB (0,3%) es muy similar al de las PYME alemanas (0,2%); sin embargo, el gasto en I+D ejecutado por las grandes empresas españolas supone el 0,</w:t>
      </w:r>
      <w:r w:rsidR="00AC6BA4">
        <w:t>4</w:t>
      </w:r>
      <w:r w:rsidR="00065DBD">
        <w:t xml:space="preserve">% del PIB español, mientras que el gasto en I+D de las grandes empresas alemanas representa el 1,8% del PIB alemán (véase </w:t>
      </w:r>
      <w:r w:rsidR="00065DBD" w:rsidRPr="009200E1">
        <w:rPr>
          <w:highlight w:val="yellow"/>
        </w:rPr>
        <w:t xml:space="preserve">gráfico </w:t>
      </w:r>
      <w:r w:rsidR="00550DAC">
        <w:t>21</w:t>
      </w:r>
      <w:r w:rsidR="00065DBD">
        <w:t>).</w:t>
      </w:r>
      <w:r>
        <w:t xml:space="preserve"> </w:t>
      </w:r>
    </w:p>
    <w:p w14:paraId="554F2FB7" w14:textId="77777777" w:rsidR="00AC6BA4" w:rsidRDefault="00AC6BA4" w:rsidP="00073336">
      <w:pPr>
        <w:pStyle w:val="Body"/>
      </w:pPr>
    </w:p>
    <w:tbl>
      <w:tblPr>
        <w:tblStyle w:val="Listamedia2"/>
        <w:tblW w:w="5063" w:type="pct"/>
        <w:tblCellMar>
          <w:top w:w="108" w:type="dxa"/>
          <w:bottom w:w="108" w:type="dxa"/>
        </w:tblCellMar>
        <w:tblLook w:val="04A0" w:firstRow="1" w:lastRow="0" w:firstColumn="1" w:lastColumn="0" w:noHBand="0" w:noVBand="1"/>
      </w:tblPr>
      <w:tblGrid>
        <w:gridCol w:w="4832"/>
        <w:gridCol w:w="4536"/>
      </w:tblGrid>
      <w:tr w:rsidR="00E14754" w:rsidRPr="007916CD" w14:paraId="15B3A614" w14:textId="77777777" w:rsidTr="00BF5F6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3257" w:type="pct"/>
            <w:tcBorders>
              <w:top w:val="none" w:sz="0" w:space="0" w:color="auto"/>
              <w:left w:val="none" w:sz="0" w:space="0" w:color="auto"/>
              <w:bottom w:val="single" w:sz="12" w:space="0" w:color="003399"/>
              <w:right w:val="none" w:sz="0" w:space="0" w:color="auto"/>
            </w:tcBorders>
            <w:shd w:val="clear" w:color="auto" w:fill="auto"/>
            <w:vAlign w:val="center"/>
          </w:tcPr>
          <w:p w14:paraId="42CCE31E" w14:textId="70588AF4" w:rsidR="00E14754" w:rsidRPr="008B6C6C" w:rsidRDefault="00E14754" w:rsidP="00BF5F60">
            <w:pPr>
              <w:pStyle w:val="Descripcin1"/>
              <w:jc w:val="center"/>
              <w:rPr>
                <w:rFonts w:cs="Arial"/>
                <w:b w:val="0"/>
                <w:bCs/>
                <w:szCs w:val="18"/>
                <w:lang w:eastAsia="en-GB"/>
              </w:rPr>
            </w:pPr>
            <w:bookmarkStart w:id="66" w:name="_Toc489524676"/>
            <w:bookmarkStart w:id="67" w:name="_Toc526942129"/>
            <w:r w:rsidRPr="008B6C6C">
              <w:rPr>
                <w:b w:val="0"/>
              </w:rPr>
              <w:lastRenderedPageBreak/>
              <w:t xml:space="preserve">Gráfico </w:t>
            </w:r>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21</w:t>
            </w:r>
            <w:r w:rsidRPr="008B6C6C">
              <w:rPr>
                <w:b w:val="0"/>
              </w:rPr>
              <w:fldChar w:fldCharType="end"/>
            </w:r>
            <w:r w:rsidRPr="008B6C6C">
              <w:rPr>
                <w:b w:val="0"/>
              </w:rPr>
              <w:t xml:space="preserve">. </w:t>
            </w:r>
            <w:r w:rsidR="00050920" w:rsidRPr="009200E1">
              <w:rPr>
                <w:b w:val="0"/>
              </w:rPr>
              <w:t>Gasto en I+D ejecutado por el sector empresarial como porcentaje sobre el PIB</w:t>
            </w:r>
            <w:bookmarkEnd w:id="66"/>
            <w:bookmarkEnd w:id="67"/>
          </w:p>
        </w:tc>
        <w:tc>
          <w:tcPr>
            <w:tcW w:w="1743" w:type="pct"/>
            <w:tcBorders>
              <w:top w:val="none" w:sz="0" w:space="0" w:color="auto"/>
              <w:left w:val="none" w:sz="0" w:space="0" w:color="auto"/>
              <w:bottom w:val="single" w:sz="12" w:space="0" w:color="003399"/>
              <w:right w:val="none" w:sz="0" w:space="0" w:color="auto"/>
            </w:tcBorders>
            <w:shd w:val="clear" w:color="auto" w:fill="auto"/>
            <w:vAlign w:val="center"/>
          </w:tcPr>
          <w:p w14:paraId="4931C732" w14:textId="3540C8FA" w:rsidR="00E14754" w:rsidRPr="008B6C6C" w:rsidRDefault="00E14754" w:rsidP="00BF5F60">
            <w:pPr>
              <w:pStyle w:val="Descripcin1"/>
              <w:jc w:val="center"/>
              <w:cnfStyle w:val="100000000000" w:firstRow="1" w:lastRow="0" w:firstColumn="0" w:lastColumn="0" w:oddVBand="0" w:evenVBand="0" w:oddHBand="0" w:evenHBand="0" w:firstRowFirstColumn="0" w:firstRowLastColumn="0" w:lastRowFirstColumn="0" w:lastRowLastColumn="0"/>
              <w:rPr>
                <w:rFonts w:cs="Arial"/>
                <w:b w:val="0"/>
                <w:bCs/>
                <w:szCs w:val="18"/>
                <w:lang w:eastAsia="en-GB"/>
              </w:rPr>
            </w:pPr>
            <w:bookmarkStart w:id="68" w:name="_Toc489524677"/>
            <w:bookmarkStart w:id="69" w:name="_Toc526942130"/>
            <w:r w:rsidRPr="008B6C6C">
              <w:rPr>
                <w:b w:val="0"/>
              </w:rPr>
              <w:t xml:space="preserve">Gráfico </w:t>
            </w:r>
            <w:r w:rsidRPr="008B6C6C">
              <w:rPr>
                <w:b w:val="0"/>
              </w:rPr>
              <w:fldChar w:fldCharType="begin"/>
            </w:r>
            <w:r w:rsidRPr="008B6C6C">
              <w:rPr>
                <w:b w:val="0"/>
              </w:rPr>
              <w:instrText xml:space="preserve"> SEQ Gráfico \* ARABIC </w:instrText>
            </w:r>
            <w:r w:rsidRPr="008B6C6C">
              <w:rPr>
                <w:b w:val="0"/>
              </w:rPr>
              <w:fldChar w:fldCharType="separate"/>
            </w:r>
            <w:r w:rsidR="00764C39">
              <w:rPr>
                <w:b w:val="0"/>
                <w:noProof/>
              </w:rPr>
              <w:t>22</w:t>
            </w:r>
            <w:r w:rsidRPr="008B6C6C">
              <w:rPr>
                <w:b w:val="0"/>
              </w:rPr>
              <w:fldChar w:fldCharType="end"/>
            </w:r>
            <w:r w:rsidRPr="008B6C6C">
              <w:rPr>
                <w:b w:val="0"/>
              </w:rPr>
              <w:t xml:space="preserve">. </w:t>
            </w:r>
            <w:r w:rsidR="00050920">
              <w:rPr>
                <w:b w:val="0"/>
              </w:rPr>
              <w:t>Porcentaje del g</w:t>
            </w:r>
            <w:r w:rsidR="00050920" w:rsidRPr="008B6C6C">
              <w:rPr>
                <w:b w:val="0"/>
              </w:rPr>
              <w:t>asto empresarial en I+D ejecutado</w:t>
            </w:r>
            <w:r w:rsidR="00050920">
              <w:rPr>
                <w:b w:val="0"/>
              </w:rPr>
              <w:t xml:space="preserve"> por PYME y grandes empresas</w:t>
            </w:r>
            <w:bookmarkEnd w:id="68"/>
            <w:bookmarkEnd w:id="69"/>
          </w:p>
        </w:tc>
      </w:tr>
      <w:tr w:rsidR="00E14754" w:rsidRPr="00050920" w14:paraId="07140AF0"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257" w:type="pct"/>
            <w:tcBorders>
              <w:top w:val="single" w:sz="12" w:space="0" w:color="003399"/>
              <w:left w:val="none" w:sz="0" w:space="0" w:color="auto"/>
              <w:bottom w:val="single" w:sz="6" w:space="0" w:color="000000" w:themeColor="text1"/>
              <w:right w:val="single" w:sz="4" w:space="0" w:color="BFBFBF" w:themeColor="background1" w:themeShade="BF"/>
            </w:tcBorders>
            <w:shd w:val="clear" w:color="auto" w:fill="auto"/>
            <w:vAlign w:val="center"/>
          </w:tcPr>
          <w:p w14:paraId="27F709BC" w14:textId="0AE27007" w:rsidR="00E14754" w:rsidRPr="006E344A" w:rsidRDefault="00050920" w:rsidP="00BF5F60">
            <w:pPr>
              <w:spacing w:after="0"/>
              <w:contextualSpacing/>
              <w:rPr>
                <w:rFonts w:ascii="Century Gothic" w:hAnsi="Century Gothic" w:cs="Arial"/>
                <w:color w:val="000000"/>
                <w:sz w:val="18"/>
                <w:szCs w:val="18"/>
                <w:lang w:val="es-ES" w:eastAsia="nl-BE"/>
              </w:rPr>
            </w:pPr>
            <w:r>
              <w:rPr>
                <w:rFonts w:eastAsia="Times New Roman" w:cs="Times New Roman"/>
                <w:color w:val="auto"/>
              </w:rPr>
              <w:object w:dxaOrig="4620" w:dyaOrig="4365" w14:anchorId="2F65B0B9">
                <v:shape id="_x0000_i1032" type="#_x0000_t75" style="width:230.75pt;height:217.15pt" o:ole="">
                  <v:imagedata r:id="rId49" o:title=""/>
                </v:shape>
                <o:OLEObject Type="Embed" ProgID="PBrush" ShapeID="_x0000_i1032" DrawAspect="Content" ObjectID="_1602306102" r:id="rId50"/>
              </w:object>
            </w:r>
          </w:p>
        </w:tc>
        <w:tc>
          <w:tcPr>
            <w:tcW w:w="1743" w:type="pct"/>
            <w:tcBorders>
              <w:top w:val="single" w:sz="12" w:space="0" w:color="003399"/>
              <w:left w:val="single" w:sz="4" w:space="0" w:color="BFBFBF" w:themeColor="background1" w:themeShade="BF"/>
              <w:bottom w:val="single" w:sz="6" w:space="0" w:color="000000" w:themeColor="text1"/>
              <w:right w:val="nil"/>
            </w:tcBorders>
            <w:shd w:val="clear" w:color="auto" w:fill="auto"/>
            <w:vAlign w:val="center"/>
          </w:tcPr>
          <w:p w14:paraId="4B3D3B2D" w14:textId="2BF07F02" w:rsidR="00E14754" w:rsidRPr="006E344A" w:rsidRDefault="00050920" w:rsidP="00BF5F60">
            <w:pPr>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eastAsia="Times New Roman" w:cs="Times New Roman"/>
                <w:color w:val="auto"/>
              </w:rPr>
              <w:object w:dxaOrig="4320" w:dyaOrig="4245" w14:anchorId="735354FD">
                <v:shape id="_x0000_i1033" type="#_x0000_t75" style="width:3in;height:214.8pt" o:ole="">
                  <v:imagedata r:id="rId51" o:title=""/>
                </v:shape>
                <o:OLEObject Type="Embed" ProgID="PBrush" ShapeID="_x0000_i1033" DrawAspect="Content" ObjectID="_1602306103" r:id="rId52"/>
              </w:object>
            </w:r>
          </w:p>
        </w:tc>
      </w:tr>
      <w:tr w:rsidR="00E14754" w:rsidRPr="00B94974" w14:paraId="046D5019" w14:textId="77777777" w:rsidTr="00BF5F60">
        <w:trPr>
          <w:gridAfter w:val="1"/>
          <w:wAfter w:w="1743" w:type="pct"/>
          <w:trHeight w:val="250"/>
        </w:trPr>
        <w:tc>
          <w:tcPr>
            <w:cnfStyle w:val="001000000000" w:firstRow="0" w:lastRow="0" w:firstColumn="1" w:lastColumn="0" w:oddVBand="0" w:evenVBand="0" w:oddHBand="0" w:evenHBand="0" w:firstRowFirstColumn="0" w:firstRowLastColumn="0" w:lastRowFirstColumn="0" w:lastRowLastColumn="0"/>
            <w:tcW w:w="3257" w:type="pct"/>
            <w:tcBorders>
              <w:top w:val="single" w:sz="6" w:space="0" w:color="000000" w:themeColor="text1"/>
              <w:left w:val="none" w:sz="0" w:space="0" w:color="auto"/>
              <w:bottom w:val="none" w:sz="0" w:space="0" w:color="auto"/>
              <w:right w:val="nil"/>
            </w:tcBorders>
            <w:shd w:val="clear" w:color="auto" w:fill="auto"/>
            <w:vAlign w:val="center"/>
          </w:tcPr>
          <w:p w14:paraId="26F447A5" w14:textId="59B6BE33" w:rsidR="00E14754" w:rsidRPr="006C0C5A" w:rsidRDefault="00065DBD" w:rsidP="00BF5F60">
            <w:pPr>
              <w:contextualSpacing/>
              <w:rPr>
                <w:rFonts w:ascii="Century Gothic" w:hAnsi="Century Gothic" w:cs="Arial"/>
                <w:color w:val="000000"/>
                <w:sz w:val="18"/>
                <w:szCs w:val="18"/>
                <w:lang w:val="es-ES"/>
              </w:rPr>
            </w:pPr>
            <w:r w:rsidRPr="006C0C5A">
              <w:rPr>
                <w:rFonts w:ascii="Century Gothic" w:hAnsi="Century Gothic" w:cs="Arial"/>
                <w:i/>
                <w:color w:val="000000"/>
                <w:sz w:val="16"/>
                <w:szCs w:val="16"/>
                <w:lang w:val="es-ES"/>
              </w:rPr>
              <w:t xml:space="preserve">Fuente: </w:t>
            </w:r>
            <w:r>
              <w:rPr>
                <w:rFonts w:ascii="Century Gothic" w:hAnsi="Century Gothic" w:cs="Arial"/>
                <w:i/>
                <w:color w:val="000000"/>
                <w:sz w:val="16"/>
                <w:szCs w:val="16"/>
                <w:lang w:val="es-ES"/>
              </w:rPr>
              <w:t>Eurostat datos de 2015</w:t>
            </w:r>
          </w:p>
        </w:tc>
      </w:tr>
    </w:tbl>
    <w:p w14:paraId="70A689AC" w14:textId="77777777" w:rsidR="00DD5060" w:rsidRDefault="00DD5060" w:rsidP="00BF4C30">
      <w:pPr>
        <w:pStyle w:val="Body"/>
        <w:spacing w:after="0"/>
      </w:pPr>
    </w:p>
    <w:p w14:paraId="3FFC8D56" w14:textId="77777777" w:rsidR="00DD5060" w:rsidRDefault="00DD5060" w:rsidP="00E14754">
      <w:pPr>
        <w:pStyle w:val="Body"/>
      </w:pPr>
      <w:r>
        <w:t>En correspondencia con esta mayor participación en los recursos (</w:t>
      </w:r>
      <w:r w:rsidRPr="0002318D">
        <w:rPr>
          <w:i/>
        </w:rPr>
        <w:t>inputs</w:t>
      </w:r>
      <w:r>
        <w:t>), las PYME españolas también obtienen una mayor participación en los resultados (</w:t>
      </w:r>
      <w:r w:rsidRPr="0002318D">
        <w:rPr>
          <w:i/>
        </w:rPr>
        <w:t>outputs</w:t>
      </w:r>
      <w:r>
        <w:t>). Por ejemplo, según estimaciones de Eurostat</w:t>
      </w:r>
      <w:r>
        <w:rPr>
          <w:rStyle w:val="Refdenotaalpie"/>
        </w:rPr>
        <w:footnoteReference w:id="47"/>
      </w:r>
      <w:r>
        <w:t xml:space="preserve"> sobre las patentes europeas del sector empresarial, las PYME españolas solicitan el 35% de las patentes de origen empresarial, un porcentaje similar al de las PYME italianas (37%) y británicas (35%), y muy superior al de las PYME alemanas (10%) o francesas (14%).</w:t>
      </w:r>
    </w:p>
    <w:p w14:paraId="5E67FDB8" w14:textId="77777777" w:rsidR="00065DBD" w:rsidRDefault="00DD5060" w:rsidP="00E14754">
      <w:pPr>
        <w:pStyle w:val="Body"/>
      </w:pPr>
      <w:r>
        <w:t xml:space="preserve">Sin embargo, hay que tener en cuenta que tanto en </w:t>
      </w:r>
      <w:r w:rsidRPr="0002318D">
        <w:rPr>
          <w:i/>
        </w:rPr>
        <w:t>inputs</w:t>
      </w:r>
      <w:r>
        <w:t xml:space="preserve"> totales (p.e. gasto en I+D/PIB) como en </w:t>
      </w:r>
      <w:r w:rsidRPr="0002318D">
        <w:rPr>
          <w:i/>
        </w:rPr>
        <w:t>outputs</w:t>
      </w:r>
      <w:r>
        <w:t xml:space="preserve"> totales (p.e. patentes europeas/millón de habitantes), la economía española se sitúa más bien por debajo de la media de la UE. </w:t>
      </w:r>
    </w:p>
    <w:p w14:paraId="343E5AE6" w14:textId="4FA7F70A" w:rsidR="00065DBD" w:rsidRDefault="00D73558" w:rsidP="00E14754">
      <w:pPr>
        <w:pStyle w:val="Body"/>
      </w:pPr>
      <w:r>
        <w:t xml:space="preserve">A lo largo de la última década </w:t>
      </w:r>
      <w:r w:rsidR="001877D5">
        <w:t>España ha sido un país moderadamente innovador</w:t>
      </w:r>
      <w:r w:rsidR="00065DBD">
        <w:t xml:space="preserve">, como </w:t>
      </w:r>
      <w:r w:rsidR="00DD5060">
        <w:t xml:space="preserve">ha venido reflejando el análisis que la Comisión Europea realiza anualmente de los resultados de la innovación en los países europeos, el </w:t>
      </w:r>
      <w:r w:rsidR="00DD5060" w:rsidRPr="00C948A4">
        <w:rPr>
          <w:i/>
        </w:rPr>
        <w:t>European Innovation Scoreboard</w:t>
      </w:r>
      <w:r w:rsidR="00DD5060">
        <w:t xml:space="preserve">. En la edición de 2017, todas las regiones españolas, salvo una, están clasificadas como innovadoras moderadas o modestas, como se observa en el </w:t>
      </w:r>
      <w:r w:rsidR="00DD5060" w:rsidRPr="006E08FD">
        <w:rPr>
          <w:highlight w:val="yellow"/>
        </w:rPr>
        <w:t xml:space="preserve">gráfico </w:t>
      </w:r>
      <w:r w:rsidR="00065DBD">
        <w:t>2</w:t>
      </w:r>
      <w:r w:rsidR="00550DAC">
        <w:t>3</w:t>
      </w:r>
      <w:r w:rsidR="00DD5060">
        <w:t xml:space="preserve">. </w:t>
      </w:r>
      <w:r w:rsidR="00065DBD">
        <w:t xml:space="preserve">Respecto a </w:t>
      </w:r>
      <w:r w:rsidR="00DD5060">
        <w:t xml:space="preserve"> los indicadores de innovación </w:t>
      </w:r>
      <w:r w:rsidR="00065DBD">
        <w:t>específicos de</w:t>
      </w:r>
      <w:r w:rsidR="00DD5060">
        <w:t xml:space="preserve"> PYME, España puntúa </w:t>
      </w:r>
      <w:r w:rsidR="00065DBD">
        <w:t xml:space="preserve">muy </w:t>
      </w:r>
      <w:r w:rsidR="00DD5060">
        <w:t xml:space="preserve">por debajo de la media europea en todos ellos, </w:t>
      </w:r>
      <w:r w:rsidR="00065DBD">
        <w:t>siendo especialmente preocupante el indicador relacionado con la innovación interna de las PYME</w:t>
      </w:r>
      <w:r w:rsidR="00065DBD" w:rsidRPr="00B5567F">
        <w:t xml:space="preserve"> </w:t>
      </w:r>
      <w:r w:rsidR="00DD5060">
        <w:t xml:space="preserve">con una brecha de más de </w:t>
      </w:r>
      <w:r w:rsidR="00065DBD">
        <w:t xml:space="preserve">70 </w:t>
      </w:r>
      <w:r w:rsidR="00DD5060">
        <w:t>puntos porcentuales</w:t>
      </w:r>
      <w:r w:rsidR="00DD5060">
        <w:rPr>
          <w:rStyle w:val="Refdenotaalpie"/>
          <w:rFonts w:ascii="Arial" w:hAnsi="Arial" w:cs="Arial"/>
          <w:sz w:val="22"/>
        </w:rPr>
        <w:footnoteReference w:id="48"/>
      </w:r>
      <w:r w:rsidR="00DD5060">
        <w:t xml:space="preserve">, </w:t>
      </w:r>
      <w:r w:rsidR="00065DBD">
        <w:t>respecto a la media de la UE</w:t>
      </w:r>
      <w:r w:rsidR="00DD5060">
        <w:t>.</w:t>
      </w:r>
    </w:p>
    <w:tbl>
      <w:tblPr>
        <w:tblStyle w:val="Style1"/>
        <w:tblW w:w="0" w:type="auto"/>
        <w:tblLook w:val="04A0" w:firstRow="1" w:lastRow="0" w:firstColumn="1" w:lastColumn="0" w:noHBand="0" w:noVBand="1"/>
      </w:tblPr>
      <w:tblGrid>
        <w:gridCol w:w="9071"/>
      </w:tblGrid>
      <w:tr w:rsidR="00065DBD" w:rsidRPr="007916CD" w14:paraId="5A8380F7" w14:textId="77777777" w:rsidTr="00B80C8C">
        <w:tc>
          <w:tcPr>
            <w:tcW w:w="9211" w:type="dxa"/>
          </w:tcPr>
          <w:p w14:paraId="7A84FA4E" w14:textId="65F51D05" w:rsidR="00065DBD" w:rsidRPr="00D45B95" w:rsidRDefault="00065DBD" w:rsidP="00D73558">
            <w:pPr>
              <w:pStyle w:val="Body"/>
              <w:spacing w:after="80"/>
              <w:jc w:val="center"/>
              <w:rPr>
                <w:sz w:val="18"/>
                <w:szCs w:val="18"/>
              </w:rPr>
            </w:pPr>
            <w:bookmarkStart w:id="70" w:name="_Toc526942131"/>
            <w:r w:rsidRPr="00D45B95">
              <w:rPr>
                <w:sz w:val="18"/>
                <w:szCs w:val="18"/>
              </w:rPr>
              <w:lastRenderedPageBreak/>
              <w:t xml:space="preserve">Gráfico </w:t>
            </w:r>
            <w:r w:rsidRPr="00D45B95">
              <w:rPr>
                <w:sz w:val="18"/>
                <w:szCs w:val="18"/>
              </w:rPr>
              <w:fldChar w:fldCharType="begin"/>
            </w:r>
            <w:r w:rsidRPr="00D45B95">
              <w:rPr>
                <w:sz w:val="18"/>
                <w:szCs w:val="18"/>
              </w:rPr>
              <w:instrText xml:space="preserve"> SEQ Gráfico \* ARABIC </w:instrText>
            </w:r>
            <w:r w:rsidRPr="00D45B95">
              <w:rPr>
                <w:sz w:val="18"/>
                <w:szCs w:val="18"/>
              </w:rPr>
              <w:fldChar w:fldCharType="separate"/>
            </w:r>
            <w:r w:rsidR="00764C39">
              <w:rPr>
                <w:noProof/>
                <w:sz w:val="18"/>
                <w:szCs w:val="18"/>
              </w:rPr>
              <w:t>23</w:t>
            </w:r>
            <w:r w:rsidRPr="00D45B95">
              <w:rPr>
                <w:sz w:val="18"/>
                <w:szCs w:val="18"/>
              </w:rPr>
              <w:fldChar w:fldCharType="end"/>
            </w:r>
            <w:r w:rsidRPr="00D45B95">
              <w:rPr>
                <w:sz w:val="18"/>
                <w:szCs w:val="18"/>
              </w:rPr>
              <w:t>.</w:t>
            </w:r>
            <w:r w:rsidRPr="00D45B95">
              <w:rPr>
                <w:b/>
                <w:sz w:val="18"/>
                <w:szCs w:val="18"/>
              </w:rPr>
              <w:t xml:space="preserve"> </w:t>
            </w:r>
            <w:r w:rsidRPr="00D45B95">
              <w:rPr>
                <w:sz w:val="18"/>
                <w:szCs w:val="18"/>
              </w:rPr>
              <w:t>Comisión Europea, 2017 Regional Innovation Scoreboard</w:t>
            </w:r>
            <w:bookmarkEnd w:id="70"/>
          </w:p>
        </w:tc>
      </w:tr>
      <w:tr w:rsidR="00065DBD" w14:paraId="09A53D86" w14:textId="77777777" w:rsidTr="00B8402B">
        <w:trPr>
          <w:trHeight w:val="5790"/>
        </w:trPr>
        <w:tc>
          <w:tcPr>
            <w:tcW w:w="9211" w:type="dxa"/>
          </w:tcPr>
          <w:p w14:paraId="01F75C86" w14:textId="7520D443" w:rsidR="00065DBD" w:rsidRDefault="00F16D09" w:rsidP="00F16D09">
            <w:pPr>
              <w:pStyle w:val="Body"/>
              <w:spacing w:after="0"/>
              <w:jc w:val="center"/>
            </w:pPr>
            <w:r>
              <w:object w:dxaOrig="5505" w:dyaOrig="5325" w14:anchorId="09B80EEA">
                <v:shape id="_x0000_i1034" type="#_x0000_t75" style="width:275.25pt;height:266.25pt" o:ole="">
                  <v:imagedata r:id="rId53" o:title=""/>
                </v:shape>
                <o:OLEObject Type="Embed" ProgID="PBrush" ShapeID="_x0000_i1034" DrawAspect="Content" ObjectID="_1602306104" r:id="rId54"/>
              </w:object>
            </w:r>
          </w:p>
        </w:tc>
      </w:tr>
    </w:tbl>
    <w:p w14:paraId="4397BC1A" w14:textId="5CA668BD" w:rsidR="0075031B" w:rsidRPr="00A64B9C" w:rsidRDefault="00D73558" w:rsidP="0075031B">
      <w:pPr>
        <w:pStyle w:val="Body"/>
      </w:pPr>
      <w:bookmarkStart w:id="71" w:name="_Toc489524659"/>
      <w:r>
        <w:t xml:space="preserve">Todo ello, a pesar de </w:t>
      </w:r>
      <w:r w:rsidR="00B8402B">
        <w:t>las</w:t>
      </w:r>
      <w:r w:rsidR="00B8402B" w:rsidRPr="00A64B9C">
        <w:t xml:space="preserve"> bonificaciones fiscales a las actividades de I+D</w:t>
      </w:r>
      <w:r w:rsidR="00B8402B">
        <w:t xml:space="preserve"> y de </w:t>
      </w:r>
      <w:r>
        <w:t xml:space="preserve">los </w:t>
      </w:r>
      <w:r w:rsidRPr="00A64B9C">
        <w:t xml:space="preserve">instrumentos financieros </w:t>
      </w:r>
      <w:r>
        <w:t xml:space="preserve">ofrecidos tanto por </w:t>
      </w:r>
      <w:r w:rsidRPr="00A64B9C">
        <w:t xml:space="preserve">la Unión Europea (dentro del Programa Marco Horizonte 2020), como </w:t>
      </w:r>
      <w:r w:rsidR="00B8402B">
        <w:t>por las Administraciones públicas españolas (</w:t>
      </w:r>
      <w:r w:rsidRPr="00A64B9C">
        <w:t xml:space="preserve">CDTI, ENISA, </w:t>
      </w:r>
      <w:r w:rsidRPr="002E37B6">
        <w:t>las SGR</w:t>
      </w:r>
      <w:r>
        <w:t xml:space="preserve">, </w:t>
      </w:r>
      <w:r w:rsidR="00B8402B">
        <w:t>etc.)</w:t>
      </w:r>
      <w:r>
        <w:t>.</w:t>
      </w:r>
      <w:r w:rsidR="0075031B" w:rsidRPr="00A64B9C">
        <w:t xml:space="preserve"> </w:t>
      </w:r>
    </w:p>
    <w:p w14:paraId="2F180D15" w14:textId="572CB1B4" w:rsidR="0075031B" w:rsidRPr="00A64B9C" w:rsidRDefault="00B8402B" w:rsidP="0075031B">
      <w:pPr>
        <w:pStyle w:val="Body"/>
      </w:pPr>
      <w:r>
        <w:t xml:space="preserve">Si analizamos los motivos, vemos por un lado </w:t>
      </w:r>
      <w:r w:rsidR="00550DAC">
        <w:t>que,</w:t>
      </w:r>
      <w:r>
        <w:t xml:space="preserve"> aunque e</w:t>
      </w:r>
      <w:r w:rsidR="0075031B" w:rsidRPr="00A64B9C">
        <w:t xml:space="preserve">l sistema español de bonificaciones fiscales a I+D </w:t>
      </w:r>
      <w:r>
        <w:t>se puede calificar de</w:t>
      </w:r>
      <w:r w:rsidR="0075031B" w:rsidRPr="00A64B9C">
        <w:t xml:space="preserve"> generoso en comparación con el contexto internacional, son pocas las empresas que </w:t>
      </w:r>
      <w:r>
        <w:t xml:space="preserve">lo </w:t>
      </w:r>
      <w:r w:rsidR="0075031B" w:rsidRPr="00A64B9C">
        <w:t xml:space="preserve">utilizan, en parte debido a la complejidad de los requisitos administrativos. Para impulsar el acceso a las bonificaciones fiscales de I+D </w:t>
      </w:r>
      <w:r>
        <w:t>deberían</w:t>
      </w:r>
      <w:r w:rsidR="0075031B" w:rsidRPr="00A64B9C">
        <w:t xml:space="preserve"> simplificarse los procedimientos y anunciarlos de forma oportuna</w:t>
      </w:r>
      <w:r w:rsidR="0075031B" w:rsidRPr="00A64B9C">
        <w:rPr>
          <w:vertAlign w:val="superscript"/>
          <w:lang w:val="en-GB"/>
        </w:rPr>
        <w:footnoteReference w:id="49"/>
      </w:r>
      <w:r w:rsidR="00673557">
        <w:t>, además de eliminar la incertidumbre que supone para las empresas no conocer con seguridad el montante final de la deducción</w:t>
      </w:r>
      <w:r w:rsidR="0092212D">
        <w:t xml:space="preserve"> (las resoluciones de la Agencia Tributaria pueden diferir de las certificaciones de gasto del CDTI)</w:t>
      </w:r>
      <w:r w:rsidR="0075031B" w:rsidRPr="00A64B9C">
        <w:t>.</w:t>
      </w:r>
    </w:p>
    <w:p w14:paraId="1AB971CB" w14:textId="23AE957F" w:rsidR="0075031B" w:rsidRPr="00C94546" w:rsidRDefault="00B8402B" w:rsidP="0075031B">
      <w:pPr>
        <w:pStyle w:val="Body"/>
      </w:pPr>
      <w:r>
        <w:t xml:space="preserve">Por otro lado, </w:t>
      </w:r>
      <w:r w:rsidR="0075031B">
        <w:t xml:space="preserve">una parte significativa del presupuesto público para innovación no ha llegado a gastarse </w:t>
      </w:r>
      <w:r>
        <w:t xml:space="preserve">en los últimos años </w:t>
      </w:r>
      <w:r w:rsidR="0075031B">
        <w:t>porque se asignó a préstamos para empresas para sus actividades de I+D</w:t>
      </w:r>
      <w:r>
        <w:t xml:space="preserve">, los cuales </w:t>
      </w:r>
      <w:r w:rsidR="0075031B">
        <w:t>no llegaron a solicitarse. Es necesario</w:t>
      </w:r>
      <w:r w:rsidR="005F53D4">
        <w:t>, por tanto,</w:t>
      </w:r>
      <w:r w:rsidR="0075031B">
        <w:t xml:space="preserve"> buscar fórmulas que incrementen las actividades de I+D de las empresas </w:t>
      </w:r>
      <w:r w:rsidR="00C94546">
        <w:t xml:space="preserve">(por ejemplo subvenciones que ayuden a </w:t>
      </w:r>
      <w:r w:rsidR="00C94546" w:rsidRPr="00C94546">
        <w:t>cubrir el riesgo técnico que supone la I+D</w:t>
      </w:r>
      <w:r w:rsidR="00C94546">
        <w:t>)</w:t>
      </w:r>
      <w:r w:rsidR="00C94546" w:rsidRPr="00C94546">
        <w:t xml:space="preserve"> </w:t>
      </w:r>
      <w:r w:rsidR="0075031B">
        <w:t>y frenar la elevada fuga de investigadores cualificados</w:t>
      </w:r>
      <w:r w:rsidR="0075031B" w:rsidRPr="00A64B9C">
        <w:rPr>
          <w:vertAlign w:val="superscript"/>
          <w:lang w:val="en-GB"/>
        </w:rPr>
        <w:footnoteReference w:id="50"/>
      </w:r>
      <w:r w:rsidR="0075031B">
        <w:t>.</w:t>
      </w:r>
    </w:p>
    <w:p w14:paraId="4BE51F0A" w14:textId="4345527B" w:rsidR="00DE5118" w:rsidRDefault="00DE5118" w:rsidP="00550DAC">
      <w:pPr>
        <w:pStyle w:val="Body"/>
      </w:pPr>
      <w:r>
        <w:t xml:space="preserve">La política en innovación </w:t>
      </w:r>
      <w:r w:rsidR="00550DAC">
        <w:t xml:space="preserve">ha sido y </w:t>
      </w:r>
      <w:r>
        <w:t>es una constante de los gobiernos tanto europeos como españoles.</w:t>
      </w:r>
      <w:r w:rsidR="00550DAC">
        <w:t xml:space="preserve"> Cabe destacar en el ámbito europeo la </w:t>
      </w:r>
      <w:r>
        <w:t>Estrategia Europa 2020</w:t>
      </w:r>
      <w:r w:rsidR="00550DAC">
        <w:t xml:space="preserve"> que</w:t>
      </w:r>
      <w:r>
        <w:t xml:space="preserve"> busca que </w:t>
      </w:r>
      <w:r w:rsidR="00550DAC">
        <w:t xml:space="preserve">la </w:t>
      </w:r>
      <w:r w:rsidR="00550DAC">
        <w:lastRenderedPageBreak/>
        <w:t>UE</w:t>
      </w:r>
      <w:r w:rsidRPr="00230F7C">
        <w:t xml:space="preserve"> </w:t>
      </w:r>
      <w:r w:rsidRPr="00577DE8">
        <w:rPr>
          <w:bCs/>
        </w:rPr>
        <w:t>se convierta en una economía inteligente, sostenible e integradora</w:t>
      </w:r>
      <w:r w:rsidRPr="00577DE8">
        <w:t>.</w:t>
      </w:r>
      <w:r>
        <w:t xml:space="preserve"> </w:t>
      </w:r>
      <w:r w:rsidR="00550DAC">
        <w:t xml:space="preserve">Bajo este paraguas cada Estado miembro ha preparado sus </w:t>
      </w:r>
      <w:r w:rsidRPr="00577DE8">
        <w:rPr>
          <w:bCs/>
        </w:rPr>
        <w:t>estrategias</w:t>
      </w:r>
      <w:r>
        <w:rPr>
          <w:bCs/>
        </w:rPr>
        <w:t xml:space="preserve"> de especialización inteligente</w:t>
      </w:r>
      <w:r w:rsidRPr="00577DE8">
        <w:t xml:space="preserve">, a fin de que los Fondos Estructurales y de Inversión Europeos puedan utilizarse de forma </w:t>
      </w:r>
      <w:r w:rsidRPr="00577DE8">
        <w:rPr>
          <w:bCs/>
        </w:rPr>
        <w:t xml:space="preserve">más eficaz y puedan aumentarse las sinergias </w:t>
      </w:r>
      <w:r w:rsidRPr="00577DE8">
        <w:t>entre las diferentes políticas regionales, nacionales y de la UE, y las</w:t>
      </w:r>
      <w:r>
        <w:t xml:space="preserve"> </w:t>
      </w:r>
      <w:r w:rsidRPr="00577DE8">
        <w:t xml:space="preserve">inversiones públicas y privadas. </w:t>
      </w:r>
    </w:p>
    <w:p w14:paraId="6F2F663A" w14:textId="2D1FB664" w:rsidR="00DE5118" w:rsidRDefault="00DE5118" w:rsidP="00DE5118">
      <w:pPr>
        <w:pStyle w:val="Body"/>
      </w:pPr>
      <w:r w:rsidRPr="00577DE8">
        <w:t>Las estrategias de investigación e innovación nacionales y regionales para la especialización inteligente</w:t>
      </w:r>
      <w:r>
        <w:t xml:space="preserve"> </w:t>
      </w:r>
      <w:r w:rsidRPr="00577DE8">
        <w:t>(estrategias de RIS3</w:t>
      </w:r>
      <w:r>
        <w:rPr>
          <w:rStyle w:val="Refdenotaalpie"/>
        </w:rPr>
        <w:footnoteReference w:id="51"/>
      </w:r>
      <w:r w:rsidRPr="00577DE8">
        <w:t>) consisten en agendas integradas de transformación económica territorial</w:t>
      </w:r>
      <w:r>
        <w:t xml:space="preserve"> </w:t>
      </w:r>
      <w:r w:rsidRPr="00577DE8">
        <w:t xml:space="preserve">que </w:t>
      </w:r>
      <w:r>
        <w:t xml:space="preserve">buscan que </w:t>
      </w:r>
      <w:r w:rsidRPr="0001640B">
        <w:t xml:space="preserve">cada región </w:t>
      </w:r>
      <w:r>
        <w:t>se</w:t>
      </w:r>
      <w:r w:rsidRPr="0001640B">
        <w:rPr>
          <w:bCs/>
        </w:rPr>
        <w:t xml:space="preserve"> focali</w:t>
      </w:r>
      <w:r>
        <w:rPr>
          <w:bCs/>
        </w:rPr>
        <w:t>ce</w:t>
      </w:r>
      <w:r w:rsidRPr="0001640B">
        <w:rPr>
          <w:bCs/>
        </w:rPr>
        <w:t xml:space="preserve"> en sus ventajas comparativas y competitivas</w:t>
      </w:r>
      <w:r>
        <w:rPr>
          <w:bCs/>
        </w:rPr>
        <w:t xml:space="preserve">, de manera que se </w:t>
      </w:r>
      <w:r w:rsidRPr="0001640B">
        <w:rPr>
          <w:bCs/>
        </w:rPr>
        <w:t>especiali</w:t>
      </w:r>
      <w:r>
        <w:rPr>
          <w:bCs/>
        </w:rPr>
        <w:t>c</w:t>
      </w:r>
      <w:r w:rsidRPr="0001640B">
        <w:rPr>
          <w:bCs/>
        </w:rPr>
        <w:t>e en los ámbitos de la economía del conocimiento en los que pueda competir globalmente</w:t>
      </w:r>
      <w:r w:rsidRPr="0001640B">
        <w:t xml:space="preserve">. </w:t>
      </w:r>
      <w:r w:rsidR="00550DAC">
        <w:t xml:space="preserve">En el caso de España, </w:t>
      </w:r>
      <w:r>
        <w:t xml:space="preserve">las CCAA han definido sus </w:t>
      </w:r>
      <w:r w:rsidR="00550DAC">
        <w:t>e</w:t>
      </w:r>
      <w:r w:rsidRPr="000F1106">
        <w:t xml:space="preserve">strategias </w:t>
      </w:r>
      <w:r>
        <w:t xml:space="preserve">que junto con la </w:t>
      </w:r>
      <w:r w:rsidRPr="000F1106">
        <w:t xml:space="preserve">Estrategia Española </w:t>
      </w:r>
      <w:r>
        <w:t>d</w:t>
      </w:r>
      <w:r w:rsidRPr="000F1106">
        <w:t xml:space="preserve">e Ciencia, Tecnología </w:t>
      </w:r>
      <w:r>
        <w:t>e</w:t>
      </w:r>
      <w:r w:rsidRPr="000F1106">
        <w:t xml:space="preserve"> Innovación </w:t>
      </w:r>
      <w:r w:rsidR="00550DAC">
        <w:t>y sus</w:t>
      </w:r>
      <w:r w:rsidRPr="000F1106">
        <w:t xml:space="preserve"> Planes Estatales </w:t>
      </w:r>
      <w:r w:rsidR="00550DAC">
        <w:t xml:space="preserve">y de actuación anuales </w:t>
      </w:r>
      <w:r w:rsidRPr="000F1106">
        <w:t>constituyen la Estrategia Española para la Especialización Inteligente.</w:t>
      </w:r>
    </w:p>
    <w:p w14:paraId="272B2B30" w14:textId="17AC3FCE" w:rsidR="000B170B" w:rsidRDefault="00DD5060" w:rsidP="00DD5060">
      <w:pPr>
        <w:pStyle w:val="Body"/>
      </w:pPr>
      <w:r>
        <w:t xml:space="preserve">En </w:t>
      </w:r>
      <w:r w:rsidR="00B8402B">
        <w:t xml:space="preserve">cuanto al </w:t>
      </w:r>
      <w:r w:rsidR="00D7782B">
        <w:t>estado</w:t>
      </w:r>
      <w:r w:rsidR="00B8402B">
        <w:t xml:space="preserve"> de la digitalización</w:t>
      </w:r>
      <w:r w:rsidR="00D7782B">
        <w:t xml:space="preserve"> en España, se</w:t>
      </w:r>
      <w:r>
        <w:t xml:space="preserve"> ha avanzado de manera positiva, según la Comisión Europea</w:t>
      </w:r>
      <w:r>
        <w:rPr>
          <w:rStyle w:val="Refdenotaalpie"/>
        </w:rPr>
        <w:footnoteReference w:id="52"/>
      </w:r>
      <w:r w:rsidR="00DD263E">
        <w:t>, situándo</w:t>
      </w:r>
      <w:r w:rsidR="00D7782B">
        <w:t>nos</w:t>
      </w:r>
      <w:r w:rsidR="00DD263E">
        <w:t xml:space="preserve"> en el </w:t>
      </w:r>
      <w:r w:rsidR="00DD263E" w:rsidRPr="00DD263E">
        <w:t>grupo de países de resultados intermedios</w:t>
      </w:r>
      <w:r w:rsidR="00DD263E">
        <w:t xml:space="preserve"> (</w:t>
      </w:r>
      <w:r w:rsidR="00DD263E" w:rsidRPr="00DD263E">
        <w:rPr>
          <w:highlight w:val="yellow"/>
        </w:rPr>
        <w:t xml:space="preserve">gráfico </w:t>
      </w:r>
      <w:r w:rsidR="00D45B95">
        <w:t>2</w:t>
      </w:r>
      <w:r w:rsidR="00D7782B">
        <w:t>4</w:t>
      </w:r>
      <w:r w:rsidR="00DD263E">
        <w:t>)</w:t>
      </w:r>
      <w:r>
        <w:t xml:space="preserve">. </w:t>
      </w:r>
    </w:p>
    <w:tbl>
      <w:tblPr>
        <w:tblStyle w:val="Style1"/>
        <w:tblW w:w="0" w:type="auto"/>
        <w:tblLook w:val="04A0" w:firstRow="1" w:lastRow="0" w:firstColumn="1" w:lastColumn="0" w:noHBand="0" w:noVBand="1"/>
      </w:tblPr>
      <w:tblGrid>
        <w:gridCol w:w="9071"/>
      </w:tblGrid>
      <w:tr w:rsidR="00DD263E" w:rsidRPr="00D45B95" w14:paraId="6C648105" w14:textId="77777777" w:rsidTr="00B80C8C">
        <w:tc>
          <w:tcPr>
            <w:tcW w:w="9211" w:type="dxa"/>
          </w:tcPr>
          <w:p w14:paraId="3CBAFC0E" w14:textId="272E6FAD" w:rsidR="00DD263E" w:rsidRPr="00D45B95" w:rsidRDefault="00DD263E" w:rsidP="002E37B6">
            <w:pPr>
              <w:pStyle w:val="Body"/>
              <w:jc w:val="center"/>
              <w:rPr>
                <w:sz w:val="18"/>
                <w:szCs w:val="18"/>
              </w:rPr>
            </w:pPr>
            <w:bookmarkStart w:id="72" w:name="_Toc526942132"/>
            <w:r w:rsidRPr="00D45B95">
              <w:rPr>
                <w:sz w:val="18"/>
                <w:szCs w:val="18"/>
              </w:rPr>
              <w:t xml:space="preserve">Gráfico </w:t>
            </w:r>
            <w:r w:rsidRPr="00D45B95">
              <w:rPr>
                <w:sz w:val="18"/>
                <w:szCs w:val="18"/>
              </w:rPr>
              <w:fldChar w:fldCharType="begin"/>
            </w:r>
            <w:r w:rsidRPr="00D45B95">
              <w:rPr>
                <w:sz w:val="18"/>
                <w:szCs w:val="18"/>
              </w:rPr>
              <w:instrText xml:space="preserve"> SEQ Gráfico \* ARABIC </w:instrText>
            </w:r>
            <w:r w:rsidRPr="00D45B95">
              <w:rPr>
                <w:sz w:val="18"/>
                <w:szCs w:val="18"/>
              </w:rPr>
              <w:fldChar w:fldCharType="separate"/>
            </w:r>
            <w:r w:rsidR="00764C39">
              <w:rPr>
                <w:noProof/>
                <w:sz w:val="18"/>
                <w:szCs w:val="18"/>
              </w:rPr>
              <w:t>24</w:t>
            </w:r>
            <w:r w:rsidRPr="00D45B95">
              <w:rPr>
                <w:sz w:val="18"/>
                <w:szCs w:val="18"/>
              </w:rPr>
              <w:fldChar w:fldCharType="end"/>
            </w:r>
            <w:r w:rsidRPr="00D45B95">
              <w:rPr>
                <w:sz w:val="18"/>
                <w:szCs w:val="18"/>
              </w:rPr>
              <w:t>. DESI 2017</w:t>
            </w:r>
            <w:bookmarkEnd w:id="72"/>
          </w:p>
        </w:tc>
      </w:tr>
      <w:tr w:rsidR="00DD263E" w:rsidRPr="00DD263E" w14:paraId="05F7C2E6" w14:textId="77777777" w:rsidTr="00B8402B">
        <w:trPr>
          <w:trHeight w:val="3634"/>
        </w:trPr>
        <w:tc>
          <w:tcPr>
            <w:tcW w:w="9211" w:type="dxa"/>
          </w:tcPr>
          <w:p w14:paraId="66B69825" w14:textId="55695A6E" w:rsidR="00DD263E" w:rsidRDefault="00DD263E" w:rsidP="00DD5060">
            <w:pPr>
              <w:pStyle w:val="Body"/>
            </w:pPr>
            <w:r>
              <w:rPr>
                <w:noProof/>
                <w:lang w:eastAsia="es-ES"/>
              </w:rPr>
              <w:drawing>
                <wp:inline distT="0" distB="0" distL="0" distR="0" wp14:anchorId="45BF2133" wp14:editId="1AE80CBB">
                  <wp:extent cx="5809809" cy="2295525"/>
                  <wp:effectExtent l="0" t="0" r="635" b="0"/>
                  <wp:docPr id="222221" name="Imagen 22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11782" cy="2296304"/>
                          </a:xfrm>
                          <a:prstGeom prst="rect">
                            <a:avLst/>
                          </a:prstGeom>
                        </pic:spPr>
                      </pic:pic>
                    </a:graphicData>
                  </a:graphic>
                </wp:inline>
              </w:drawing>
            </w:r>
          </w:p>
        </w:tc>
      </w:tr>
      <w:tr w:rsidR="00DD263E" w:rsidRPr="007916CD" w14:paraId="0BAA4ABE" w14:textId="77777777" w:rsidTr="00B80C8C">
        <w:tc>
          <w:tcPr>
            <w:tcW w:w="9211" w:type="dxa"/>
          </w:tcPr>
          <w:p w14:paraId="6C797C81" w14:textId="0FE27119" w:rsidR="00DD263E" w:rsidRPr="00DD263E" w:rsidRDefault="002E37B6" w:rsidP="00DD5060">
            <w:pPr>
              <w:pStyle w:val="Body"/>
              <w:rPr>
                <w:i/>
                <w:noProof/>
                <w:sz w:val="16"/>
                <w:szCs w:val="16"/>
                <w:lang w:eastAsia="es-ES"/>
              </w:rPr>
            </w:pPr>
            <w:r>
              <w:rPr>
                <w:i/>
                <w:noProof/>
                <w:sz w:val="16"/>
                <w:szCs w:val="16"/>
                <w:lang w:eastAsia="es-ES"/>
              </w:rPr>
              <w:t xml:space="preserve">Fuente: </w:t>
            </w:r>
            <w:r w:rsidR="00DD263E" w:rsidRPr="00DD263E">
              <w:rPr>
                <w:i/>
                <w:noProof/>
                <w:sz w:val="16"/>
                <w:szCs w:val="16"/>
                <w:lang w:eastAsia="es-ES"/>
              </w:rPr>
              <w:t>Informe sobre el progreso digital en Europa (EDPR): Perfil de España</w:t>
            </w:r>
            <w:r w:rsidR="00DD263E">
              <w:rPr>
                <w:i/>
                <w:noProof/>
                <w:sz w:val="16"/>
                <w:szCs w:val="16"/>
                <w:lang w:eastAsia="es-ES"/>
              </w:rPr>
              <w:t xml:space="preserve"> 2017</w:t>
            </w:r>
          </w:p>
        </w:tc>
      </w:tr>
    </w:tbl>
    <w:p w14:paraId="37F0385F" w14:textId="77777777" w:rsidR="00DD263E" w:rsidRPr="00DD263E" w:rsidRDefault="00DD263E" w:rsidP="00BF4C30">
      <w:pPr>
        <w:pStyle w:val="Body"/>
        <w:spacing w:after="0"/>
      </w:pPr>
    </w:p>
    <w:p w14:paraId="15A4DECA" w14:textId="77777777" w:rsidR="00D7782B" w:rsidRDefault="00D7782B" w:rsidP="00D7782B">
      <w:pPr>
        <w:pStyle w:val="Body"/>
      </w:pPr>
      <w:r>
        <w:t>Según el “</w:t>
      </w:r>
      <w:r w:rsidRPr="00D7782B">
        <w:t>Informe sobre el progreso digital en Europa (EDPR): Perfil de España</w:t>
      </w:r>
      <w:r>
        <w:t>”, hemos avanzado de manera positiva en lo relativo a la integración de la tecnología digital por parte de las empresas.</w:t>
      </w:r>
    </w:p>
    <w:p w14:paraId="7C22C463" w14:textId="7DDA1EE9" w:rsidR="00DD5060" w:rsidRPr="005F6D50" w:rsidRDefault="00DD5060" w:rsidP="00D7782B">
      <w:pPr>
        <w:pStyle w:val="Body"/>
      </w:pPr>
      <w:r>
        <w:t xml:space="preserve">Cada vez hay más empresas españolas que aprovechan las posibilidades que ofrece el comercio en línea: el 19 % de las PYME venden en internet (por encima del 17 % de la media de la UE) y el 9,4 % de su volumen de negocios procede de las ventas en línea. Además, una </w:t>
      </w:r>
      <w:r>
        <w:lastRenderedPageBreak/>
        <w:t>cuarta parte de las PYME utiliza la facturación electrónica, un valor muy superior a la media de la UE (</w:t>
      </w:r>
      <w:r w:rsidRPr="008A1883">
        <w:rPr>
          <w:highlight w:val="yellow"/>
        </w:rPr>
        <w:t xml:space="preserve">tabla </w:t>
      </w:r>
      <w:r w:rsidR="00F17B41">
        <w:t>9</w:t>
      </w:r>
      <w:r>
        <w:t>).</w:t>
      </w:r>
      <w:r w:rsidR="00AE3720" w:rsidRPr="00AE3720">
        <w:t xml:space="preserve"> Sin embargo, las PYME españolas aún no están al nivel de la media europea en cuanto a venta transfronteriza en línea. </w:t>
      </w:r>
    </w:p>
    <w:p w14:paraId="5CD4FBB4" w14:textId="4DF66EF8" w:rsidR="00E14754" w:rsidRPr="008B6C6C" w:rsidRDefault="00E14754" w:rsidP="00E14754">
      <w:pPr>
        <w:pStyle w:val="Descripcin1"/>
        <w:rPr>
          <w:b w:val="0"/>
        </w:rPr>
      </w:pPr>
      <w:bookmarkStart w:id="73" w:name="_Toc526515599"/>
      <w:r w:rsidRPr="008B6C6C">
        <w:rPr>
          <w:b w:val="0"/>
        </w:rPr>
        <w:t xml:space="preserve">Tabla </w:t>
      </w:r>
      <w:r w:rsidRPr="008B6C6C">
        <w:rPr>
          <w:b w:val="0"/>
        </w:rPr>
        <w:fldChar w:fldCharType="begin"/>
      </w:r>
      <w:r w:rsidRPr="008B6C6C">
        <w:rPr>
          <w:b w:val="0"/>
        </w:rPr>
        <w:instrText xml:space="preserve"> SEQ Tabla \* ARABIC </w:instrText>
      </w:r>
      <w:r w:rsidRPr="008B6C6C">
        <w:rPr>
          <w:b w:val="0"/>
        </w:rPr>
        <w:fldChar w:fldCharType="separate"/>
      </w:r>
      <w:r w:rsidR="00764C39">
        <w:rPr>
          <w:b w:val="0"/>
          <w:noProof/>
        </w:rPr>
        <w:t>9</w:t>
      </w:r>
      <w:r w:rsidRPr="008B6C6C">
        <w:rPr>
          <w:b w:val="0"/>
        </w:rPr>
        <w:fldChar w:fldCharType="end"/>
      </w:r>
      <w:r w:rsidRPr="008B6C6C">
        <w:rPr>
          <w:b w:val="0"/>
        </w:rPr>
        <w:t>. Indicadores DESI de Digitalización de las empresas españolas</w:t>
      </w:r>
      <w:bookmarkEnd w:id="71"/>
      <w:bookmarkEnd w:id="73"/>
    </w:p>
    <w:tbl>
      <w:tblPr>
        <w:tblStyle w:val="Listamedia2"/>
        <w:tblW w:w="5000" w:type="pct"/>
        <w:tblCellMar>
          <w:top w:w="108" w:type="dxa"/>
          <w:bottom w:w="108" w:type="dxa"/>
        </w:tblCellMar>
        <w:tblLook w:val="04A0" w:firstRow="1" w:lastRow="0" w:firstColumn="1" w:lastColumn="0" w:noHBand="0" w:noVBand="1"/>
      </w:tblPr>
      <w:tblGrid>
        <w:gridCol w:w="4111"/>
        <w:gridCol w:w="1236"/>
        <w:gridCol w:w="1852"/>
        <w:gridCol w:w="1852"/>
      </w:tblGrid>
      <w:tr w:rsidR="00E14754" w:rsidRPr="0071424F" w14:paraId="0B94EABD" w14:textId="77777777" w:rsidTr="002506CD">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2271" w:type="pct"/>
            <w:tcBorders>
              <w:top w:val="single" w:sz="12" w:space="0" w:color="FFCC00"/>
              <w:left w:val="none" w:sz="0" w:space="0" w:color="auto"/>
              <w:bottom w:val="nil"/>
              <w:right w:val="none" w:sz="0" w:space="0" w:color="auto"/>
            </w:tcBorders>
            <w:shd w:val="clear" w:color="auto" w:fill="auto"/>
            <w:vAlign w:val="center"/>
          </w:tcPr>
          <w:p w14:paraId="71C91E66" w14:textId="77777777" w:rsidR="00E14754" w:rsidRPr="0071424F" w:rsidRDefault="00E14754" w:rsidP="000D203E">
            <w:pPr>
              <w:spacing w:after="0"/>
              <w:contextualSpacing/>
              <w:jc w:val="center"/>
              <w:rPr>
                <w:rFonts w:ascii="Century Gothic" w:hAnsi="Century Gothic" w:cs="Arial"/>
                <w:b/>
                <w:bCs/>
                <w:color w:val="333333"/>
                <w:sz w:val="18"/>
                <w:szCs w:val="18"/>
                <w:lang w:val="es-ES" w:eastAsia="en-GB"/>
              </w:rPr>
            </w:pPr>
          </w:p>
        </w:tc>
        <w:tc>
          <w:tcPr>
            <w:tcW w:w="1706" w:type="pct"/>
            <w:gridSpan w:val="2"/>
            <w:tcBorders>
              <w:top w:val="single" w:sz="12" w:space="0" w:color="FFCC00"/>
              <w:left w:val="none" w:sz="0" w:space="0" w:color="auto"/>
              <w:bottom w:val="nil"/>
              <w:right w:val="none" w:sz="0" w:space="0" w:color="auto"/>
            </w:tcBorders>
            <w:shd w:val="clear" w:color="auto" w:fill="auto"/>
            <w:vAlign w:val="center"/>
          </w:tcPr>
          <w:p w14:paraId="4BA0327B" w14:textId="77777777" w:rsidR="00E14754" w:rsidRPr="0071424F" w:rsidRDefault="00E14754" w:rsidP="000D203E">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España</w:t>
            </w:r>
          </w:p>
        </w:tc>
        <w:tc>
          <w:tcPr>
            <w:tcW w:w="1023" w:type="pct"/>
            <w:tcBorders>
              <w:top w:val="single" w:sz="12" w:space="0" w:color="FFCC00"/>
              <w:left w:val="none" w:sz="0" w:space="0" w:color="auto"/>
              <w:bottom w:val="nil"/>
              <w:right w:val="none" w:sz="0" w:space="0" w:color="auto"/>
            </w:tcBorders>
            <w:shd w:val="clear" w:color="auto" w:fill="auto"/>
            <w:vAlign w:val="center"/>
          </w:tcPr>
          <w:p w14:paraId="5BBD633C" w14:textId="77777777" w:rsidR="00E14754" w:rsidRPr="0071424F" w:rsidRDefault="00E14754" w:rsidP="000D203E">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UE</w:t>
            </w:r>
          </w:p>
        </w:tc>
      </w:tr>
      <w:tr w:rsidR="00E14754" w:rsidRPr="0071424F" w14:paraId="4174F7D3" w14:textId="77777777" w:rsidTr="00250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71" w:type="pct"/>
            <w:tcBorders>
              <w:top w:val="none" w:sz="0" w:space="0" w:color="auto"/>
              <w:left w:val="none" w:sz="0" w:space="0" w:color="auto"/>
              <w:bottom w:val="single" w:sz="6" w:space="0" w:color="000000" w:themeColor="text1"/>
              <w:right w:val="nil"/>
            </w:tcBorders>
            <w:shd w:val="clear" w:color="auto" w:fill="auto"/>
            <w:vAlign w:val="center"/>
            <w:hideMark/>
          </w:tcPr>
          <w:p w14:paraId="6AFE0463" w14:textId="77777777" w:rsidR="00E14754" w:rsidRPr="0071424F" w:rsidRDefault="00E14754" w:rsidP="000D203E">
            <w:pPr>
              <w:spacing w:after="0"/>
              <w:contextualSpacing/>
              <w:jc w:val="center"/>
              <w:rPr>
                <w:rFonts w:ascii="Century Gothic" w:hAnsi="Century Gothic" w:cs="Arial"/>
                <w:b/>
                <w:bCs/>
                <w:color w:val="333333"/>
                <w:sz w:val="18"/>
                <w:szCs w:val="18"/>
                <w:lang w:val="es-ES" w:eastAsia="en-GB"/>
              </w:rPr>
            </w:pPr>
          </w:p>
        </w:tc>
        <w:tc>
          <w:tcPr>
            <w:tcW w:w="683" w:type="pct"/>
            <w:tcBorders>
              <w:top w:val="none" w:sz="0" w:space="0" w:color="auto"/>
              <w:left w:val="none" w:sz="0" w:space="0" w:color="auto"/>
              <w:bottom w:val="single" w:sz="6" w:space="0" w:color="000000" w:themeColor="text1"/>
              <w:right w:val="none" w:sz="0" w:space="0" w:color="auto"/>
            </w:tcBorders>
            <w:shd w:val="clear" w:color="auto" w:fill="auto"/>
            <w:vAlign w:val="center"/>
          </w:tcPr>
          <w:p w14:paraId="2DFB3EDB" w14:textId="77777777" w:rsidR="00E14754" w:rsidRPr="0071424F" w:rsidRDefault="00E14754"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DESI 2017</w:t>
            </w:r>
          </w:p>
        </w:tc>
        <w:tc>
          <w:tcPr>
            <w:tcW w:w="1023" w:type="pct"/>
            <w:tcBorders>
              <w:top w:val="none" w:sz="0" w:space="0" w:color="auto"/>
              <w:left w:val="none" w:sz="0" w:space="0" w:color="auto"/>
              <w:bottom w:val="single" w:sz="6" w:space="0" w:color="000000" w:themeColor="text1"/>
              <w:right w:val="none" w:sz="0" w:space="0" w:color="auto"/>
            </w:tcBorders>
            <w:shd w:val="clear" w:color="auto" w:fill="auto"/>
            <w:vAlign w:val="center"/>
          </w:tcPr>
          <w:p w14:paraId="1AA718D3" w14:textId="77777777" w:rsidR="00E14754" w:rsidRPr="0071424F" w:rsidRDefault="00E14754"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DESI 2016</w:t>
            </w:r>
          </w:p>
        </w:tc>
        <w:tc>
          <w:tcPr>
            <w:tcW w:w="1023" w:type="pct"/>
            <w:tcBorders>
              <w:top w:val="none" w:sz="0" w:space="0" w:color="auto"/>
              <w:left w:val="none" w:sz="0" w:space="0" w:color="auto"/>
              <w:bottom w:val="single" w:sz="6" w:space="0" w:color="000000" w:themeColor="text1"/>
              <w:right w:val="nil"/>
            </w:tcBorders>
            <w:shd w:val="clear" w:color="auto" w:fill="auto"/>
            <w:vAlign w:val="center"/>
          </w:tcPr>
          <w:p w14:paraId="17701226" w14:textId="77777777" w:rsidR="00E14754" w:rsidRPr="0071424F" w:rsidRDefault="00E14754"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DESI 2017</w:t>
            </w:r>
          </w:p>
        </w:tc>
      </w:tr>
      <w:tr w:rsidR="00E14754" w:rsidRPr="0071424F" w14:paraId="7ED025FE" w14:textId="77777777" w:rsidTr="002506CD">
        <w:trPr>
          <w:trHeight w:val="250"/>
        </w:trPr>
        <w:tc>
          <w:tcPr>
            <w:cnfStyle w:val="001000000000" w:firstRow="0" w:lastRow="0" w:firstColumn="1" w:lastColumn="0" w:oddVBand="0" w:evenVBand="0" w:oddHBand="0" w:evenHBand="0" w:firstRowFirstColumn="0" w:firstRowLastColumn="0" w:lastRowFirstColumn="0" w:lastRowLastColumn="0"/>
            <w:tcW w:w="2271" w:type="pct"/>
            <w:tcBorders>
              <w:top w:val="single" w:sz="6" w:space="0" w:color="000000" w:themeColor="text1"/>
              <w:left w:val="none" w:sz="0" w:space="0" w:color="auto"/>
              <w:bottom w:val="none" w:sz="0" w:space="0" w:color="auto"/>
              <w:right w:val="nil"/>
            </w:tcBorders>
            <w:shd w:val="clear" w:color="auto" w:fill="auto"/>
            <w:vAlign w:val="center"/>
            <w:hideMark/>
          </w:tcPr>
          <w:p w14:paraId="73762848" w14:textId="77777777" w:rsidR="00E14754" w:rsidRDefault="00E14754" w:rsidP="000D203E">
            <w:pPr>
              <w:spacing w:after="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PYME</w:t>
            </w:r>
            <w:r w:rsidRPr="009B6A4C">
              <w:rPr>
                <w:rFonts w:ascii="Century Gothic" w:hAnsi="Century Gothic" w:cs="Arial"/>
                <w:color w:val="000000"/>
                <w:sz w:val="18"/>
                <w:szCs w:val="18"/>
                <w:lang w:val="es-ES"/>
              </w:rPr>
              <w:t xml:space="preserve"> que realizan ventas en línea</w:t>
            </w:r>
          </w:p>
          <w:p w14:paraId="3F542016" w14:textId="3E5AA866" w:rsidR="002506CD" w:rsidRPr="009B6A4C" w:rsidRDefault="002506CD" w:rsidP="000D203E">
            <w:pPr>
              <w:spacing w:after="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 pymes)</w:t>
            </w:r>
          </w:p>
        </w:tc>
        <w:tc>
          <w:tcPr>
            <w:tcW w:w="683" w:type="pct"/>
            <w:tcBorders>
              <w:top w:val="single" w:sz="6" w:space="0" w:color="000000" w:themeColor="text1"/>
            </w:tcBorders>
            <w:shd w:val="clear" w:color="auto" w:fill="auto"/>
            <w:noWrap/>
            <w:vAlign w:val="center"/>
            <w:hideMark/>
          </w:tcPr>
          <w:p w14:paraId="195FBBF2" w14:textId="77777777" w:rsidR="00E14754" w:rsidRPr="009B6A4C" w:rsidRDefault="00E14754"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19 %</w:t>
            </w:r>
          </w:p>
        </w:tc>
        <w:tc>
          <w:tcPr>
            <w:tcW w:w="1023" w:type="pct"/>
            <w:tcBorders>
              <w:top w:val="single" w:sz="6" w:space="0" w:color="000000" w:themeColor="text1"/>
            </w:tcBorders>
            <w:shd w:val="clear" w:color="auto" w:fill="auto"/>
            <w:noWrap/>
            <w:vAlign w:val="center"/>
            <w:hideMark/>
          </w:tcPr>
          <w:p w14:paraId="08B9DF20" w14:textId="77777777" w:rsidR="00E14754" w:rsidRPr="009B6A4C" w:rsidRDefault="00E14754"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16%</w:t>
            </w:r>
          </w:p>
        </w:tc>
        <w:tc>
          <w:tcPr>
            <w:tcW w:w="1023" w:type="pct"/>
            <w:tcBorders>
              <w:top w:val="single" w:sz="6" w:space="0" w:color="000000" w:themeColor="text1"/>
              <w:right w:val="nil"/>
            </w:tcBorders>
            <w:shd w:val="clear" w:color="auto" w:fill="auto"/>
            <w:noWrap/>
            <w:vAlign w:val="center"/>
            <w:hideMark/>
          </w:tcPr>
          <w:p w14:paraId="5DB1888B" w14:textId="77777777" w:rsidR="00E14754" w:rsidRPr="009B6A4C" w:rsidRDefault="00E14754"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17%</w:t>
            </w:r>
          </w:p>
        </w:tc>
      </w:tr>
      <w:tr w:rsidR="00E14754" w:rsidRPr="0071424F" w14:paraId="37A4BA46" w14:textId="77777777" w:rsidTr="00250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71" w:type="pct"/>
            <w:tcBorders>
              <w:top w:val="none" w:sz="0" w:space="0" w:color="auto"/>
              <w:left w:val="none" w:sz="0" w:space="0" w:color="auto"/>
              <w:bottom w:val="none" w:sz="0" w:space="0" w:color="auto"/>
              <w:right w:val="nil"/>
            </w:tcBorders>
            <w:shd w:val="clear" w:color="auto" w:fill="auto"/>
            <w:vAlign w:val="center"/>
          </w:tcPr>
          <w:p w14:paraId="124E77E3" w14:textId="3A131419" w:rsidR="00E14754" w:rsidRPr="009B6A4C" w:rsidRDefault="00E14754" w:rsidP="000D203E">
            <w:pPr>
              <w:spacing w:after="0"/>
              <w:contextualSpacing/>
              <w:jc w:val="center"/>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Volumen de negocios del comercio electrónico</w:t>
            </w:r>
            <w:r w:rsidR="002506CD">
              <w:rPr>
                <w:rFonts w:ascii="Century Gothic" w:hAnsi="Century Gothic" w:cs="Arial"/>
                <w:color w:val="000000"/>
                <w:sz w:val="18"/>
                <w:szCs w:val="18"/>
                <w:lang w:val="es-ES"/>
              </w:rPr>
              <w:t xml:space="preserve"> (% volumen negocios pymes)</w:t>
            </w:r>
          </w:p>
        </w:tc>
        <w:tc>
          <w:tcPr>
            <w:tcW w:w="683" w:type="pct"/>
            <w:tcBorders>
              <w:top w:val="none" w:sz="0" w:space="0" w:color="auto"/>
              <w:left w:val="none" w:sz="0" w:space="0" w:color="auto"/>
              <w:bottom w:val="none" w:sz="0" w:space="0" w:color="auto"/>
              <w:right w:val="none" w:sz="0" w:space="0" w:color="auto"/>
            </w:tcBorders>
            <w:shd w:val="clear" w:color="auto" w:fill="auto"/>
            <w:noWrap/>
            <w:vAlign w:val="center"/>
          </w:tcPr>
          <w:p w14:paraId="675A079E" w14:textId="77777777" w:rsidR="00E14754" w:rsidRPr="009B6A4C" w:rsidRDefault="00E14754"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9,4%</w:t>
            </w:r>
          </w:p>
        </w:tc>
        <w:tc>
          <w:tcPr>
            <w:tcW w:w="1023" w:type="pct"/>
            <w:tcBorders>
              <w:top w:val="none" w:sz="0" w:space="0" w:color="auto"/>
              <w:left w:val="none" w:sz="0" w:space="0" w:color="auto"/>
              <w:bottom w:val="none" w:sz="0" w:space="0" w:color="auto"/>
              <w:right w:val="none" w:sz="0" w:space="0" w:color="auto"/>
            </w:tcBorders>
            <w:shd w:val="clear" w:color="auto" w:fill="auto"/>
            <w:noWrap/>
            <w:vAlign w:val="center"/>
          </w:tcPr>
          <w:p w14:paraId="03E33588" w14:textId="77777777" w:rsidR="00E14754" w:rsidRPr="009B6A4C" w:rsidRDefault="00E14754"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7,3%</w:t>
            </w:r>
          </w:p>
        </w:tc>
        <w:tc>
          <w:tcPr>
            <w:tcW w:w="1023" w:type="pct"/>
            <w:tcBorders>
              <w:top w:val="none" w:sz="0" w:space="0" w:color="auto"/>
              <w:left w:val="none" w:sz="0" w:space="0" w:color="auto"/>
              <w:bottom w:val="none" w:sz="0" w:space="0" w:color="auto"/>
              <w:right w:val="nil"/>
            </w:tcBorders>
            <w:shd w:val="clear" w:color="auto" w:fill="auto"/>
            <w:noWrap/>
            <w:vAlign w:val="center"/>
          </w:tcPr>
          <w:p w14:paraId="3E8962EC" w14:textId="77777777" w:rsidR="00E14754" w:rsidRPr="009B6A4C" w:rsidRDefault="00E14754"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9,4%</w:t>
            </w:r>
          </w:p>
        </w:tc>
      </w:tr>
      <w:tr w:rsidR="00E14754" w:rsidRPr="0071424F" w14:paraId="3B8B8610" w14:textId="77777777" w:rsidTr="002506CD">
        <w:trPr>
          <w:trHeight w:val="250"/>
        </w:trPr>
        <w:tc>
          <w:tcPr>
            <w:cnfStyle w:val="001000000000" w:firstRow="0" w:lastRow="0" w:firstColumn="1" w:lastColumn="0" w:oddVBand="0" w:evenVBand="0" w:oddHBand="0" w:evenHBand="0" w:firstRowFirstColumn="0" w:firstRowLastColumn="0" w:lastRowFirstColumn="0" w:lastRowLastColumn="0"/>
            <w:tcW w:w="2271" w:type="pct"/>
            <w:tcBorders>
              <w:left w:val="none" w:sz="0" w:space="0" w:color="auto"/>
              <w:bottom w:val="none" w:sz="0" w:space="0" w:color="auto"/>
              <w:right w:val="nil"/>
            </w:tcBorders>
            <w:shd w:val="clear" w:color="auto" w:fill="auto"/>
            <w:vAlign w:val="center"/>
          </w:tcPr>
          <w:p w14:paraId="458ACE4B" w14:textId="1C8482C5" w:rsidR="00E14754" w:rsidRPr="009B6A4C" w:rsidRDefault="00E14754" w:rsidP="000D203E">
            <w:pPr>
              <w:spacing w:after="0"/>
              <w:contextualSpacing/>
              <w:jc w:val="center"/>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Venta transfronteriza en línea</w:t>
            </w:r>
            <w:r w:rsidR="002506CD">
              <w:rPr>
                <w:rFonts w:ascii="Century Gothic" w:hAnsi="Century Gothic" w:cs="Arial"/>
                <w:color w:val="000000"/>
                <w:sz w:val="18"/>
                <w:szCs w:val="18"/>
                <w:lang w:val="es-ES"/>
              </w:rPr>
              <w:t xml:space="preserve"> (% pymes)</w:t>
            </w:r>
          </w:p>
        </w:tc>
        <w:tc>
          <w:tcPr>
            <w:tcW w:w="683" w:type="pct"/>
            <w:tcBorders>
              <w:bottom w:val="nil"/>
            </w:tcBorders>
            <w:shd w:val="clear" w:color="auto" w:fill="auto"/>
            <w:noWrap/>
            <w:vAlign w:val="center"/>
          </w:tcPr>
          <w:p w14:paraId="7918FC4B" w14:textId="77777777" w:rsidR="00E14754" w:rsidRPr="009B6A4C" w:rsidRDefault="00E14754"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5,9%</w:t>
            </w:r>
          </w:p>
        </w:tc>
        <w:tc>
          <w:tcPr>
            <w:tcW w:w="1023" w:type="pct"/>
            <w:tcBorders>
              <w:bottom w:val="nil"/>
            </w:tcBorders>
            <w:shd w:val="clear" w:color="auto" w:fill="auto"/>
            <w:noWrap/>
            <w:vAlign w:val="center"/>
          </w:tcPr>
          <w:p w14:paraId="4E93BC69" w14:textId="77777777" w:rsidR="00E14754" w:rsidRPr="009B6A4C" w:rsidRDefault="00E14754"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5,9%</w:t>
            </w:r>
          </w:p>
        </w:tc>
        <w:tc>
          <w:tcPr>
            <w:tcW w:w="1023" w:type="pct"/>
            <w:tcBorders>
              <w:bottom w:val="nil"/>
              <w:right w:val="nil"/>
            </w:tcBorders>
            <w:shd w:val="clear" w:color="auto" w:fill="auto"/>
            <w:noWrap/>
            <w:vAlign w:val="center"/>
          </w:tcPr>
          <w:p w14:paraId="14AFE908" w14:textId="77777777" w:rsidR="00E14754" w:rsidRPr="009B6A4C" w:rsidRDefault="00E14754"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9B6A4C">
              <w:rPr>
                <w:rFonts w:ascii="Century Gothic" w:hAnsi="Century Gothic" w:cs="Arial"/>
                <w:color w:val="000000"/>
                <w:sz w:val="18"/>
                <w:szCs w:val="18"/>
                <w:lang w:val="es-ES"/>
              </w:rPr>
              <w:t>7,5%</w:t>
            </w:r>
          </w:p>
        </w:tc>
      </w:tr>
      <w:tr w:rsidR="00864C5F" w:rsidRPr="0071424F" w14:paraId="5EB71C06" w14:textId="77777777" w:rsidTr="002506C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71" w:type="pct"/>
            <w:tcBorders>
              <w:top w:val="none" w:sz="0" w:space="0" w:color="auto"/>
              <w:left w:val="none" w:sz="0" w:space="0" w:color="auto"/>
              <w:bottom w:val="none" w:sz="0" w:space="0" w:color="auto"/>
              <w:right w:val="nil"/>
            </w:tcBorders>
            <w:shd w:val="clear" w:color="auto" w:fill="auto"/>
            <w:vAlign w:val="center"/>
          </w:tcPr>
          <w:p w14:paraId="72A2E974" w14:textId="6CE73AE1" w:rsidR="00864C5F" w:rsidRPr="009B6A4C" w:rsidRDefault="00864C5F" w:rsidP="000D203E">
            <w:pPr>
              <w:spacing w:after="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Facturas electrónicas</w:t>
            </w:r>
            <w:r w:rsidR="002506CD">
              <w:rPr>
                <w:rFonts w:ascii="Century Gothic" w:hAnsi="Century Gothic" w:cs="Arial"/>
                <w:color w:val="000000"/>
                <w:sz w:val="18"/>
                <w:szCs w:val="18"/>
                <w:lang w:val="es-ES"/>
              </w:rPr>
              <w:t xml:space="preserve"> (% empresas)</w:t>
            </w:r>
          </w:p>
        </w:tc>
        <w:tc>
          <w:tcPr>
            <w:tcW w:w="683" w:type="pct"/>
            <w:tcBorders>
              <w:top w:val="none" w:sz="0" w:space="0" w:color="auto"/>
              <w:left w:val="none" w:sz="0" w:space="0" w:color="auto"/>
              <w:bottom w:val="none" w:sz="0" w:space="0" w:color="auto"/>
              <w:right w:val="none" w:sz="0" w:space="0" w:color="auto"/>
            </w:tcBorders>
            <w:shd w:val="clear" w:color="auto" w:fill="auto"/>
            <w:noWrap/>
            <w:vAlign w:val="center"/>
          </w:tcPr>
          <w:p w14:paraId="6EE2F894" w14:textId="77777777" w:rsidR="00864C5F" w:rsidRPr="009B6A4C" w:rsidRDefault="00864C5F"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25%</w:t>
            </w:r>
          </w:p>
        </w:tc>
        <w:tc>
          <w:tcPr>
            <w:tcW w:w="1023" w:type="pct"/>
            <w:tcBorders>
              <w:top w:val="none" w:sz="0" w:space="0" w:color="auto"/>
              <w:left w:val="none" w:sz="0" w:space="0" w:color="auto"/>
              <w:bottom w:val="none" w:sz="0" w:space="0" w:color="auto"/>
              <w:right w:val="none" w:sz="0" w:space="0" w:color="auto"/>
            </w:tcBorders>
            <w:shd w:val="clear" w:color="auto" w:fill="auto"/>
            <w:noWrap/>
            <w:vAlign w:val="center"/>
          </w:tcPr>
          <w:p w14:paraId="14674645" w14:textId="77777777" w:rsidR="00864C5F" w:rsidRPr="009B6A4C" w:rsidRDefault="00864C5F"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10%</w:t>
            </w:r>
          </w:p>
        </w:tc>
        <w:tc>
          <w:tcPr>
            <w:tcW w:w="1023" w:type="pct"/>
            <w:tcBorders>
              <w:top w:val="none" w:sz="0" w:space="0" w:color="auto"/>
              <w:left w:val="none" w:sz="0" w:space="0" w:color="auto"/>
              <w:bottom w:val="none" w:sz="0" w:space="0" w:color="auto"/>
              <w:right w:val="nil"/>
            </w:tcBorders>
            <w:shd w:val="clear" w:color="auto" w:fill="auto"/>
            <w:noWrap/>
            <w:vAlign w:val="center"/>
          </w:tcPr>
          <w:p w14:paraId="58FF8C52" w14:textId="77777777" w:rsidR="00864C5F" w:rsidRPr="009B6A4C" w:rsidRDefault="00864C5F" w:rsidP="000D20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18%</w:t>
            </w:r>
          </w:p>
        </w:tc>
      </w:tr>
      <w:tr w:rsidR="00D7782B" w:rsidRPr="002506CD" w14:paraId="04DE8C8F" w14:textId="77777777" w:rsidTr="002506CD">
        <w:trPr>
          <w:trHeight w:val="250"/>
        </w:trPr>
        <w:tc>
          <w:tcPr>
            <w:cnfStyle w:val="001000000000" w:firstRow="0" w:lastRow="0" w:firstColumn="1" w:lastColumn="0" w:oddVBand="0" w:evenVBand="0" w:oddHBand="0" w:evenHBand="0" w:firstRowFirstColumn="0" w:firstRowLastColumn="0" w:lastRowFirstColumn="0" w:lastRowLastColumn="0"/>
            <w:tcW w:w="2271" w:type="pct"/>
            <w:tcBorders>
              <w:left w:val="none" w:sz="0" w:space="0" w:color="auto"/>
              <w:bottom w:val="single" w:sz="4" w:space="0" w:color="auto"/>
              <w:right w:val="nil"/>
            </w:tcBorders>
            <w:shd w:val="clear" w:color="auto" w:fill="auto"/>
            <w:vAlign w:val="center"/>
          </w:tcPr>
          <w:p w14:paraId="510D7BC5" w14:textId="61547F46" w:rsidR="00D7782B" w:rsidRDefault="002506CD" w:rsidP="000D203E">
            <w:pPr>
              <w:spacing w:after="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Intercambio electrónico de información (% empresas)</w:t>
            </w:r>
          </w:p>
        </w:tc>
        <w:tc>
          <w:tcPr>
            <w:tcW w:w="683" w:type="pct"/>
            <w:tcBorders>
              <w:top w:val="nil"/>
              <w:bottom w:val="single" w:sz="4" w:space="0" w:color="auto"/>
            </w:tcBorders>
            <w:shd w:val="clear" w:color="auto" w:fill="auto"/>
            <w:noWrap/>
            <w:vAlign w:val="center"/>
          </w:tcPr>
          <w:p w14:paraId="0D5211B5" w14:textId="58968BB3" w:rsidR="00D7782B" w:rsidRDefault="002506CD"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35%</w:t>
            </w:r>
          </w:p>
        </w:tc>
        <w:tc>
          <w:tcPr>
            <w:tcW w:w="1023" w:type="pct"/>
            <w:tcBorders>
              <w:top w:val="nil"/>
              <w:bottom w:val="single" w:sz="4" w:space="0" w:color="auto"/>
            </w:tcBorders>
            <w:shd w:val="clear" w:color="auto" w:fill="auto"/>
            <w:noWrap/>
            <w:vAlign w:val="center"/>
          </w:tcPr>
          <w:p w14:paraId="207DF7C4" w14:textId="26324098" w:rsidR="00D7782B" w:rsidRDefault="002506CD"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35%</w:t>
            </w:r>
          </w:p>
        </w:tc>
        <w:tc>
          <w:tcPr>
            <w:tcW w:w="1023" w:type="pct"/>
            <w:tcBorders>
              <w:top w:val="nil"/>
              <w:bottom w:val="single" w:sz="4" w:space="0" w:color="auto"/>
              <w:right w:val="nil"/>
            </w:tcBorders>
            <w:shd w:val="clear" w:color="auto" w:fill="auto"/>
            <w:noWrap/>
            <w:vAlign w:val="center"/>
          </w:tcPr>
          <w:p w14:paraId="1B96D7B9" w14:textId="1706CBFF" w:rsidR="00D7782B" w:rsidRDefault="002506CD" w:rsidP="000D20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36%</w:t>
            </w:r>
          </w:p>
        </w:tc>
      </w:tr>
      <w:tr w:rsidR="00E14754" w:rsidRPr="007916CD" w14:paraId="6E9AE3D8" w14:textId="77777777" w:rsidTr="000D203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none" w:sz="0" w:space="0" w:color="auto"/>
              <w:bottom w:val="none" w:sz="0" w:space="0" w:color="auto"/>
              <w:right w:val="nil"/>
            </w:tcBorders>
            <w:shd w:val="clear" w:color="auto" w:fill="auto"/>
            <w:vAlign w:val="center"/>
          </w:tcPr>
          <w:p w14:paraId="31BB0426" w14:textId="77777777" w:rsidR="00E14754" w:rsidRPr="003511C3" w:rsidRDefault="00E14754" w:rsidP="000D203E">
            <w:pPr>
              <w:spacing w:after="0"/>
              <w:contextualSpacing/>
              <w:jc w:val="left"/>
              <w:rPr>
                <w:rFonts w:ascii="Century Gothic" w:hAnsi="Century Gothic" w:cs="Arial"/>
                <w:i/>
                <w:color w:val="000000"/>
                <w:sz w:val="18"/>
                <w:szCs w:val="18"/>
                <w:lang w:val="es-ES"/>
              </w:rPr>
            </w:pPr>
            <w:r w:rsidRPr="003511C3">
              <w:rPr>
                <w:rFonts w:ascii="Century Gothic" w:hAnsi="Century Gothic" w:cs="Arial"/>
                <w:i/>
                <w:sz w:val="16"/>
                <w:szCs w:val="18"/>
                <w:lang w:val="es-ES" w:eastAsia="en-GB"/>
              </w:rPr>
              <w:t xml:space="preserve">Fuente: </w:t>
            </w:r>
            <w:r w:rsidRPr="003511C3">
              <w:rPr>
                <w:rFonts w:ascii="Century Gothic" w:hAnsi="Century Gothic" w:cs="Arial"/>
                <w:i/>
                <w:color w:val="000000"/>
                <w:sz w:val="16"/>
                <w:szCs w:val="18"/>
                <w:lang w:val="es-ES"/>
              </w:rPr>
              <w:t>elaboración propia, basad</w:t>
            </w:r>
            <w:r w:rsidR="00864C5F">
              <w:rPr>
                <w:rFonts w:ascii="Century Gothic" w:hAnsi="Century Gothic" w:cs="Arial"/>
                <w:i/>
                <w:color w:val="000000"/>
                <w:sz w:val="16"/>
                <w:szCs w:val="18"/>
                <w:lang w:val="es-ES"/>
              </w:rPr>
              <w:t>a</w:t>
            </w:r>
            <w:r w:rsidRPr="003511C3">
              <w:rPr>
                <w:rFonts w:ascii="Century Gothic" w:hAnsi="Century Gothic" w:cs="Arial"/>
                <w:i/>
                <w:color w:val="000000"/>
                <w:sz w:val="16"/>
                <w:szCs w:val="18"/>
                <w:lang w:val="es-ES"/>
              </w:rPr>
              <w:t xml:space="preserve"> en datos </w:t>
            </w:r>
            <w:r>
              <w:rPr>
                <w:rFonts w:ascii="Century Gothic" w:hAnsi="Century Gothic" w:cs="Arial"/>
                <w:i/>
                <w:color w:val="000000"/>
                <w:sz w:val="16"/>
                <w:szCs w:val="18"/>
                <w:lang w:val="es-ES"/>
              </w:rPr>
              <w:t xml:space="preserve">de </w:t>
            </w:r>
            <w:r w:rsidRPr="008B26C6">
              <w:rPr>
                <w:rFonts w:ascii="Century Gothic" w:hAnsi="Century Gothic" w:cs="Arial"/>
                <w:i/>
                <w:color w:val="000000"/>
                <w:sz w:val="16"/>
                <w:szCs w:val="18"/>
                <w:lang w:val="es-ES"/>
              </w:rPr>
              <w:t>Comisión Europea, The Digital Economy and Society Index (DESI)</w:t>
            </w:r>
          </w:p>
        </w:tc>
      </w:tr>
    </w:tbl>
    <w:p w14:paraId="1B722FD4" w14:textId="2AE0F721" w:rsidR="005338FA" w:rsidRDefault="00D22D1E" w:rsidP="00AE3720">
      <w:pPr>
        <w:pStyle w:val="Body"/>
        <w:spacing w:before="240"/>
      </w:pPr>
      <w:r>
        <w:t xml:space="preserve">Por otro lado, la transformación digital que supone la transición hacia el nuevo paradigma de la Industria 4.0 es una asignatura pendiente para el tejido empresarial español. </w:t>
      </w:r>
      <w:r w:rsidR="001032B5">
        <w:t>Efectivamente, si observamos el informe e-PYME 2017</w:t>
      </w:r>
      <w:r w:rsidR="001032B5">
        <w:rPr>
          <w:rStyle w:val="Refdenotaalpie"/>
        </w:rPr>
        <w:footnoteReference w:id="53"/>
      </w:r>
      <w:r w:rsidR="005338FA">
        <w:t xml:space="preserve"> vemos que solo el 29,8% de las microempresas tienen acceso a Internet y página web corporativa. Si analizamos el uso de tecnologías </w:t>
      </w:r>
      <w:r w:rsidR="00C0697E">
        <w:t xml:space="preserve">relacionadas con el paradigma </w:t>
      </w:r>
      <w:r w:rsidR="005338FA">
        <w:t xml:space="preserve">4.0, como el uso de soluciones de cloud computing, solo el 7,4% de las microempresas adquirieron este tipo de soluciones. Esta cifra aún es peor si vemos las actividades relacionadas con el big data, sólo el 2,4% de las microempresas hicieron algún uso (el 8,8% en caso de grandes y de pequeñas y medianas empresas). </w:t>
      </w:r>
    </w:p>
    <w:p w14:paraId="13757440" w14:textId="768DF482" w:rsidR="00C0697E" w:rsidRDefault="00C0697E" w:rsidP="00AE3720">
      <w:pPr>
        <w:pStyle w:val="Body"/>
        <w:spacing w:before="240"/>
      </w:pPr>
      <w:r>
        <w:t xml:space="preserve">Además, es importante contar con un capital humano preparado en TIC y </w:t>
      </w:r>
      <w:r w:rsidR="00771629">
        <w:t xml:space="preserve">en </w:t>
      </w:r>
      <w:r>
        <w:t xml:space="preserve">la realidad 4.0. En España, según el </w:t>
      </w:r>
      <w:r w:rsidRPr="00C0697E">
        <w:t>Informe sobre el progreso digital en Europa (EDPR) 2017: Perfil de España</w:t>
      </w:r>
      <w:r>
        <w:t xml:space="preserve">, </w:t>
      </w:r>
      <w:r w:rsidR="00771629">
        <w:t>a</w:t>
      </w:r>
      <w:r w:rsidR="00771629" w:rsidRPr="00771629">
        <w:t xml:space="preserve"> pesar de que cada vez hay más españoles que tienen acceso a internet, los niveles de competencias digitales básicas y avanzadas siguen siendo inferiores a la media de la UE. </w:t>
      </w:r>
      <w:r w:rsidR="00771629">
        <w:t>E</w:t>
      </w:r>
      <w:r w:rsidR="00771629" w:rsidRPr="00771629">
        <w:t xml:space="preserve">l 53% de los ciudadanos de entre 16 y 74 años disponen de competencias digitales básicas (56% en la UE), y los especialistas en TIC representan un porcentaje inferior de la población activa (2,4%, </w:t>
      </w:r>
      <w:r w:rsidR="00771629">
        <w:t>frente al</w:t>
      </w:r>
      <w:r w:rsidR="00771629" w:rsidRPr="00771629">
        <w:t xml:space="preserve"> 3,5% en la UE). </w:t>
      </w:r>
      <w:r w:rsidR="00771629">
        <w:t xml:space="preserve">En cambio, </w:t>
      </w:r>
      <w:r w:rsidR="00771629" w:rsidRPr="00771629">
        <w:t xml:space="preserve">España </w:t>
      </w:r>
      <w:r w:rsidR="00771629">
        <w:t>presenta</w:t>
      </w:r>
      <w:r w:rsidR="00771629" w:rsidRPr="00771629">
        <w:t xml:space="preserve"> resultados satisfactorios en lo relativo al número de graduados en CTIM (ciencia, tecnología, ingeniería y matemáticas), con una propor</w:t>
      </w:r>
      <w:r w:rsidR="001A163C">
        <w:t>ción de 21 graduados por cada 1.</w:t>
      </w:r>
      <w:r w:rsidR="00771629" w:rsidRPr="00771629">
        <w:t>000 individuos</w:t>
      </w:r>
      <w:r w:rsidR="00771629">
        <w:t>, superior a la media europea con 19 individuos</w:t>
      </w:r>
      <w:r w:rsidR="00771629" w:rsidRPr="00771629">
        <w:t>.</w:t>
      </w:r>
    </w:p>
    <w:p w14:paraId="037309E8" w14:textId="674D4C3A" w:rsidR="00D22D1E" w:rsidRDefault="00D22D1E" w:rsidP="00AE3720">
      <w:pPr>
        <w:pStyle w:val="Body"/>
        <w:spacing w:before="240"/>
      </w:pPr>
      <w:r>
        <w:t>Esta transformación impacta directamente sobre todas las dimensiones de las organizaciones:</w:t>
      </w:r>
    </w:p>
    <w:p w14:paraId="6F4FB2CA" w14:textId="581B8AFC" w:rsidR="00D22D1E" w:rsidRPr="00D22D1E" w:rsidRDefault="00D22D1E" w:rsidP="00757E55">
      <w:pPr>
        <w:pStyle w:val="Prrafodelista"/>
        <w:numPr>
          <w:ilvl w:val="1"/>
          <w:numId w:val="50"/>
        </w:numPr>
        <w:ind w:left="567"/>
        <w:rPr>
          <w:rFonts w:ascii="Century Gothic" w:hAnsi="Century Gothic"/>
          <w:lang w:val="es-ES"/>
        </w:rPr>
      </w:pPr>
      <w:r w:rsidRPr="00D22D1E">
        <w:rPr>
          <w:rFonts w:ascii="Century Gothic" w:hAnsi="Century Gothic"/>
          <w:lang w:val="es-ES"/>
        </w:rPr>
        <w:lastRenderedPageBreak/>
        <w:t>Procesos: la incorporación de tecnologías 4.0 permite incrementar la eficiencia, la flexibilidad y la reducción de los plazos de entrega de los productos. Esta incorporación conlleva, inevitablemente, la transformación de los procesos productivos e, incluso, un cambio radical de los mismos.</w:t>
      </w:r>
    </w:p>
    <w:p w14:paraId="5F8AE159" w14:textId="427E78F3" w:rsidR="00D22D1E" w:rsidRPr="00D22D1E" w:rsidRDefault="00D22D1E" w:rsidP="00757E55">
      <w:pPr>
        <w:pStyle w:val="Prrafodelista"/>
        <w:numPr>
          <w:ilvl w:val="1"/>
          <w:numId w:val="50"/>
        </w:numPr>
        <w:ind w:left="567"/>
        <w:rPr>
          <w:rFonts w:ascii="Century Gothic" w:hAnsi="Century Gothic"/>
          <w:lang w:val="es-ES"/>
        </w:rPr>
      </w:pPr>
      <w:r w:rsidRPr="00D22D1E">
        <w:rPr>
          <w:rFonts w:ascii="Century Gothic" w:hAnsi="Century Gothic"/>
          <w:lang w:val="es-ES"/>
        </w:rPr>
        <w:t>Productos: se mejoran las funcionalidades de los productos existentes con la incorporación de tecnologías, permitiendo su transformación y la generación de una variedad casi infinita de nuevos productos.</w:t>
      </w:r>
    </w:p>
    <w:p w14:paraId="6DF3F7CF" w14:textId="34BE6DDD" w:rsidR="00D22D1E" w:rsidRPr="00D22D1E" w:rsidRDefault="00D22D1E" w:rsidP="00757E55">
      <w:pPr>
        <w:pStyle w:val="Prrafodelista"/>
        <w:numPr>
          <w:ilvl w:val="1"/>
          <w:numId w:val="50"/>
        </w:numPr>
        <w:ind w:left="567"/>
        <w:rPr>
          <w:rFonts w:ascii="Century Gothic" w:hAnsi="Century Gothic"/>
          <w:lang w:val="es-ES"/>
        </w:rPr>
      </w:pPr>
      <w:r w:rsidRPr="00D22D1E">
        <w:rPr>
          <w:rFonts w:ascii="Century Gothic" w:hAnsi="Century Gothic"/>
          <w:lang w:val="es-ES"/>
        </w:rPr>
        <w:t xml:space="preserve">Modelos de negocio: supone un cambio en la forma en la que los productos se ponen a disposición de los clientes, provocando la servitización de </w:t>
      </w:r>
      <w:r w:rsidR="00C0697E">
        <w:rPr>
          <w:rFonts w:ascii="Century Gothic" w:hAnsi="Century Gothic"/>
          <w:lang w:val="es-ES"/>
        </w:rPr>
        <w:t>muchas</w:t>
      </w:r>
      <w:r w:rsidRPr="00D22D1E">
        <w:rPr>
          <w:rFonts w:ascii="Century Gothic" w:hAnsi="Century Gothic"/>
          <w:lang w:val="es-ES"/>
        </w:rPr>
        <w:t xml:space="preserve"> actividades industriales</w:t>
      </w:r>
      <w:r w:rsidR="00C0697E">
        <w:rPr>
          <w:rFonts w:ascii="Century Gothic" w:hAnsi="Century Gothic"/>
          <w:lang w:val="es-ES"/>
        </w:rPr>
        <w:t xml:space="preserve"> (del producto al servicio)</w:t>
      </w:r>
      <w:r w:rsidRPr="00D22D1E">
        <w:rPr>
          <w:rFonts w:ascii="Century Gothic" w:hAnsi="Century Gothic"/>
          <w:lang w:val="es-ES"/>
        </w:rPr>
        <w:t>, de forma que las empresas manufactureras se convierten en empresas que ofertan servicios adicionales a los bienes que fabrican.</w:t>
      </w:r>
    </w:p>
    <w:p w14:paraId="7A26F127" w14:textId="0435D28D" w:rsidR="00F16D09" w:rsidRDefault="006B35BF" w:rsidP="000F1106">
      <w:pPr>
        <w:pStyle w:val="Body"/>
      </w:pPr>
      <w:r>
        <w:t xml:space="preserve">Por otro lado, </w:t>
      </w:r>
      <w:r w:rsidRPr="006B35BF">
        <w:t xml:space="preserve">la convergencia y los avances en tecnologías como el Big Data, el Cloud Computing o el Internet Of Things (IoT) están impulsando el crecimiento y la innovación en </w:t>
      </w:r>
      <w:r w:rsidR="00006876">
        <w:t xml:space="preserve">otro conjunto de tecnologías que conforman </w:t>
      </w:r>
      <w:r w:rsidRPr="006B35BF">
        <w:t xml:space="preserve">la </w:t>
      </w:r>
      <w:r w:rsidR="00006876">
        <w:t xml:space="preserve">denominada </w:t>
      </w:r>
      <w:r>
        <w:t>inteligencia a</w:t>
      </w:r>
      <w:r w:rsidR="00F16D09">
        <w:t>rtificial (IA</w:t>
      </w:r>
      <w:r w:rsidR="00F16D09">
        <w:rPr>
          <w:rStyle w:val="Refdenotaalpie"/>
        </w:rPr>
        <w:footnoteReference w:id="54"/>
      </w:r>
      <w:r w:rsidR="00F16D09">
        <w:t>)</w:t>
      </w:r>
      <w:r>
        <w:t xml:space="preserve">. </w:t>
      </w:r>
      <w:r w:rsidRPr="006B35BF">
        <w:t>Mientras que el IoT supone un gran avance en el reto de la adquisición de los datos, es la IA la que aporta la inteligencia necesaria para la extracción del conocimiento e información relevante.</w:t>
      </w:r>
    </w:p>
    <w:p w14:paraId="71F93EFC" w14:textId="77777777" w:rsidR="006B35BF" w:rsidRPr="006B35BF" w:rsidRDefault="006B35BF" w:rsidP="006B35BF">
      <w:pPr>
        <w:pStyle w:val="Body"/>
      </w:pPr>
      <w:r w:rsidRPr="006B35BF">
        <w:t>La adopción de IA comporta una transformación profunda de las empresas, no tan solo a nivel de sus infraestructuras o procesos tecnológicos, sino también a nivel de organización y estrategia.</w:t>
      </w:r>
    </w:p>
    <w:p w14:paraId="34C845F6" w14:textId="2693B681" w:rsidR="006B35BF" w:rsidRDefault="001A163C" w:rsidP="006B35BF">
      <w:pPr>
        <w:pStyle w:val="Body"/>
      </w:pPr>
      <w:r>
        <w:t>L</w:t>
      </w:r>
      <w:r w:rsidR="006B35BF" w:rsidRPr="006B35BF">
        <w:t>a IA está transformando nuestro mundo, nuestra sociedad y nuestra industria. El crecimiento de la capacidad informática y la disponibilidad de datos, así como los avances en los algoritmos, han convertido la IA en una de las tecnologías más estratégicas del siglo XXI</w:t>
      </w:r>
      <w:r w:rsidR="006B35BF" w:rsidRPr="006B35BF">
        <w:rPr>
          <w:vertAlign w:val="superscript"/>
        </w:rPr>
        <w:footnoteReference w:id="55"/>
      </w:r>
      <w:r w:rsidR="006B35BF" w:rsidRPr="006B35BF">
        <w:t>.</w:t>
      </w:r>
    </w:p>
    <w:p w14:paraId="3DEDD116" w14:textId="327E5FED" w:rsidR="00006876" w:rsidRPr="00006876" w:rsidRDefault="00006876" w:rsidP="00006876">
      <w:pPr>
        <w:pStyle w:val="Body"/>
      </w:pPr>
      <w:r w:rsidRPr="00006876">
        <w:t>Un estudio realizado por PwC sobre IA y el IoT muestra que en 2030 el PIB mundial puede ser hasta un 14% mayor debido a la IA. El crecimiento de datos disponibles a nuestro alrededor es exponencial: se estima que el número de dispositivos de IoT pasará de 20 billones en 2017 a 75 billones en 2025. Esta sobre-abundancia de dispositivos que generan, y también consumen, constantemente una cantidad masiva de datos en tiempo real proporcionará a las empresas una oportunidad única para utilizar esta información y avanzar en el conocimiento del cliente y en generar una mejor experiencia con sus productos</w:t>
      </w:r>
      <w:r w:rsidR="007B1F38">
        <w:rPr>
          <w:rStyle w:val="Refdenotaalpie"/>
        </w:rPr>
        <w:footnoteReference w:id="56"/>
      </w:r>
      <w:r w:rsidRPr="00006876">
        <w:t>.</w:t>
      </w:r>
    </w:p>
    <w:p w14:paraId="7AE19111" w14:textId="5DD1E0D5" w:rsidR="006B35BF" w:rsidRPr="006B35BF" w:rsidRDefault="006B35BF" w:rsidP="006B35BF">
      <w:pPr>
        <w:pStyle w:val="Body"/>
      </w:pPr>
      <w:r w:rsidRPr="006B35BF">
        <w:t xml:space="preserve">En todo el mundo, los distintos países están abordando planes estratégicos y haciendo importantes inversiones en IA. Globalmente, Europa se sitúa a la zaga en inversiones privadas </w:t>
      </w:r>
      <w:r w:rsidR="001A163C">
        <w:lastRenderedPageBreak/>
        <w:t>e</w:t>
      </w:r>
      <w:r w:rsidRPr="006B35BF">
        <w:t>n IA, las cuales oscilaron entre 2</w:t>
      </w:r>
      <w:r w:rsidR="007B1F38">
        <w:t>.</w:t>
      </w:r>
      <w:r w:rsidRPr="006B35BF">
        <w:t>400 y 3</w:t>
      </w:r>
      <w:r w:rsidR="007B1F38">
        <w:t>.</w:t>
      </w:r>
      <w:r w:rsidRPr="006B35BF">
        <w:t>200 millones EUR en 2016, frente a 6</w:t>
      </w:r>
      <w:r w:rsidR="007B1F38">
        <w:t>.</w:t>
      </w:r>
      <w:r w:rsidRPr="006B35BF">
        <w:t>500-9</w:t>
      </w:r>
      <w:r w:rsidR="007B1F38">
        <w:t>.</w:t>
      </w:r>
      <w:r w:rsidRPr="006B35BF">
        <w:t>700 millones EUR en Asia y 12</w:t>
      </w:r>
      <w:r w:rsidR="007B1F38">
        <w:t>.</w:t>
      </w:r>
      <w:r w:rsidRPr="006B35BF">
        <w:t>100-18</w:t>
      </w:r>
      <w:r w:rsidR="007B1F38">
        <w:t>.</w:t>
      </w:r>
      <w:r w:rsidRPr="006B35BF">
        <w:t>600 millones EUR en América del Norte</w:t>
      </w:r>
      <w:r w:rsidR="00006876" w:rsidRPr="006B35BF">
        <w:rPr>
          <w:vertAlign w:val="superscript"/>
        </w:rPr>
        <w:footnoteReference w:id="57"/>
      </w:r>
      <w:r w:rsidRPr="006B35BF">
        <w:t>.</w:t>
      </w:r>
    </w:p>
    <w:p w14:paraId="6FC83A88" w14:textId="7EF9B0E9" w:rsidR="006B35BF" w:rsidRPr="006B35BF" w:rsidRDefault="006B35BF" w:rsidP="006B35BF">
      <w:pPr>
        <w:pStyle w:val="Body"/>
      </w:pPr>
      <w:r w:rsidRPr="006B35BF">
        <w:t xml:space="preserve">Aunque Europa acoge a una comunidad de investigación en materia de IA que es líder a nivel mundial, así como a empresarios innovadores y a empresas emergentes con una sólida base tecnológica y cuenta con un gran sector industrial (que produce más de una cuarta parte de los robots utilizados en la industria y en servicios profesionales a nivel mundial), es necesario garantizar la incorporación de la tecnología de la IA en toda </w:t>
      </w:r>
      <w:r w:rsidR="00006876">
        <w:t>la</w:t>
      </w:r>
      <w:r w:rsidRPr="006B35BF">
        <w:t xml:space="preserve"> economía</w:t>
      </w:r>
      <w:r w:rsidR="00006876">
        <w:t xml:space="preserve"> europea</w:t>
      </w:r>
      <w:r w:rsidRPr="006B35BF">
        <w:t xml:space="preserve">. </w:t>
      </w:r>
    </w:p>
    <w:p w14:paraId="649D2B0B" w14:textId="4895A503" w:rsidR="006B35BF" w:rsidRDefault="006B35BF" w:rsidP="006B35BF">
      <w:pPr>
        <w:pStyle w:val="Body"/>
        <w:rPr>
          <w:lang w:val="es-ES_tradnl"/>
        </w:rPr>
      </w:pPr>
      <w:r w:rsidRPr="006B35BF">
        <w:rPr>
          <w:lang w:val="es-ES_tradnl"/>
        </w:rPr>
        <w:t>Así, solo una pequeña parte de las empresas europeas ha adoptado ya tecnologías digitales. Esta tendencia es especialmente acusada en las pequeñas y medianas empresas. En 2017, el 25% de las grandes empresas y el 10% de las pymes de la UE utilizaron la analítica de macrodatos. Tan solo una de cada cinco pymes se encontraba altamente digitalizada y un tercio de la población activa todavía no posee las competencias digitales básicas</w:t>
      </w:r>
      <w:r w:rsidR="00006876">
        <w:rPr>
          <w:lang w:val="es-ES_tradnl"/>
        </w:rPr>
        <w:t>.</w:t>
      </w:r>
    </w:p>
    <w:p w14:paraId="4CFB854D" w14:textId="77777777" w:rsidR="007B1F38" w:rsidRPr="007B1F38" w:rsidRDefault="007B1F38" w:rsidP="007B1F38">
      <w:pPr>
        <w:pStyle w:val="Body"/>
      </w:pPr>
      <w:r w:rsidRPr="007B1F38">
        <w:t xml:space="preserve">Aunque no existen datos del uso de la IA por parte de la PYME en España (no obstante, los datos del informe e-PYME 2017 pueden dar una idea del uso de estas tecnologías), el informe de PwC sí indica su importancia futura: las grandes compañías españolas (cuatro de cada cinco) piensa que la IA supondrá un conjunto de cambios altamente disruptivos capaces de aportar una ventaja competitiva para los negocios. </w:t>
      </w:r>
    </w:p>
    <w:p w14:paraId="72D5F9A8" w14:textId="26B6545C" w:rsidR="007B1F38" w:rsidRDefault="007B1F38" w:rsidP="007B1F38">
      <w:pPr>
        <w:pStyle w:val="Body"/>
      </w:pPr>
      <w:r w:rsidRPr="007B1F38">
        <w:t>Por otro lado, algo más de la mitad de las grandes empresas españolas están aplicando soluciones relacionadas con la IA en sus organizaciones: un 46% lo están haciendo en fase de piloto o prueba, y algo más del 10% declara haber empezado a obtener beneficios</w:t>
      </w:r>
      <w:r>
        <w:rPr>
          <w:rStyle w:val="Refdenotaalpie"/>
        </w:rPr>
        <w:footnoteReference w:id="58"/>
      </w:r>
      <w:r w:rsidRPr="007B1F38">
        <w:t xml:space="preserve">. </w:t>
      </w:r>
    </w:p>
    <w:p w14:paraId="3CF63AC8" w14:textId="008D42AE" w:rsidR="007B1F38" w:rsidRPr="007B1F38" w:rsidRDefault="007B1F38" w:rsidP="007B1F38">
      <w:pPr>
        <w:pStyle w:val="Body"/>
      </w:pPr>
      <w:r w:rsidRPr="007B1F38">
        <w:t>La IA ha figurado en los programas marco de investigación y desarrollo de la UE desde 2004, prestándose especial atención a la robótica. Las inversiones se incrementaron hasta los 700 millones EUR para el período 2014-2020, y se complementaron con 2</w:t>
      </w:r>
      <w:r>
        <w:t>.</w:t>
      </w:r>
      <w:r w:rsidRPr="007B1F38">
        <w:t>100 millones EUR de inversiones privadas como parte de una asociación público-privada en materia de robótica. Estos esfuerzos han contribuido significativamente a la posición de liderazgo de Europa en este ámbito. En el marco del programa de investigación e innovación Horizonte 2020, durante el periodo 2014-2017 se han invertido globalmente cerca de 1</w:t>
      </w:r>
      <w:r w:rsidR="00DD4EE4">
        <w:t>.</w:t>
      </w:r>
      <w:r w:rsidRPr="007B1F38">
        <w:t>100 millones EUR en investigación e innovación relacionada con la IA, en particular en macrodatos, sanidad, rehabilitación, transporte e investigación espacial.</w:t>
      </w:r>
    </w:p>
    <w:p w14:paraId="2D4D6D34" w14:textId="17C9AF51" w:rsidR="00DD4EE4" w:rsidRDefault="00DD4EE4" w:rsidP="00DD4EE4">
      <w:pPr>
        <w:pStyle w:val="Body"/>
        <w:rPr>
          <w:lang w:val="es-ES_tradnl"/>
        </w:rPr>
      </w:pPr>
      <w:r w:rsidRPr="00DD4EE4">
        <w:rPr>
          <w:lang w:val="es-ES_tradnl"/>
        </w:rPr>
        <w:t>Dado el carácter estratégico de la IA se hace necesario que la UE adopte un planteamiento coordinado que le permita aprovechar al máximo las oportunidades que brinda la IA y abordar los nuevos retos que conlleva. Así, el 10 de abril de 2018, veinticuatro Estados miembros (entre ellos España) y Noruega se compromet</w:t>
      </w:r>
      <w:r>
        <w:rPr>
          <w:lang w:val="es-ES_tradnl"/>
        </w:rPr>
        <w:t xml:space="preserve">ieron a cooperar en este ámbito y la Comisión Europea emitió la </w:t>
      </w:r>
      <w:r w:rsidRPr="00DD4EE4">
        <w:rPr>
          <w:lang w:val="es-ES_tradnl"/>
        </w:rPr>
        <w:t xml:space="preserve">Comunicación </w:t>
      </w:r>
      <w:r>
        <w:rPr>
          <w:lang w:val="es-ES_tradnl"/>
        </w:rPr>
        <w:t>COM(2018) 237 final, sobre IA cuyo objetivo es tener</w:t>
      </w:r>
      <w:r w:rsidRPr="00DD4EE4">
        <w:rPr>
          <w:lang w:val="es-ES_tradnl"/>
        </w:rPr>
        <w:t xml:space="preserve"> a finales de 2018 un plan coordinado</w:t>
      </w:r>
      <w:r w:rsidR="00D1115F">
        <w:rPr>
          <w:lang w:val="es-ES_tradnl"/>
        </w:rPr>
        <w:t xml:space="preserve"> a nivel europeo</w:t>
      </w:r>
      <w:r w:rsidRPr="00DD4EE4">
        <w:rPr>
          <w:lang w:val="es-ES_tradnl"/>
        </w:rPr>
        <w:t xml:space="preserve"> sobre IA.</w:t>
      </w:r>
    </w:p>
    <w:p w14:paraId="652ECB88" w14:textId="414FCE92" w:rsidR="007735BF" w:rsidRDefault="007735BF" w:rsidP="007735BF">
      <w:pPr>
        <w:pStyle w:val="Body"/>
        <w:rPr>
          <w:lang w:val="es-ES_tradnl"/>
        </w:rPr>
      </w:pPr>
      <w:r>
        <w:rPr>
          <w:lang w:val="es-ES_tradnl"/>
        </w:rPr>
        <w:lastRenderedPageBreak/>
        <w:t>Así, l</w:t>
      </w:r>
      <w:r w:rsidRPr="007B1F38">
        <w:rPr>
          <w:lang w:val="es-ES_tradnl"/>
        </w:rPr>
        <w:t xml:space="preserve">a </w:t>
      </w:r>
      <w:r>
        <w:rPr>
          <w:lang w:val="es-ES_tradnl"/>
        </w:rPr>
        <w:t xml:space="preserve">Comisión Europea estima que el total de la inversión en este ámbito debería alcanzar el objetivo </w:t>
      </w:r>
      <w:r w:rsidRPr="007B1F38">
        <w:rPr>
          <w:lang w:val="es-ES_tradnl"/>
        </w:rPr>
        <w:t xml:space="preserve">(sumando los sectores público y privado) </w:t>
      </w:r>
      <w:r>
        <w:rPr>
          <w:lang w:val="es-ES_tradnl"/>
        </w:rPr>
        <w:t>de</w:t>
      </w:r>
      <w:r w:rsidRPr="007B1F38">
        <w:rPr>
          <w:lang w:val="es-ES_tradnl"/>
        </w:rPr>
        <w:t xml:space="preserve"> al menos 20</w:t>
      </w:r>
      <w:r>
        <w:rPr>
          <w:lang w:val="es-ES_tradnl"/>
        </w:rPr>
        <w:t xml:space="preserve">.000 millones por año </w:t>
      </w:r>
      <w:r w:rsidRPr="007B1F38">
        <w:rPr>
          <w:lang w:val="es-ES_tradnl"/>
        </w:rPr>
        <w:t>durante la próxima década.</w:t>
      </w:r>
    </w:p>
    <w:p w14:paraId="1A951451" w14:textId="11644F31" w:rsidR="007B1F38" w:rsidRDefault="007735BF" w:rsidP="007B1F38">
      <w:pPr>
        <w:pStyle w:val="Body"/>
      </w:pPr>
      <w:r>
        <w:t xml:space="preserve">En cuanto al impacto de la IA en </w:t>
      </w:r>
      <w:r w:rsidR="007B1F38" w:rsidRPr="007B1F38">
        <w:t xml:space="preserve">la PYME, de las ventajas que puede proporcionar </w:t>
      </w:r>
      <w:r>
        <w:t>ésta</w:t>
      </w:r>
      <w:r w:rsidR="007B1F38" w:rsidRPr="007B1F38">
        <w:t xml:space="preserve"> caben destacar tres</w:t>
      </w:r>
      <w:r w:rsidR="007B1F38" w:rsidRPr="007B1F38">
        <w:rPr>
          <w:vertAlign w:val="superscript"/>
        </w:rPr>
        <w:footnoteReference w:id="59"/>
      </w:r>
      <w:r w:rsidR="007B1F38" w:rsidRPr="007B1F38">
        <w:t>:</w:t>
      </w:r>
    </w:p>
    <w:p w14:paraId="643922FE"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La segmentación de clientes en tiempo real. Mediante el análisis de datos se pueden identificar con precisión a clientes potenciales para ofrecerles sus productos de una manera personalizada.</w:t>
      </w:r>
    </w:p>
    <w:p w14:paraId="4A94E370"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Toma de decisiones. La información proveniente de parámetros de uso del sitio web, y las redes sociales, así como de las bases de datos de ventas, etc., se puede utilizar para realizar análisis y predicciones que permitan una mejor toma de decisiones.</w:t>
      </w:r>
    </w:p>
    <w:p w14:paraId="3103F203"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Mejorar la comunicación con los clientes. El uso de tecnologías como los chatbots</w:t>
      </w:r>
      <w:r w:rsidRPr="00DD4EE4">
        <w:rPr>
          <w:rFonts w:ascii="Century Gothic" w:hAnsi="Century Gothic"/>
          <w:vertAlign w:val="superscript"/>
          <w:lang w:val="es-ES"/>
        </w:rPr>
        <w:footnoteReference w:id="60"/>
      </w:r>
      <w:r w:rsidRPr="007B1F38">
        <w:rPr>
          <w:rFonts w:ascii="Century Gothic" w:hAnsi="Century Gothic"/>
          <w:lang w:val="es-ES"/>
        </w:rPr>
        <w:t>, permiten interactuar con los clientes comunicándose, aprendiendo sus preferencias, contestando dudas e, incluso, llevar a cabo los pedidos.</w:t>
      </w:r>
    </w:p>
    <w:p w14:paraId="5952B9B0" w14:textId="77777777" w:rsidR="007B1F38" w:rsidRPr="007B1F38" w:rsidRDefault="007B1F38" w:rsidP="007B1F38">
      <w:pPr>
        <w:pStyle w:val="Body"/>
      </w:pPr>
      <w:r w:rsidRPr="007B1F38">
        <w:t>Por otro lado, mediante el cruce e interpretación de grandes cantidades de conversaciones, la IA puede aprender cómo comunicarse y responder efectivamente a través de diferentes plataformas como redes sociales, correo electrónico o en sitios web.</w:t>
      </w:r>
    </w:p>
    <w:p w14:paraId="07938C85" w14:textId="77777777" w:rsidR="007B1F38" w:rsidRPr="007B1F38" w:rsidRDefault="007B1F38" w:rsidP="007B1F38">
      <w:pPr>
        <w:pStyle w:val="Body"/>
      </w:pPr>
      <w:r w:rsidRPr="007B1F38">
        <w:t>No obstante, la PYME se enfrenta a importantes retos a la hora de incorporar la IA:</w:t>
      </w:r>
    </w:p>
    <w:p w14:paraId="428276C0"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Es importante definir una estrategia de IA, tener claro lo que se quiere conseguir y como va a afectar a los procesos de la compañía. Para ello, es necesario una gestión adecuada del cambio cultural en la empresa y un liderazgo claro por parte de la dirección.</w:t>
      </w:r>
    </w:p>
    <w:p w14:paraId="22127294"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Otro elemento importante es la financiación. Aunque hoy en día existen soluciones de pago por uso adaptadas a las necesidades de las empresas, es necesario tener claro la inversión en infraestructuras, personal, etc.</w:t>
      </w:r>
    </w:p>
    <w:p w14:paraId="38C24E8A"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Falta de personal cualificado.</w:t>
      </w:r>
    </w:p>
    <w:p w14:paraId="114BD582"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Desconocimiento de las implicaciones legales o normativas como, por ejemplo, el cumplimiento del Reglamento Europeo de Protección de Datos.</w:t>
      </w:r>
    </w:p>
    <w:p w14:paraId="254A99BF" w14:textId="77777777" w:rsidR="007B1F38" w:rsidRPr="007B1F38" w:rsidRDefault="007B1F38" w:rsidP="007B1F38">
      <w:pPr>
        <w:pStyle w:val="Prrafodelista"/>
        <w:numPr>
          <w:ilvl w:val="1"/>
          <w:numId w:val="50"/>
        </w:numPr>
        <w:ind w:left="567"/>
        <w:rPr>
          <w:rFonts w:ascii="Century Gothic" w:hAnsi="Century Gothic"/>
          <w:lang w:val="es-ES"/>
        </w:rPr>
      </w:pPr>
      <w:r w:rsidRPr="007B1F38">
        <w:rPr>
          <w:rFonts w:ascii="Century Gothic" w:hAnsi="Century Gothic"/>
          <w:lang w:val="es-ES"/>
        </w:rPr>
        <w:t>No tener claro el retorno de la inversión que supondrá la implantación de este tipo de tecnologías.</w:t>
      </w:r>
    </w:p>
    <w:p w14:paraId="426B2F87" w14:textId="46791D80" w:rsidR="00841911" w:rsidRDefault="007B1F38" w:rsidP="000F1106">
      <w:pPr>
        <w:pStyle w:val="Body"/>
      </w:pPr>
      <w:r>
        <w:t xml:space="preserve">Terminar este apartando haciendo una breve mención al esfuerzo de las administraciones españolas en el ámbito de la digitalización. España </w:t>
      </w:r>
      <w:r w:rsidR="006F491F">
        <w:t>ha puesto en marcha diferentes estrategias para impulsar la</w:t>
      </w:r>
      <w:r w:rsidR="000F1106">
        <w:t xml:space="preserve"> </w:t>
      </w:r>
      <w:r w:rsidR="000F1106" w:rsidRPr="00D575E1">
        <w:rPr>
          <w:b/>
        </w:rPr>
        <w:t>digitalización</w:t>
      </w:r>
      <w:r w:rsidR="000F1106">
        <w:t xml:space="preserve"> </w:t>
      </w:r>
      <w:r w:rsidR="006F491F">
        <w:t xml:space="preserve">de nuestras empresas como </w:t>
      </w:r>
      <w:r w:rsidR="00C0697E">
        <w:t>los planes Avanza</w:t>
      </w:r>
      <w:r w:rsidR="006F491F">
        <w:t xml:space="preserve"> y la </w:t>
      </w:r>
      <w:r w:rsidR="00841911" w:rsidRPr="00841911">
        <w:t>Agenda Digital para España</w:t>
      </w:r>
      <w:r w:rsidR="000F1106">
        <w:t xml:space="preserve">, </w:t>
      </w:r>
      <w:r w:rsidR="00841911">
        <w:t xml:space="preserve">la </w:t>
      </w:r>
      <w:r w:rsidR="00C0697E">
        <w:t xml:space="preserve">cual se inició en 2012 y se define como la </w:t>
      </w:r>
      <w:r w:rsidR="00841911">
        <w:t>E</w:t>
      </w:r>
      <w:r w:rsidR="00841911" w:rsidRPr="00841911">
        <w:t xml:space="preserve">strategia del Gobierno </w:t>
      </w:r>
      <w:r w:rsidR="00841911">
        <w:t xml:space="preserve">español </w:t>
      </w:r>
      <w:r w:rsidR="00841911" w:rsidRPr="00841911">
        <w:t xml:space="preserve">para desarrollar la economía y la sociedad digital en nuestro país. Esta </w:t>
      </w:r>
      <w:r w:rsidR="00841911" w:rsidRPr="00841911">
        <w:lastRenderedPageBreak/>
        <w:t>estrategia se configura como el paraguas de todas las acciones del Gobierno en materia de Telecomunicaciones y de Sociedad de la Información.</w:t>
      </w:r>
    </w:p>
    <w:p w14:paraId="665D9320" w14:textId="7531B53A" w:rsidR="00C0697E" w:rsidRDefault="00C0697E" w:rsidP="00D575E1">
      <w:pPr>
        <w:pStyle w:val="Body"/>
      </w:pPr>
      <w:r>
        <w:t>Entre otros objetivos</w:t>
      </w:r>
      <w:r w:rsidR="008764BF">
        <w:t>, la Agenda busca f</w:t>
      </w:r>
      <w:r w:rsidR="008764BF" w:rsidRPr="008764BF">
        <w:t xml:space="preserve">omentar el I+D+i en TIC en </w:t>
      </w:r>
      <w:r w:rsidR="001B2723">
        <w:t>pymes,</w:t>
      </w:r>
      <w:r w:rsidR="008764BF">
        <w:t xml:space="preserve"> así como a</w:t>
      </w:r>
      <w:r w:rsidR="008764BF" w:rsidRPr="008764BF">
        <w:t>mpliar la participación española en I+D+i en TIC en el ámbito internacional</w:t>
      </w:r>
      <w:r w:rsidR="008764BF">
        <w:t>.</w:t>
      </w:r>
    </w:p>
    <w:p w14:paraId="4153A110" w14:textId="77777777" w:rsidR="00921217" w:rsidRDefault="00633D11" w:rsidP="00921217">
      <w:pPr>
        <w:pStyle w:val="Ttulo3"/>
      </w:pPr>
      <w:bookmarkStart w:id="74" w:name="_Toc527630352"/>
      <w:r>
        <w:t>Líneas de actuación</w:t>
      </w:r>
      <w:bookmarkEnd w:id="74"/>
    </w:p>
    <w:p w14:paraId="4056C678" w14:textId="77777777" w:rsidR="00921217" w:rsidRPr="00921217" w:rsidRDefault="00921217" w:rsidP="00921217">
      <w:pPr>
        <w:rPr>
          <w:rFonts w:ascii="Century Gothic" w:hAnsi="Century Gothic"/>
          <w:lang w:val="es-ES"/>
        </w:rPr>
      </w:pPr>
      <w:r w:rsidRPr="00921217">
        <w:rPr>
          <w:rFonts w:ascii="Century Gothic" w:hAnsi="Century Gothic" w:cs="Arial"/>
          <w:b/>
          <w:color w:val="000000"/>
          <w:kern w:val="24"/>
          <w:lang w:val="es-ES" w:eastAsia="es-ES"/>
        </w:rPr>
        <w:t>Fomentar la innovación y la digitalización en la PYME:</w:t>
      </w:r>
      <w:r w:rsidRPr="00921217">
        <w:rPr>
          <w:rFonts w:ascii="Century Gothic" w:hAnsi="Century Gothic" w:cs="Arial"/>
          <w:color w:val="000000"/>
          <w:kern w:val="24"/>
          <w:lang w:val="es-ES" w:eastAsia="es-ES"/>
        </w:rPr>
        <w:t xml:space="preserve"> Mediante el fomento de la innovación y la digitalización de las PYME se pretende mejorar las condiciones de competitividad de las mismas y con ello incrementar su productividad.</w:t>
      </w:r>
    </w:p>
    <w:p w14:paraId="5C08B366" w14:textId="30AA24C4" w:rsidR="00921217" w:rsidRPr="00921217" w:rsidRDefault="00921217" w:rsidP="00757E55">
      <w:pPr>
        <w:pStyle w:val="Prrafodelista"/>
        <w:numPr>
          <w:ilvl w:val="0"/>
          <w:numId w:val="32"/>
        </w:numPr>
        <w:rPr>
          <w:rFonts w:ascii="Century Gothic" w:hAnsi="Century Gothic" w:cs="Arial"/>
          <w:b/>
          <w:color w:val="000000"/>
          <w:kern w:val="24"/>
          <w:lang w:val="es-ES" w:eastAsia="es-ES"/>
        </w:rPr>
      </w:pPr>
      <w:r w:rsidRPr="0092121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921217">
        <w:rPr>
          <w:rFonts w:ascii="Century Gothic" w:hAnsi="Century Gothic" w:cs="Arial"/>
          <w:b/>
          <w:color w:val="000000"/>
          <w:kern w:val="24"/>
          <w:lang w:val="es-ES" w:eastAsia="es-ES"/>
        </w:rPr>
        <w:t xml:space="preserve"> Incorporar herramientas digitales en la relación de las PYME con la Administración: </w:t>
      </w:r>
      <w:r w:rsidRPr="00121A92">
        <w:rPr>
          <w:rFonts w:ascii="Century Gothic" w:hAnsi="Century Gothic" w:cs="Arial"/>
          <w:color w:val="000000"/>
          <w:kern w:val="24"/>
          <w:lang w:val="es-ES" w:eastAsia="es-ES"/>
        </w:rPr>
        <w:t xml:space="preserve">Facilitar las relaciones administrativas entre la PYME y la Administración mediante herramientas digitales que sean capaces de hacer más eficiente el trasvase de información entre ellas y permitan ahorrar tiempo y recursos a las PYME. </w:t>
      </w:r>
      <w:r w:rsidR="00437E76">
        <w:rPr>
          <w:rFonts w:ascii="Century Gothic" w:hAnsi="Century Gothic" w:cs="Arial"/>
          <w:color w:val="000000"/>
          <w:kern w:val="24"/>
          <w:lang w:val="es-ES" w:eastAsia="es-ES"/>
        </w:rPr>
        <w:t xml:space="preserve">Favorecer el uso de la declaración responsable. </w:t>
      </w:r>
      <w:r w:rsidRPr="00121A92">
        <w:rPr>
          <w:rFonts w:ascii="Century Gothic" w:hAnsi="Century Gothic" w:cs="Arial"/>
          <w:color w:val="000000"/>
          <w:kern w:val="24"/>
          <w:lang w:val="es-ES" w:eastAsia="es-ES"/>
        </w:rPr>
        <w:t>Asimismo,</w:t>
      </w:r>
      <w:r w:rsidRPr="00C51697">
        <w:rPr>
          <w:rFonts w:ascii="Century Gothic" w:hAnsi="Century Gothic" w:cs="Arial"/>
          <w:color w:val="000000"/>
          <w:kern w:val="24"/>
          <w:lang w:val="es-ES" w:eastAsia="es-ES"/>
        </w:rPr>
        <w:t xml:space="preserve"> es importante incrementar la concienciación acerca de la importancia de la ciberseguridad entre las PYME.</w:t>
      </w:r>
    </w:p>
    <w:p w14:paraId="648097C6" w14:textId="77777777" w:rsidR="00CE341E" w:rsidRPr="00CE341E" w:rsidRDefault="00921217" w:rsidP="00757E55">
      <w:pPr>
        <w:pStyle w:val="Prrafodelista"/>
        <w:numPr>
          <w:ilvl w:val="0"/>
          <w:numId w:val="32"/>
        </w:numPr>
        <w:rPr>
          <w:rFonts w:ascii="Century Gothic" w:hAnsi="Century Gothic" w:cs="Arial"/>
          <w:color w:val="000000"/>
          <w:kern w:val="24"/>
          <w:lang w:val="es-ES" w:eastAsia="es-ES"/>
        </w:rPr>
      </w:pPr>
      <w:r w:rsidRPr="00CE341E">
        <w:rPr>
          <w:rFonts w:ascii="Century Gothic" w:hAnsi="Century Gothic" w:cs="Arial"/>
          <w:b/>
          <w:color w:val="000000"/>
          <w:kern w:val="24"/>
          <w:lang w:val="es-ES" w:eastAsia="es-ES"/>
        </w:rPr>
        <w:t>LA</w:t>
      </w:r>
      <w:r w:rsidR="00C471DC" w:rsidRPr="007A1D4B">
        <w:rPr>
          <w:rFonts w:ascii="Century Gothic" w:hAnsi="Century Gothic"/>
          <w:b/>
          <w:lang w:val="es-ES"/>
        </w:rPr>
        <w:fldChar w:fldCharType="begin"/>
      </w:r>
      <w:r w:rsidR="00C471DC" w:rsidRPr="007A1D4B">
        <w:rPr>
          <w:rFonts w:ascii="Century Gothic" w:hAnsi="Century Gothic"/>
          <w:b/>
          <w:lang w:val="es-ES"/>
        </w:rPr>
        <w:instrText xml:space="preserve"> AUTONUM  </w:instrText>
      </w:r>
      <w:r w:rsidR="00C471DC" w:rsidRPr="007A1D4B">
        <w:rPr>
          <w:rFonts w:ascii="Century Gothic" w:hAnsi="Century Gothic"/>
          <w:b/>
          <w:lang w:val="es-ES"/>
        </w:rPr>
        <w:fldChar w:fldCharType="end"/>
      </w:r>
      <w:r w:rsidRPr="00CE341E">
        <w:rPr>
          <w:rFonts w:ascii="Century Gothic" w:hAnsi="Century Gothic" w:cs="Arial"/>
          <w:b/>
          <w:color w:val="000000"/>
          <w:kern w:val="24"/>
          <w:lang w:val="es-ES" w:eastAsia="es-ES"/>
        </w:rPr>
        <w:t xml:space="preserve"> Facilitar la transformación digital de las PYME como elemento clave en su ciclo de vida:</w:t>
      </w:r>
      <w:r w:rsidR="00AB41D3" w:rsidRPr="00CE341E">
        <w:rPr>
          <w:rFonts w:ascii="Century Gothic" w:hAnsi="Century Gothic" w:cs="Arial"/>
          <w:b/>
          <w:color w:val="000000"/>
          <w:kern w:val="24"/>
          <w:lang w:val="es-ES" w:eastAsia="es-ES"/>
        </w:rPr>
        <w:t xml:space="preserve"> </w:t>
      </w:r>
    </w:p>
    <w:p w14:paraId="05D77A96" w14:textId="22456852" w:rsidR="00CE341E" w:rsidRDefault="00921217" w:rsidP="00757E55">
      <w:pPr>
        <w:pStyle w:val="Prrafodelista"/>
        <w:numPr>
          <w:ilvl w:val="1"/>
          <w:numId w:val="32"/>
        </w:numPr>
        <w:rPr>
          <w:rFonts w:ascii="Century Gothic" w:hAnsi="Century Gothic"/>
          <w:lang w:val="es-ES"/>
        </w:rPr>
      </w:pPr>
      <w:r w:rsidRPr="00CE341E">
        <w:rPr>
          <w:rFonts w:ascii="Century Gothic" w:hAnsi="Century Gothic"/>
          <w:lang w:val="es-ES"/>
        </w:rPr>
        <w:t>Favorecer y fomentar un uso más eficiente e intensivo de las TIC por parte de las PYMES, en conexión con el Eje I del Plan de TIC en PYME y comercio electrónico de la Agenda Digital para España</w:t>
      </w:r>
      <w:r w:rsidR="00944ABE">
        <w:rPr>
          <w:rFonts w:ascii="Century Gothic" w:hAnsi="Century Gothic"/>
          <w:lang w:val="es-ES"/>
        </w:rPr>
        <w:t xml:space="preserve">, </w:t>
      </w:r>
      <w:r w:rsidR="00944ABE">
        <w:rPr>
          <w:rFonts w:ascii="Century Gothic" w:hAnsi="Century Gothic" w:cs="Arial"/>
          <w:color w:val="000000"/>
          <w:kern w:val="24"/>
          <w:lang w:val="es-ES" w:eastAsia="es-ES"/>
        </w:rPr>
        <w:t>así como con la Estrategia Industria 4.0</w:t>
      </w:r>
      <w:r w:rsidRPr="00CE341E">
        <w:rPr>
          <w:rFonts w:ascii="Century Gothic" w:hAnsi="Century Gothic"/>
          <w:lang w:val="es-ES"/>
        </w:rPr>
        <w:t>.</w:t>
      </w:r>
      <w:r w:rsidR="00CE341E" w:rsidRPr="00CE341E">
        <w:rPr>
          <w:rFonts w:ascii="Century Gothic" w:hAnsi="Century Gothic"/>
          <w:lang w:val="es-ES"/>
        </w:rPr>
        <w:t xml:space="preserve"> </w:t>
      </w:r>
    </w:p>
    <w:p w14:paraId="60E25F06" w14:textId="18B9DB19" w:rsidR="00CE341E" w:rsidRDefault="00CE341E" w:rsidP="00757E55">
      <w:pPr>
        <w:pStyle w:val="Prrafodelista"/>
        <w:numPr>
          <w:ilvl w:val="1"/>
          <w:numId w:val="32"/>
        </w:numPr>
        <w:rPr>
          <w:rFonts w:ascii="Century Gothic" w:hAnsi="Century Gothic"/>
          <w:lang w:val="es-ES"/>
        </w:rPr>
      </w:pPr>
      <w:r w:rsidRPr="00CE341E">
        <w:rPr>
          <w:rFonts w:ascii="Century Gothic" w:hAnsi="Century Gothic"/>
          <w:lang w:val="es-ES"/>
        </w:rPr>
        <w:t>Sensibilizar en la necesidad de la transformación digital y difundir las ventajas y metodologías asociadas a los procesos de digitalización</w:t>
      </w:r>
      <w:r w:rsidR="00A94C38">
        <w:rPr>
          <w:rFonts w:ascii="Century Gothic" w:hAnsi="Century Gothic"/>
          <w:lang w:val="es-ES"/>
        </w:rPr>
        <w:t xml:space="preserve"> (digitalización corporativa)</w:t>
      </w:r>
      <w:r w:rsidRPr="00CE341E">
        <w:rPr>
          <w:rFonts w:ascii="Century Gothic" w:hAnsi="Century Gothic"/>
          <w:lang w:val="es-ES"/>
        </w:rPr>
        <w:t xml:space="preserve">. </w:t>
      </w:r>
    </w:p>
    <w:p w14:paraId="47794C82" w14:textId="43504F53" w:rsidR="00CE341E" w:rsidRDefault="00CE341E" w:rsidP="00757E55">
      <w:pPr>
        <w:pStyle w:val="Prrafodelista"/>
        <w:numPr>
          <w:ilvl w:val="1"/>
          <w:numId w:val="32"/>
        </w:numPr>
        <w:rPr>
          <w:rFonts w:ascii="Century Gothic" w:hAnsi="Century Gothic"/>
          <w:lang w:val="es-ES"/>
        </w:rPr>
      </w:pPr>
      <w:r w:rsidRPr="00CE341E">
        <w:rPr>
          <w:rFonts w:ascii="Century Gothic" w:hAnsi="Century Gothic"/>
          <w:lang w:val="es-ES"/>
        </w:rPr>
        <w:t>Apoyar en los procesos de transformación digital a través del asesoramiento a la pyme</w:t>
      </w:r>
      <w:r w:rsidR="00A94C38">
        <w:rPr>
          <w:rFonts w:ascii="Century Gothic" w:hAnsi="Century Gothic"/>
          <w:lang w:val="es-ES"/>
        </w:rPr>
        <w:t>, de manera que se aprovechen al máximo las oportunidades que ofrece el nuevo</w:t>
      </w:r>
      <w:r w:rsidR="00A94C38" w:rsidRPr="00A94C38">
        <w:rPr>
          <w:rFonts w:ascii="Century Gothic" w:hAnsi="Century Gothic" w:cs="Arial"/>
          <w:color w:val="000000"/>
          <w:kern w:val="24"/>
          <w:szCs w:val="20"/>
          <w:lang w:val="es-ES" w:eastAsia="es-ES"/>
        </w:rPr>
        <w:t xml:space="preserve"> </w:t>
      </w:r>
      <w:r w:rsidR="00A94C38" w:rsidRPr="00A94C38">
        <w:rPr>
          <w:rFonts w:ascii="Century Gothic" w:hAnsi="Century Gothic"/>
          <w:lang w:val="es-ES"/>
        </w:rPr>
        <w:t>mercado único digital europeo</w:t>
      </w:r>
      <w:r w:rsidR="00A94C38">
        <w:rPr>
          <w:rFonts w:ascii="Century Gothic" w:hAnsi="Century Gothic"/>
          <w:lang w:val="es-ES"/>
        </w:rPr>
        <w:t>.</w:t>
      </w:r>
    </w:p>
    <w:p w14:paraId="01FFC1A9" w14:textId="0D883103" w:rsidR="00CE341E" w:rsidRPr="008764BF" w:rsidRDefault="00CE341E" w:rsidP="00757E55">
      <w:pPr>
        <w:pStyle w:val="Prrafodelista"/>
        <w:numPr>
          <w:ilvl w:val="1"/>
          <w:numId w:val="32"/>
        </w:numPr>
        <w:rPr>
          <w:rFonts w:ascii="Century Gothic" w:hAnsi="Century Gothic"/>
          <w:lang w:val="es-ES"/>
        </w:rPr>
      </w:pPr>
      <w:r w:rsidRPr="008764BF">
        <w:rPr>
          <w:rFonts w:ascii="Century Gothic" w:hAnsi="Century Gothic"/>
          <w:lang w:val="es-ES"/>
        </w:rPr>
        <w:t>Mejorar la competitividad del tejido empresarial de base tecnológica nacional, impulsando el desarrollo de productos y servicios digitales basados en tecnologías habilitadores clave (Cloud, Big Data, Machine Learning, Inteligencia Artificial, Blockchain, IoT, VR/AR, Movilidad, Ciberseguridad)</w:t>
      </w:r>
    </w:p>
    <w:p w14:paraId="6C9D8727" w14:textId="4BB51782" w:rsidR="00CE341E" w:rsidRDefault="00CE341E" w:rsidP="00757E55">
      <w:pPr>
        <w:pStyle w:val="Prrafodelista"/>
        <w:numPr>
          <w:ilvl w:val="1"/>
          <w:numId w:val="32"/>
        </w:numPr>
        <w:rPr>
          <w:rFonts w:ascii="Century Gothic" w:hAnsi="Century Gothic"/>
          <w:lang w:val="es-ES"/>
        </w:rPr>
      </w:pPr>
      <w:r w:rsidRPr="008764BF">
        <w:rPr>
          <w:rFonts w:ascii="Century Gothic" w:hAnsi="Century Gothic"/>
          <w:lang w:val="es-ES"/>
        </w:rPr>
        <w:t>Orientar las soluciones tecnológicas a los diferentes sectores económicos de actividad considerados estratégicos</w:t>
      </w:r>
    </w:p>
    <w:p w14:paraId="2B0968C0" w14:textId="4CCD6465" w:rsidR="00D22D1E" w:rsidRDefault="00437E76" w:rsidP="00757E55">
      <w:pPr>
        <w:pStyle w:val="Prrafodelista"/>
        <w:numPr>
          <w:ilvl w:val="1"/>
          <w:numId w:val="32"/>
        </w:numPr>
        <w:rPr>
          <w:rFonts w:ascii="Century Gothic" w:hAnsi="Century Gothic"/>
          <w:lang w:val="es-ES"/>
        </w:rPr>
      </w:pPr>
      <w:r w:rsidRPr="00437E76">
        <w:rPr>
          <w:rFonts w:ascii="Century Gothic" w:hAnsi="Century Gothic"/>
          <w:lang w:val="es-ES"/>
        </w:rPr>
        <w:t xml:space="preserve">Crear la figura “ERASMUS Digital”. </w:t>
      </w:r>
      <w:r>
        <w:rPr>
          <w:rFonts w:ascii="Century Gothic" w:hAnsi="Century Gothic"/>
          <w:lang w:val="es-ES"/>
        </w:rPr>
        <w:t>P</w:t>
      </w:r>
      <w:r w:rsidRPr="00437E76">
        <w:rPr>
          <w:rFonts w:ascii="Century Gothic" w:hAnsi="Century Gothic"/>
          <w:lang w:val="es-ES"/>
        </w:rPr>
        <w:t>rograma de intercambio entre profesionales, involucrando al personal de todos los actores de la cadena de valor: grandes empresas, PYMES, centros tecnológicos, universidades</w:t>
      </w:r>
      <w:r>
        <w:rPr>
          <w:rFonts w:ascii="Century Gothic" w:hAnsi="Century Gothic"/>
          <w:lang w:val="es-ES"/>
        </w:rPr>
        <w:t>, etc.</w:t>
      </w:r>
    </w:p>
    <w:p w14:paraId="7E914450" w14:textId="68A61C98" w:rsidR="002D00AA" w:rsidRPr="00944ABE" w:rsidRDefault="002D00AA" w:rsidP="00757E55">
      <w:pPr>
        <w:pStyle w:val="Prrafodelista"/>
        <w:numPr>
          <w:ilvl w:val="1"/>
          <w:numId w:val="32"/>
        </w:numPr>
        <w:rPr>
          <w:rFonts w:ascii="Century Gothic" w:hAnsi="Century Gothic"/>
          <w:lang w:val="es-ES"/>
        </w:rPr>
      </w:pPr>
      <w:r w:rsidRPr="002D00AA">
        <w:rPr>
          <w:rFonts w:ascii="Century Gothic" w:hAnsi="Century Gothic"/>
          <w:lang w:val="es-ES"/>
        </w:rPr>
        <w:t>Siguiendo la Comunicación de la Comisión Europea</w:t>
      </w:r>
      <w:r w:rsidR="008850F8">
        <w:rPr>
          <w:rFonts w:ascii="Century Gothic" w:hAnsi="Century Gothic"/>
          <w:lang w:val="es-ES"/>
        </w:rPr>
        <w:t xml:space="preserve"> y sus próximas actuaciones</w:t>
      </w:r>
      <w:r w:rsidRPr="002D00AA">
        <w:rPr>
          <w:rFonts w:ascii="Century Gothic" w:hAnsi="Century Gothic"/>
          <w:lang w:val="es-ES"/>
        </w:rPr>
        <w:t>, desarrollar un plan nacional de IA,</w:t>
      </w:r>
      <w:r w:rsidRPr="002D00AA">
        <w:rPr>
          <w:rFonts w:ascii="Century Gothic" w:hAnsi="Century Gothic"/>
          <w:b/>
          <w:lang w:val="es-ES"/>
        </w:rPr>
        <w:t xml:space="preserve"> </w:t>
      </w:r>
      <w:r w:rsidRPr="002D00AA">
        <w:rPr>
          <w:rFonts w:ascii="Century Gothic" w:hAnsi="Century Gothic"/>
          <w:lang w:val="es-ES"/>
        </w:rPr>
        <w:t>en colaboración con las CCAA. Para ello, se puede tomar como elemento de partida la Estrategia de Industria Conectada 4.0, potenciando aquellas tecnologías y proyectos que conforman la IA.</w:t>
      </w:r>
    </w:p>
    <w:p w14:paraId="5CF36D6C" w14:textId="74919F7B" w:rsidR="00921217" w:rsidRPr="00921217" w:rsidRDefault="00921217" w:rsidP="00757E55">
      <w:pPr>
        <w:pStyle w:val="Prrafodelista"/>
        <w:numPr>
          <w:ilvl w:val="0"/>
          <w:numId w:val="32"/>
        </w:numPr>
        <w:rPr>
          <w:rFonts w:ascii="Century Gothic" w:hAnsi="Century Gothic" w:cs="Arial"/>
          <w:b/>
          <w:color w:val="000000"/>
          <w:kern w:val="24"/>
          <w:lang w:val="es-ES" w:eastAsia="es-ES"/>
        </w:rPr>
      </w:pPr>
      <w:r w:rsidRPr="0092121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921217">
        <w:rPr>
          <w:rFonts w:ascii="Century Gothic" w:hAnsi="Century Gothic" w:cs="Arial"/>
          <w:b/>
          <w:color w:val="000000"/>
          <w:kern w:val="24"/>
          <w:lang w:val="es-ES" w:eastAsia="es-ES"/>
        </w:rPr>
        <w:t xml:space="preserve"> Fomentar la colaboración empresarial y el desarrollo de clusters empresariales: </w:t>
      </w:r>
      <w:r w:rsidRPr="00121A92">
        <w:rPr>
          <w:rFonts w:ascii="Century Gothic" w:hAnsi="Century Gothic" w:cs="Arial"/>
          <w:color w:val="000000"/>
          <w:kern w:val="24"/>
          <w:lang w:val="es-ES" w:eastAsia="es-ES"/>
        </w:rPr>
        <w:t xml:space="preserve">Promover la cooperación inter-empresarial para favorecer la creación de clusters empresariales, maximizando las sinergias de la innovación y la digitalización y creando </w:t>
      </w:r>
      <w:r w:rsidRPr="00121A92">
        <w:rPr>
          <w:rFonts w:ascii="Century Gothic" w:hAnsi="Century Gothic" w:cs="Arial"/>
          <w:color w:val="000000"/>
          <w:kern w:val="24"/>
          <w:lang w:val="es-ES" w:eastAsia="es-ES"/>
        </w:rPr>
        <w:lastRenderedPageBreak/>
        <w:t>polos de competitividad</w:t>
      </w:r>
      <w:r w:rsidR="00944ABE">
        <w:rPr>
          <w:rFonts w:ascii="Century Gothic" w:hAnsi="Century Gothic" w:cs="Arial"/>
          <w:color w:val="000000"/>
          <w:kern w:val="24"/>
          <w:lang w:val="es-ES" w:eastAsia="es-ES"/>
        </w:rPr>
        <w:t>,</w:t>
      </w:r>
      <w:r w:rsidR="00944ABE" w:rsidRPr="00944ABE">
        <w:rPr>
          <w:lang w:val="es-ES"/>
        </w:rPr>
        <w:t xml:space="preserve"> </w:t>
      </w:r>
      <w:r w:rsidR="00944ABE" w:rsidRPr="00944ABE">
        <w:rPr>
          <w:rFonts w:ascii="Century Gothic" w:hAnsi="Century Gothic" w:cs="Arial"/>
          <w:color w:val="000000"/>
          <w:kern w:val="24"/>
          <w:lang w:val="es-ES" w:eastAsia="es-ES"/>
        </w:rPr>
        <w:t>que permitan dar lugar a innovaciones disruptivas</w:t>
      </w:r>
      <w:r w:rsidRPr="00121A92">
        <w:rPr>
          <w:rFonts w:ascii="Century Gothic" w:hAnsi="Century Gothic" w:cs="Arial"/>
          <w:color w:val="000000"/>
          <w:kern w:val="24"/>
          <w:lang w:val="es-ES" w:eastAsia="es-ES"/>
        </w:rPr>
        <w:t>.</w:t>
      </w:r>
      <w:r w:rsidR="001445C2">
        <w:rPr>
          <w:rFonts w:ascii="Century Gothic" w:hAnsi="Century Gothic" w:cs="Arial"/>
          <w:color w:val="000000"/>
          <w:kern w:val="24"/>
          <w:lang w:val="es-ES" w:eastAsia="es-ES"/>
        </w:rPr>
        <w:t xml:space="preserve"> Por otro lado, es necesario </w:t>
      </w:r>
      <w:r w:rsidR="00B17ED9">
        <w:rPr>
          <w:rFonts w:ascii="Century Gothic" w:hAnsi="Century Gothic" w:cs="Arial"/>
          <w:color w:val="000000"/>
          <w:kern w:val="24"/>
          <w:lang w:val="es-ES" w:eastAsia="es-ES"/>
        </w:rPr>
        <w:t>seguir fomentando</w:t>
      </w:r>
      <w:r w:rsidR="001445C2">
        <w:rPr>
          <w:rFonts w:ascii="Century Gothic" w:hAnsi="Century Gothic" w:cs="Arial"/>
          <w:color w:val="000000"/>
          <w:kern w:val="24"/>
          <w:lang w:val="es-ES" w:eastAsia="es-ES"/>
        </w:rPr>
        <w:t xml:space="preserve"> la </w:t>
      </w:r>
      <w:r w:rsidR="001445C2" w:rsidRPr="001445C2">
        <w:rPr>
          <w:rFonts w:ascii="Century Gothic" w:hAnsi="Century Gothic" w:cs="Arial"/>
          <w:color w:val="000000"/>
          <w:kern w:val="24"/>
          <w:lang w:val="es-ES" w:eastAsia="es-ES"/>
        </w:rPr>
        <w:t xml:space="preserve">colaboración público-privada </w:t>
      </w:r>
      <w:r w:rsidR="00412E0E">
        <w:rPr>
          <w:rFonts w:ascii="Century Gothic" w:hAnsi="Century Gothic" w:cs="Arial"/>
          <w:color w:val="000000"/>
          <w:kern w:val="24"/>
          <w:lang w:val="es-ES" w:eastAsia="es-ES"/>
        </w:rPr>
        <w:t xml:space="preserve">en materia de I+D+i </w:t>
      </w:r>
      <w:r w:rsidR="00B17ED9">
        <w:rPr>
          <w:rFonts w:ascii="Century Gothic" w:hAnsi="Century Gothic" w:cs="Arial"/>
          <w:color w:val="000000"/>
          <w:kern w:val="24"/>
          <w:lang w:val="es-ES" w:eastAsia="es-ES"/>
        </w:rPr>
        <w:t>de manera que se consiga</w:t>
      </w:r>
      <w:r w:rsidR="00412E0E">
        <w:rPr>
          <w:rFonts w:ascii="Century Gothic" w:hAnsi="Century Gothic" w:cs="Arial"/>
          <w:color w:val="000000"/>
          <w:kern w:val="24"/>
          <w:lang w:val="es-ES" w:eastAsia="es-ES"/>
        </w:rPr>
        <w:t xml:space="preserve"> una asunción equilibrada de costes y riesgos</w:t>
      </w:r>
      <w:r w:rsidR="001445C2">
        <w:rPr>
          <w:rFonts w:ascii="Century Gothic" w:hAnsi="Century Gothic" w:cs="Arial"/>
          <w:color w:val="000000"/>
          <w:kern w:val="24"/>
          <w:lang w:val="es-ES" w:eastAsia="es-ES"/>
        </w:rPr>
        <w:t>.</w:t>
      </w:r>
      <w:r w:rsidR="00B17ED9">
        <w:rPr>
          <w:rFonts w:ascii="Century Gothic" w:hAnsi="Century Gothic" w:cs="Arial"/>
          <w:color w:val="000000"/>
          <w:kern w:val="24"/>
          <w:lang w:val="es-ES" w:eastAsia="es-ES"/>
        </w:rPr>
        <w:t xml:space="preserve"> Además, se debe continuar con los programas de colaboración </w:t>
      </w:r>
      <w:r w:rsidR="002701C1">
        <w:rPr>
          <w:rFonts w:ascii="Century Gothic" w:hAnsi="Century Gothic" w:cs="Arial"/>
          <w:color w:val="000000"/>
          <w:kern w:val="24"/>
          <w:lang w:val="es-ES" w:eastAsia="es-ES"/>
        </w:rPr>
        <w:t>desarrollados por el CDTI como Interconecta, etc.</w:t>
      </w:r>
    </w:p>
    <w:p w14:paraId="2564B30A" w14:textId="6E5B04B5" w:rsidR="00EF1D70" w:rsidRPr="00412E0E" w:rsidRDefault="00921217" w:rsidP="00757E55">
      <w:pPr>
        <w:pStyle w:val="Prrafodelista"/>
        <w:numPr>
          <w:ilvl w:val="0"/>
          <w:numId w:val="32"/>
        </w:numPr>
        <w:rPr>
          <w:rFonts w:ascii="Century Gothic" w:hAnsi="Century Gothic" w:cs="Arial"/>
          <w:b/>
          <w:color w:val="000000"/>
          <w:kern w:val="24"/>
          <w:lang w:val="es-ES" w:eastAsia="es-ES"/>
        </w:rPr>
      </w:pPr>
      <w:r w:rsidRPr="00C5169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C51697">
        <w:rPr>
          <w:rFonts w:ascii="Century Gothic" w:hAnsi="Century Gothic" w:cs="Arial"/>
          <w:b/>
          <w:color w:val="000000"/>
          <w:kern w:val="24"/>
          <w:lang w:val="es-ES" w:eastAsia="es-ES"/>
        </w:rPr>
        <w:t xml:space="preserve"> Fomentar programas de innovación entre las PYME así como el desarrollo de </w:t>
      </w:r>
      <w:r w:rsidR="003E7856">
        <w:rPr>
          <w:rFonts w:ascii="Century Gothic" w:hAnsi="Century Gothic" w:cs="Arial"/>
          <w:b/>
          <w:color w:val="000000"/>
          <w:kern w:val="24"/>
          <w:lang w:val="es-ES" w:eastAsia="es-ES"/>
        </w:rPr>
        <w:t>eco</w:t>
      </w:r>
      <w:r w:rsidRPr="00C51697">
        <w:rPr>
          <w:rFonts w:ascii="Century Gothic" w:hAnsi="Century Gothic" w:cs="Arial"/>
          <w:b/>
          <w:color w:val="000000"/>
          <w:kern w:val="24"/>
          <w:lang w:val="es-ES" w:eastAsia="es-ES"/>
        </w:rPr>
        <w:t>sistemas innovadores.</w:t>
      </w:r>
      <w:r w:rsidR="00412E0E">
        <w:rPr>
          <w:rFonts w:ascii="Century Gothic" w:hAnsi="Century Gothic" w:cs="Arial"/>
          <w:b/>
          <w:color w:val="000000"/>
          <w:kern w:val="24"/>
          <w:lang w:val="es-ES" w:eastAsia="es-ES"/>
        </w:rPr>
        <w:t xml:space="preserve"> </w:t>
      </w:r>
      <w:r w:rsidR="00412E0E" w:rsidRPr="007C68D0">
        <w:rPr>
          <w:rFonts w:ascii="Century Gothic" w:hAnsi="Century Gothic" w:cs="Arial"/>
          <w:color w:val="000000"/>
          <w:kern w:val="24"/>
          <w:lang w:val="es-ES" w:eastAsia="es-ES"/>
        </w:rPr>
        <w:t>Es importante que las Administraciones públicas fomenten la creación de empresas innovadoras y apoyen a las PYME innovadoras, bien poniendo a su disposición un adecuado mix de instrumentos que incluyan tanto instrumentos financieros como beneficios fiscales, asesoramiento, etc., así como mediante el desarrollo redes de intercambio y conocimiento sobre innovación y emprendimiento, prestando especial atención a los aspectos ligados a la transformación digital.</w:t>
      </w:r>
      <w:r w:rsidR="009A155F">
        <w:rPr>
          <w:rFonts w:ascii="Century Gothic" w:hAnsi="Century Gothic" w:cs="Arial"/>
          <w:color w:val="000000"/>
          <w:kern w:val="24"/>
          <w:lang w:val="es-ES" w:eastAsia="es-ES"/>
        </w:rPr>
        <w:t xml:space="preserve"> </w:t>
      </w:r>
      <w:r w:rsidR="008239CD" w:rsidRPr="008239CD">
        <w:rPr>
          <w:rFonts w:ascii="Century Gothic" w:hAnsi="Century Gothic" w:cs="Arial"/>
          <w:color w:val="000000"/>
          <w:kern w:val="24"/>
          <w:lang w:val="es-ES" w:eastAsia="es-ES"/>
        </w:rPr>
        <w:t xml:space="preserve">Igualmente es necesario seguir introduciendo medidas que </w:t>
      </w:r>
      <w:r w:rsidR="00214D97" w:rsidRPr="008239CD">
        <w:rPr>
          <w:rFonts w:ascii="Century Gothic" w:hAnsi="Century Gothic" w:cs="Arial"/>
          <w:color w:val="000000"/>
          <w:kern w:val="24"/>
          <w:lang w:val="es-ES" w:eastAsia="es-ES"/>
        </w:rPr>
        <w:t>fomenten</w:t>
      </w:r>
      <w:r w:rsidR="00214D97">
        <w:rPr>
          <w:rFonts w:ascii="Century Gothic" w:hAnsi="Century Gothic" w:cs="Arial"/>
          <w:color w:val="000000"/>
          <w:kern w:val="24"/>
          <w:lang w:val="es-ES" w:eastAsia="es-ES"/>
        </w:rPr>
        <w:t xml:space="preserve"> </w:t>
      </w:r>
      <w:r w:rsidR="008239CD" w:rsidRPr="008239CD">
        <w:rPr>
          <w:rFonts w:ascii="Century Gothic" w:hAnsi="Century Gothic" w:cs="Arial"/>
          <w:color w:val="000000"/>
          <w:kern w:val="24"/>
          <w:lang w:val="es-ES" w:eastAsia="es-ES"/>
        </w:rPr>
        <w:t>la cultura emprendedora en el colectivo docente e investigador como fórmula para la transferencia de resultados de investigación científica</w:t>
      </w:r>
      <w:r w:rsidR="008239CD">
        <w:rPr>
          <w:rFonts w:ascii="Century Gothic" w:hAnsi="Century Gothic" w:cs="Arial"/>
          <w:color w:val="000000"/>
          <w:kern w:val="24"/>
          <w:lang w:val="es-ES" w:eastAsia="es-ES"/>
        </w:rPr>
        <w:t>.</w:t>
      </w:r>
    </w:p>
    <w:p w14:paraId="7A57B4C1" w14:textId="429AD1DD" w:rsidR="00412E0E" w:rsidRPr="00412E0E" w:rsidRDefault="00412E0E" w:rsidP="00F17B41">
      <w:pPr>
        <w:spacing w:line="276" w:lineRule="auto"/>
        <w:ind w:left="426"/>
        <w:rPr>
          <w:rFonts w:ascii="Century Gothic" w:hAnsi="Century Gothic" w:cs="Arial"/>
          <w:color w:val="000000"/>
          <w:kern w:val="24"/>
          <w:lang w:val="es-ES" w:eastAsia="es-ES"/>
        </w:rPr>
      </w:pPr>
      <w:r>
        <w:rPr>
          <w:rFonts w:ascii="Century Gothic" w:hAnsi="Century Gothic" w:cs="Arial"/>
          <w:color w:val="000000"/>
          <w:kern w:val="24"/>
          <w:lang w:val="es-ES" w:eastAsia="es-ES"/>
        </w:rPr>
        <w:t>Además, se promoverá la prestación de servicios por parte de los Centros Tecnológicos para la modernización del tejido empresarial.</w:t>
      </w:r>
    </w:p>
    <w:p w14:paraId="592A1FA4" w14:textId="4F83E3D5" w:rsidR="00EF1D70" w:rsidRDefault="00944ABE" w:rsidP="00F17B41">
      <w:pPr>
        <w:spacing w:line="276" w:lineRule="auto"/>
        <w:ind w:left="426"/>
        <w:rPr>
          <w:rFonts w:ascii="Century Gothic" w:hAnsi="Century Gothic" w:cs="Arial"/>
          <w:color w:val="000000"/>
          <w:kern w:val="24"/>
          <w:lang w:val="es-ES" w:eastAsia="es-ES"/>
        </w:rPr>
      </w:pPr>
      <w:r w:rsidRPr="00EF1D70">
        <w:rPr>
          <w:rFonts w:ascii="Century Gothic" w:hAnsi="Century Gothic" w:cs="Arial"/>
          <w:color w:val="000000"/>
          <w:kern w:val="24"/>
          <w:lang w:val="es-ES" w:eastAsia="es-ES"/>
        </w:rPr>
        <w:t>El impulso a los Digital Innovation Hubs como elementos aglutinadores de estos ecosistemas, permitirá una mayor eficiencia en el uso de los recursos públicos y el establecimiento de alianzas transfronterizas que mejoren la digitalización de las empresas.</w:t>
      </w:r>
      <w:r w:rsidR="00412E0E">
        <w:rPr>
          <w:rFonts w:ascii="Century Gothic" w:hAnsi="Century Gothic" w:cs="Arial"/>
          <w:color w:val="000000"/>
          <w:kern w:val="24"/>
          <w:lang w:val="es-ES" w:eastAsia="es-ES"/>
        </w:rPr>
        <w:t xml:space="preserve"> </w:t>
      </w:r>
      <w:r w:rsidR="00412E0E" w:rsidRPr="007C68D0">
        <w:rPr>
          <w:rFonts w:ascii="Century Gothic" w:hAnsi="Century Gothic" w:cs="Arial"/>
          <w:color w:val="000000"/>
          <w:kern w:val="24"/>
          <w:lang w:val="es-ES" w:eastAsia="es-ES"/>
        </w:rPr>
        <w:t xml:space="preserve">Igualmente, es fundamental que los agentes del Sistema Español de Ciencia, Tecnología e Innovación promuevan conjuntamente la valorización de los resultados de las actividades de I+D+i realizadas facilitando la co-generación y transferencia de </w:t>
      </w:r>
      <w:r w:rsidR="005E6C15" w:rsidRPr="007C68D0">
        <w:rPr>
          <w:rFonts w:ascii="Century Gothic" w:hAnsi="Century Gothic" w:cs="Arial"/>
          <w:color w:val="000000"/>
          <w:kern w:val="24"/>
          <w:lang w:val="es-ES" w:eastAsia="es-ES"/>
        </w:rPr>
        <w:t>conocimientos,</w:t>
      </w:r>
      <w:r w:rsidR="00412E0E" w:rsidRPr="007C68D0">
        <w:rPr>
          <w:rFonts w:ascii="Century Gothic" w:hAnsi="Century Gothic" w:cs="Arial"/>
          <w:color w:val="000000"/>
          <w:kern w:val="24"/>
          <w:lang w:val="es-ES" w:eastAsia="es-ES"/>
        </w:rPr>
        <w:t xml:space="preserve"> así como la orientación de sus agendas de investigación e innovación hacia las demandas de las empresas de menor tamaño.</w:t>
      </w:r>
      <w:r w:rsidR="00412E0E">
        <w:rPr>
          <w:rFonts w:ascii="Century Gothic" w:hAnsi="Century Gothic" w:cs="Arial"/>
          <w:color w:val="000000"/>
          <w:kern w:val="24"/>
          <w:lang w:val="es-ES" w:eastAsia="es-ES"/>
        </w:rPr>
        <w:t xml:space="preserve"> </w:t>
      </w:r>
    </w:p>
    <w:p w14:paraId="01B9B961" w14:textId="2D2897C0" w:rsidR="00921217" w:rsidRPr="00EF1D70" w:rsidRDefault="00A62B68" w:rsidP="00F17B41">
      <w:pPr>
        <w:spacing w:line="276" w:lineRule="auto"/>
        <w:ind w:left="426"/>
        <w:rPr>
          <w:rFonts w:ascii="Century Gothic" w:hAnsi="Century Gothic" w:cs="Arial"/>
          <w:b/>
          <w:color w:val="000000"/>
          <w:kern w:val="24"/>
          <w:lang w:val="es-ES" w:eastAsia="es-ES"/>
        </w:rPr>
      </w:pPr>
      <w:r w:rsidRPr="00EF1D70">
        <w:rPr>
          <w:rFonts w:ascii="Century Gothic" w:hAnsi="Century Gothic" w:cs="Arial"/>
          <w:color w:val="000000"/>
          <w:kern w:val="24"/>
          <w:lang w:val="es-ES" w:eastAsia="es-ES"/>
        </w:rPr>
        <w:t xml:space="preserve">Además, es necesaria una continua revisión de las ayudas adaptando los requisitos a </w:t>
      </w:r>
      <w:r w:rsidR="009200E1" w:rsidRPr="00EF1D70">
        <w:rPr>
          <w:rFonts w:ascii="Century Gothic" w:hAnsi="Century Gothic" w:cs="Arial"/>
          <w:color w:val="000000"/>
          <w:kern w:val="24"/>
          <w:lang w:val="es-ES" w:eastAsia="es-ES"/>
        </w:rPr>
        <w:t>las necesidades</w:t>
      </w:r>
      <w:r w:rsidRPr="00EF1D70">
        <w:rPr>
          <w:rFonts w:ascii="Century Gothic" w:hAnsi="Century Gothic" w:cs="Arial"/>
          <w:color w:val="000000"/>
          <w:kern w:val="24"/>
          <w:lang w:val="es-ES" w:eastAsia="es-ES"/>
        </w:rPr>
        <w:t xml:space="preserve"> de las PYME</w:t>
      </w:r>
      <w:r w:rsidR="00A94C38" w:rsidRPr="00EF1D70">
        <w:rPr>
          <w:rFonts w:ascii="Century Gothic" w:hAnsi="Century Gothic" w:cs="Arial"/>
          <w:color w:val="000000"/>
          <w:kern w:val="24"/>
          <w:lang w:val="es-ES" w:eastAsia="es-ES"/>
        </w:rPr>
        <w:t xml:space="preserve">, </w:t>
      </w:r>
      <w:r w:rsidR="002701C1">
        <w:rPr>
          <w:rFonts w:ascii="Century Gothic" w:hAnsi="Century Gothic" w:cs="Arial"/>
          <w:color w:val="000000"/>
          <w:kern w:val="24"/>
          <w:lang w:val="es-ES" w:eastAsia="es-ES"/>
        </w:rPr>
        <w:t xml:space="preserve">potenciar el papel del </w:t>
      </w:r>
      <w:r w:rsidR="00BB0337">
        <w:rPr>
          <w:rFonts w:ascii="Century Gothic" w:hAnsi="Century Gothic" w:cs="Arial"/>
          <w:color w:val="000000"/>
          <w:kern w:val="24"/>
          <w:lang w:val="es-ES" w:eastAsia="es-ES"/>
        </w:rPr>
        <w:t>CDTI,</w:t>
      </w:r>
      <w:r w:rsidR="002701C1">
        <w:rPr>
          <w:rFonts w:ascii="Century Gothic" w:hAnsi="Century Gothic" w:cs="Arial"/>
          <w:color w:val="000000"/>
          <w:kern w:val="24"/>
          <w:lang w:val="es-ES" w:eastAsia="es-ES"/>
        </w:rPr>
        <w:t xml:space="preserve"> </w:t>
      </w:r>
      <w:r w:rsidR="00A94C38" w:rsidRPr="00EF1D70">
        <w:rPr>
          <w:rFonts w:ascii="Century Gothic" w:hAnsi="Century Gothic" w:cs="Arial"/>
          <w:color w:val="000000"/>
          <w:kern w:val="24"/>
          <w:lang w:val="es-ES" w:eastAsia="es-ES"/>
        </w:rPr>
        <w:t xml:space="preserve">así como el </w:t>
      </w:r>
      <w:r w:rsidR="002701C1">
        <w:rPr>
          <w:rFonts w:ascii="Century Gothic" w:hAnsi="Century Gothic"/>
          <w:lang w:val="es-ES"/>
        </w:rPr>
        <w:t>fortalecer</w:t>
      </w:r>
      <w:r w:rsidR="00A94C38" w:rsidRPr="00EF1D70">
        <w:rPr>
          <w:rFonts w:ascii="Century Gothic" w:hAnsi="Century Gothic"/>
          <w:lang w:val="es-ES"/>
        </w:rPr>
        <w:t xml:space="preserve"> la red de Puntos de Información sobre Actividades de Investigación, Desarrollo e Innovación (red PIDI</w:t>
      </w:r>
      <w:r w:rsidR="00412E0E">
        <w:rPr>
          <w:rFonts w:ascii="Century Gothic" w:hAnsi="Century Gothic"/>
          <w:lang w:val="es-ES"/>
        </w:rPr>
        <w:t xml:space="preserve"> </w:t>
      </w:r>
      <w:r w:rsidR="00412E0E" w:rsidRPr="007C68D0">
        <w:rPr>
          <w:rFonts w:ascii="Century Gothic" w:hAnsi="Century Gothic"/>
          <w:lang w:val="es-ES"/>
        </w:rPr>
        <w:t xml:space="preserve">del </w:t>
      </w:r>
      <w:r w:rsidR="008239CD">
        <w:rPr>
          <w:rFonts w:ascii="Century Gothic" w:hAnsi="Century Gothic"/>
          <w:lang w:val="es-ES"/>
        </w:rPr>
        <w:t>CDTI</w:t>
      </w:r>
      <w:r w:rsidR="00A94C38" w:rsidRPr="00EF1D70">
        <w:rPr>
          <w:rFonts w:ascii="Century Gothic" w:hAnsi="Century Gothic"/>
          <w:lang w:val="es-ES"/>
        </w:rPr>
        <w:t>)</w:t>
      </w:r>
      <w:r w:rsidRPr="00EF1D70">
        <w:rPr>
          <w:rFonts w:ascii="Century Gothic" w:hAnsi="Century Gothic" w:cs="Arial"/>
          <w:color w:val="000000"/>
          <w:kern w:val="24"/>
          <w:lang w:val="es-ES" w:eastAsia="es-ES"/>
        </w:rPr>
        <w:t>.</w:t>
      </w:r>
    </w:p>
    <w:p w14:paraId="70C1DDEA" w14:textId="08EBB7AA" w:rsidR="001445C2" w:rsidRPr="001445C2" w:rsidRDefault="001445C2" w:rsidP="00757E55">
      <w:pPr>
        <w:pStyle w:val="Prrafodelista"/>
        <w:numPr>
          <w:ilvl w:val="0"/>
          <w:numId w:val="32"/>
        </w:numPr>
        <w:rPr>
          <w:rFonts w:ascii="Century Gothic" w:hAnsi="Century Gothic" w:cs="Arial"/>
          <w:b/>
          <w:color w:val="000000"/>
          <w:kern w:val="24"/>
          <w:lang w:val="es-ES" w:eastAsia="es-ES"/>
        </w:rPr>
      </w:pPr>
      <w:r>
        <w:rPr>
          <w:rFonts w:ascii="Century Gothic" w:hAnsi="Century Gothic" w:cs="Arial"/>
          <w:b/>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w:t>
      </w:r>
      <w:r w:rsidRPr="001445C2">
        <w:rPr>
          <w:rFonts w:ascii="Century Gothic" w:hAnsi="Century Gothic" w:cs="Arial"/>
          <w:b/>
          <w:color w:val="000000"/>
          <w:kern w:val="24"/>
          <w:lang w:val="es-ES" w:eastAsia="es-ES"/>
        </w:rPr>
        <w:t xml:space="preserve">ventanilla única </w:t>
      </w:r>
      <w:r>
        <w:rPr>
          <w:rFonts w:ascii="Century Gothic" w:hAnsi="Century Gothic" w:cs="Arial"/>
          <w:b/>
          <w:color w:val="000000"/>
          <w:kern w:val="24"/>
          <w:lang w:val="es-ES" w:eastAsia="es-ES"/>
        </w:rPr>
        <w:t>para</w:t>
      </w:r>
      <w:r w:rsidRPr="001445C2">
        <w:rPr>
          <w:rFonts w:ascii="Century Gothic" w:hAnsi="Century Gothic" w:cs="Arial"/>
          <w:b/>
          <w:color w:val="000000"/>
          <w:kern w:val="24"/>
          <w:lang w:val="es-ES" w:eastAsia="es-ES"/>
        </w:rPr>
        <w:t xml:space="preserve"> la innovación</w:t>
      </w:r>
      <w:r>
        <w:rPr>
          <w:rFonts w:ascii="Century Gothic" w:hAnsi="Century Gothic" w:cs="Arial"/>
          <w:b/>
          <w:color w:val="000000"/>
          <w:kern w:val="24"/>
          <w:lang w:val="es-ES" w:eastAsia="es-ES"/>
        </w:rPr>
        <w:t>.</w:t>
      </w:r>
      <w:r>
        <w:rPr>
          <w:rFonts w:ascii="Century Gothic" w:hAnsi="Century Gothic"/>
          <w:b/>
          <w:lang w:val="es-ES"/>
        </w:rPr>
        <w:t xml:space="preserve"> </w:t>
      </w:r>
      <w:r w:rsidRPr="001445C2">
        <w:rPr>
          <w:rFonts w:ascii="Century Gothic" w:hAnsi="Century Gothic" w:cs="Arial"/>
          <w:color w:val="000000"/>
          <w:kern w:val="24"/>
          <w:lang w:val="es-ES" w:eastAsia="es-ES"/>
        </w:rPr>
        <w:t>Implantar (sin que suponga un incremento del gasto público) una ventanilla única (similar, por ejemplo, a la que ya existe en el ámbito tributario) o un punto de información y asistencia en la materia, tanto para empresas como instituciones e investigadores.</w:t>
      </w:r>
    </w:p>
    <w:p w14:paraId="4D097C5A" w14:textId="465286C0" w:rsidR="002A2E97" w:rsidRPr="002A2E97" w:rsidRDefault="002A2E97" w:rsidP="00757E55">
      <w:pPr>
        <w:pStyle w:val="Prrafodelista"/>
        <w:numPr>
          <w:ilvl w:val="0"/>
          <w:numId w:val="32"/>
        </w:numPr>
        <w:rPr>
          <w:rFonts w:ascii="Century Gothic" w:hAnsi="Century Gothic" w:cs="Arial"/>
          <w:b/>
          <w:color w:val="000000"/>
          <w:kern w:val="24"/>
          <w:lang w:val="es-ES" w:eastAsia="es-ES"/>
        </w:rPr>
      </w:pPr>
      <w:r>
        <w:rPr>
          <w:rFonts w:ascii="Century Gothic" w:hAnsi="Century Gothic" w:cs="Arial"/>
          <w:b/>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Financiación para la digitalización. </w:t>
      </w:r>
      <w:r w:rsidRPr="002A2E97">
        <w:rPr>
          <w:rFonts w:ascii="Century Gothic" w:hAnsi="Century Gothic"/>
          <w:lang w:val="es-ES"/>
        </w:rPr>
        <w:t>Mejorar la disponibilidad de diversas vías de financiación de las PYME, para estimular la adaptación a las tecnologías digitales</w:t>
      </w:r>
      <w:r w:rsidR="0069344C">
        <w:rPr>
          <w:rFonts w:ascii="Century Gothic" w:hAnsi="Century Gothic"/>
          <w:lang w:val="es-ES"/>
        </w:rPr>
        <w:t>, d</w:t>
      </w:r>
      <w:r w:rsidR="0069344C" w:rsidRPr="0069344C">
        <w:rPr>
          <w:rFonts w:ascii="Century Gothic" w:hAnsi="Century Gothic"/>
          <w:lang w:val="es-ES"/>
        </w:rPr>
        <w:t>iseña</w:t>
      </w:r>
      <w:r w:rsidR="0069344C">
        <w:rPr>
          <w:rFonts w:ascii="Century Gothic" w:hAnsi="Century Gothic"/>
          <w:lang w:val="es-ES"/>
        </w:rPr>
        <w:t>ndo</w:t>
      </w:r>
      <w:r w:rsidR="0069344C" w:rsidRPr="0069344C">
        <w:rPr>
          <w:rFonts w:ascii="Century Gothic" w:hAnsi="Century Gothic"/>
          <w:lang w:val="es-ES"/>
        </w:rPr>
        <w:t xml:space="preserve"> instrumentos financieros que no sólo permitan que las empresas tecnológicas desarrollen nuevos productos, sino que permitan también que los sectores productivos los prueben y los refinen como paso previo a su adopción.</w:t>
      </w:r>
    </w:p>
    <w:p w14:paraId="7FF478C9" w14:textId="77777777" w:rsidR="002A2E97" w:rsidRPr="00C51697" w:rsidRDefault="002A2E97" w:rsidP="00757E55">
      <w:pPr>
        <w:pStyle w:val="Prrafodelista"/>
        <w:numPr>
          <w:ilvl w:val="0"/>
          <w:numId w:val="32"/>
        </w:numPr>
        <w:rPr>
          <w:rFonts w:ascii="Century Gothic" w:hAnsi="Century Gothic" w:cs="Arial"/>
          <w:b/>
          <w:color w:val="000000"/>
          <w:kern w:val="24"/>
          <w:lang w:val="es-ES" w:eastAsia="es-ES"/>
        </w:rPr>
      </w:pPr>
      <w:r>
        <w:rPr>
          <w:rFonts w:ascii="Century Gothic" w:hAnsi="Century Gothic" w:cs="Arial"/>
          <w:b/>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Desarrollar programas de asistencia para PYME en Industria 4.0. </w:t>
      </w:r>
      <w:r w:rsidRPr="00882E1C">
        <w:rPr>
          <w:rFonts w:ascii="Century Gothic" w:hAnsi="Century Gothic"/>
          <w:lang w:val="es-ES"/>
        </w:rPr>
        <w:t>Establecer</w:t>
      </w:r>
      <w:r w:rsidR="00882E1C">
        <w:rPr>
          <w:rFonts w:ascii="Century Gothic" w:hAnsi="Century Gothic"/>
          <w:b/>
          <w:lang w:val="es-ES"/>
        </w:rPr>
        <w:t xml:space="preserve"> </w:t>
      </w:r>
      <w:r w:rsidR="00882E1C" w:rsidRPr="00882E1C">
        <w:rPr>
          <w:rFonts w:ascii="Century Gothic" w:hAnsi="Century Gothic"/>
          <w:lang w:val="es-ES"/>
        </w:rPr>
        <w:t xml:space="preserve">programas que permitan un </w:t>
      </w:r>
      <w:r w:rsidR="00882E1C" w:rsidRPr="00882E1C">
        <w:rPr>
          <w:rFonts w:ascii="Century Gothic" w:hAnsi="Century Gothic"/>
          <w:bCs/>
          <w:lang w:val="es-ES"/>
        </w:rPr>
        <w:t xml:space="preserve">diagnóstico sobre </w:t>
      </w:r>
      <w:r w:rsidR="00882E1C">
        <w:rPr>
          <w:rFonts w:ascii="Century Gothic" w:hAnsi="Century Gothic"/>
          <w:bCs/>
          <w:lang w:val="es-ES"/>
        </w:rPr>
        <w:t>el</w:t>
      </w:r>
      <w:r w:rsidR="00882E1C" w:rsidRPr="00882E1C">
        <w:rPr>
          <w:rFonts w:ascii="Century Gothic" w:hAnsi="Century Gothic"/>
          <w:bCs/>
          <w:lang w:val="es-ES"/>
        </w:rPr>
        <w:t xml:space="preserve"> grado de madurez </w:t>
      </w:r>
      <w:r w:rsidR="00882E1C">
        <w:rPr>
          <w:rFonts w:ascii="Century Gothic" w:hAnsi="Century Gothic"/>
          <w:bCs/>
          <w:lang w:val="es-ES"/>
        </w:rPr>
        <w:t>e</w:t>
      </w:r>
      <w:r w:rsidR="00882E1C" w:rsidRPr="00882E1C">
        <w:rPr>
          <w:rFonts w:ascii="Century Gothic" w:hAnsi="Century Gothic"/>
          <w:bCs/>
          <w:lang w:val="es-ES"/>
        </w:rPr>
        <w:t>n este ámbito, así como un plan de mejoras digitales. Continuar con los programas actualmente operativos: Herramienta de autodiagnóstico avanzado (HADA), y Activa Industria 4.0.</w:t>
      </w:r>
      <w:r w:rsidR="00882E1C">
        <w:rPr>
          <w:rFonts w:ascii="Century Gothic" w:hAnsi="Century Gothic"/>
          <w:bCs/>
          <w:lang w:val="es-ES"/>
        </w:rPr>
        <w:t xml:space="preserve"> Valorar su extensión a otros sectores de actividad.</w:t>
      </w:r>
    </w:p>
    <w:p w14:paraId="66170CC0" w14:textId="0C63A893" w:rsidR="001721E0" w:rsidRPr="001721E0" w:rsidRDefault="001721E0" w:rsidP="00757E55">
      <w:pPr>
        <w:pStyle w:val="Prrafodelista"/>
        <w:numPr>
          <w:ilvl w:val="0"/>
          <w:numId w:val="32"/>
        </w:numPr>
        <w:spacing w:after="240"/>
        <w:rPr>
          <w:rFonts w:ascii="Century Gothic" w:hAnsi="Century Gothic" w:cs="Arial"/>
          <w:color w:val="000000"/>
          <w:kern w:val="24"/>
          <w:lang w:val="es-ES" w:eastAsia="es-ES"/>
        </w:rPr>
      </w:pPr>
      <w:r w:rsidRPr="001721E0">
        <w:rPr>
          <w:rFonts w:ascii="Century Gothic" w:hAnsi="Century Gothic" w:cs="Arial"/>
          <w:b/>
          <w:color w:val="000000"/>
          <w:kern w:val="24"/>
          <w:lang w:val="es-ES" w:eastAsia="es-ES"/>
        </w:rPr>
        <w:lastRenderedPageBreak/>
        <w:t>LA</w:t>
      </w:r>
      <w:r w:rsidRPr="00CF48DB">
        <w:rPr>
          <w:rFonts w:ascii="Century Gothic" w:hAnsi="Century Gothic"/>
          <w:b/>
          <w:lang w:val="es-ES"/>
        </w:rPr>
        <w:fldChar w:fldCharType="begin"/>
      </w:r>
      <w:r w:rsidRPr="001721E0">
        <w:rPr>
          <w:rFonts w:ascii="Century Gothic" w:hAnsi="Century Gothic"/>
          <w:b/>
          <w:lang w:val="es-ES"/>
        </w:rPr>
        <w:instrText xml:space="preserve"> AUTONUM  </w:instrText>
      </w:r>
      <w:r w:rsidRPr="00CF48DB">
        <w:rPr>
          <w:rFonts w:ascii="Century Gothic" w:hAnsi="Century Gothic"/>
          <w:b/>
          <w:lang w:val="es-ES"/>
        </w:rPr>
        <w:fldChar w:fldCharType="end"/>
      </w:r>
      <w:r w:rsidRPr="001721E0">
        <w:rPr>
          <w:rFonts w:ascii="Century Gothic" w:hAnsi="Century Gothic"/>
          <w:b/>
          <w:lang w:val="es-ES"/>
        </w:rPr>
        <w:t xml:space="preserve"> Apoyo a la incorporación de tecnologías facilitadoras – KET. </w:t>
      </w:r>
      <w:r w:rsidRPr="001721E0">
        <w:rPr>
          <w:rFonts w:ascii="Century Gothic" w:hAnsi="Century Gothic"/>
          <w:lang w:val="es-ES"/>
        </w:rPr>
        <w:t>Aplicar diversos instrumentos para lograr que las empresas incorporen Tecnologías Facilitadoras – K</w:t>
      </w:r>
      <w:r w:rsidR="006B7119">
        <w:rPr>
          <w:rFonts w:ascii="Century Gothic" w:hAnsi="Century Gothic"/>
          <w:lang w:val="es-ES"/>
        </w:rPr>
        <w:t>ET (nanotecnología, mico y nano</w:t>
      </w:r>
      <w:r w:rsidRPr="001721E0">
        <w:rPr>
          <w:rFonts w:ascii="Century Gothic" w:hAnsi="Century Gothic"/>
          <w:lang w:val="es-ES"/>
        </w:rPr>
        <w:t>electrónica, fotónica, materiales avanzados, sistemas avanzados de fabricación y biotecnología industrial) en la fabricación de sus productos, ya sea en los procesos de fabricación, en los materiales que utilizan o en los productos que comercializan.</w:t>
      </w:r>
    </w:p>
    <w:p w14:paraId="60CAC408" w14:textId="06D9C05A" w:rsidR="00E14754" w:rsidRDefault="00921217" w:rsidP="00757E55">
      <w:pPr>
        <w:pStyle w:val="Prrafodelista"/>
        <w:numPr>
          <w:ilvl w:val="0"/>
          <w:numId w:val="32"/>
        </w:numPr>
        <w:spacing w:after="240"/>
        <w:ind w:left="426" w:hanging="357"/>
        <w:rPr>
          <w:rFonts w:ascii="Century Gothic" w:hAnsi="Century Gothic" w:cs="Arial"/>
          <w:b/>
          <w:color w:val="000000"/>
          <w:kern w:val="24"/>
          <w:lang w:val="es-ES" w:eastAsia="es-ES"/>
        </w:rPr>
      </w:pPr>
      <w:r w:rsidRPr="00901876">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901876">
        <w:rPr>
          <w:rFonts w:ascii="Century Gothic" w:hAnsi="Century Gothic" w:cs="Arial"/>
          <w:b/>
          <w:color w:val="000000"/>
          <w:kern w:val="24"/>
          <w:lang w:val="es-ES" w:eastAsia="es-ES"/>
        </w:rPr>
        <w:t xml:space="preserve"> Fomentar el conocimiento entre la PYME sobre cómo proteger sus derechos de propiedad industrial</w:t>
      </w:r>
      <w:r w:rsidR="00C70EE6">
        <w:rPr>
          <w:rFonts w:ascii="Century Gothic" w:hAnsi="Century Gothic" w:cs="Arial"/>
          <w:b/>
          <w:color w:val="000000"/>
          <w:kern w:val="24"/>
          <w:lang w:val="es-ES" w:eastAsia="es-ES"/>
        </w:rPr>
        <w:t xml:space="preserve"> así como todo lo relativo a la propiedad intelectual</w:t>
      </w:r>
      <w:r w:rsidRPr="00901876">
        <w:rPr>
          <w:rFonts w:ascii="Century Gothic" w:hAnsi="Century Gothic" w:cs="Arial"/>
          <w:b/>
          <w:color w:val="000000"/>
          <w:kern w:val="24"/>
          <w:lang w:val="es-ES" w:eastAsia="es-ES"/>
        </w:rPr>
        <w:t>.</w:t>
      </w:r>
    </w:p>
    <w:p w14:paraId="5DCF616A" w14:textId="4927811E" w:rsidR="00764333" w:rsidRPr="00921217" w:rsidRDefault="00764333" w:rsidP="00757E55">
      <w:pPr>
        <w:pStyle w:val="Prrafodelista"/>
        <w:numPr>
          <w:ilvl w:val="0"/>
          <w:numId w:val="32"/>
        </w:numPr>
        <w:spacing w:after="240"/>
        <w:rPr>
          <w:rFonts w:ascii="Century Gothic" w:hAnsi="Century Gothic" w:cs="Arial"/>
          <w:b/>
          <w:color w:val="000000"/>
          <w:kern w:val="24"/>
          <w:lang w:val="es-ES" w:eastAsia="es-ES"/>
        </w:rPr>
      </w:pPr>
      <w:r>
        <w:rPr>
          <w:rFonts w:ascii="Century Gothic" w:hAnsi="Century Gothic" w:cs="Arial"/>
          <w:b/>
          <w:color w:val="000000"/>
          <w:kern w:val="24"/>
          <w:lang w:val="es-ES" w:eastAsia="es-ES"/>
        </w:rPr>
        <w:t>LA</w:t>
      </w:r>
      <w:r>
        <w:rPr>
          <w:rFonts w:ascii="Century Gothic" w:hAnsi="Century Gothic"/>
          <w:b/>
          <w:lang w:val="es-ES"/>
        </w:rPr>
        <w:fldChar w:fldCharType="begin"/>
      </w:r>
      <w:r>
        <w:rPr>
          <w:rFonts w:ascii="Century Gothic" w:hAnsi="Century Gothic"/>
          <w:b/>
          <w:lang w:val="es-ES"/>
        </w:rPr>
        <w:instrText xml:space="preserve"> AUTONUM  </w:instrText>
      </w:r>
      <w:r>
        <w:rPr>
          <w:rFonts w:ascii="Century Gothic" w:hAnsi="Century Gothic"/>
          <w:b/>
          <w:lang w:val="es-ES"/>
        </w:rPr>
        <w:fldChar w:fldCharType="end"/>
      </w:r>
      <w:r>
        <w:rPr>
          <w:rFonts w:ascii="Century Gothic" w:hAnsi="Century Gothic"/>
          <w:b/>
          <w:lang w:val="es-ES"/>
        </w:rPr>
        <w:t xml:space="preserve"> Financiación para la innovación</w:t>
      </w:r>
      <w:r>
        <w:rPr>
          <w:rFonts w:ascii="Century Gothic" w:hAnsi="Century Gothic"/>
          <w:lang w:val="es-ES"/>
        </w:rPr>
        <w:t>. Mejorar los distintos instrumentos y vías financieras para las PYME de manera que se estimule su actividad innovadora</w:t>
      </w:r>
      <w:r w:rsidR="00A62B68">
        <w:rPr>
          <w:rFonts w:ascii="Century Gothic" w:hAnsi="Century Gothic"/>
          <w:lang w:val="es-ES"/>
        </w:rPr>
        <w:t>. Es importante que es</w:t>
      </w:r>
      <w:r w:rsidR="00A62B68" w:rsidRPr="00A62B68">
        <w:rPr>
          <w:rFonts w:ascii="Century Gothic" w:hAnsi="Century Gothic"/>
          <w:lang w:val="es-ES"/>
        </w:rPr>
        <w:t>tén lo suficientemente diversificados</w:t>
      </w:r>
      <w:r w:rsidR="00C94546">
        <w:rPr>
          <w:rFonts w:ascii="Century Gothic" w:hAnsi="Century Gothic"/>
          <w:lang w:val="es-ES"/>
        </w:rPr>
        <w:t>, con p</w:t>
      </w:r>
      <w:r w:rsidR="00C94546" w:rsidRPr="00C94546">
        <w:rPr>
          <w:rFonts w:ascii="Century Gothic" w:hAnsi="Century Gothic"/>
          <w:lang w:val="es-ES"/>
        </w:rPr>
        <w:t>r</w:t>
      </w:r>
      <w:r w:rsidR="00C94546">
        <w:rPr>
          <w:rFonts w:ascii="Century Gothic" w:hAnsi="Century Gothic"/>
          <w:lang w:val="es-ES"/>
        </w:rPr>
        <w:t xml:space="preserve">ocedimientos simplificados y </w:t>
      </w:r>
      <w:r w:rsidR="00C94546" w:rsidRPr="00C94546">
        <w:rPr>
          <w:rFonts w:ascii="Century Gothic" w:hAnsi="Century Gothic"/>
          <w:lang w:val="es-ES"/>
        </w:rPr>
        <w:t>rápidos</w:t>
      </w:r>
      <w:r w:rsidR="00C94546">
        <w:rPr>
          <w:rFonts w:ascii="Century Gothic" w:hAnsi="Century Gothic"/>
          <w:lang w:val="es-ES"/>
        </w:rPr>
        <w:t xml:space="preserve"> (sobre todo para ayudas de importes bajos, hasta 250.000 €, por ej.) </w:t>
      </w:r>
      <w:r w:rsidR="00A62B68" w:rsidRPr="00A62B68">
        <w:rPr>
          <w:rFonts w:ascii="Century Gothic" w:hAnsi="Century Gothic"/>
          <w:lang w:val="es-ES"/>
        </w:rPr>
        <w:t xml:space="preserve">y </w:t>
      </w:r>
      <w:r w:rsidR="00C94546">
        <w:rPr>
          <w:rFonts w:ascii="Century Gothic" w:hAnsi="Century Gothic"/>
          <w:lang w:val="es-ES"/>
        </w:rPr>
        <w:t xml:space="preserve">que </w:t>
      </w:r>
      <w:r w:rsidR="00A62B68" w:rsidRPr="00A62B68">
        <w:rPr>
          <w:rFonts w:ascii="Century Gothic" w:hAnsi="Century Gothic"/>
          <w:lang w:val="es-ES"/>
        </w:rPr>
        <w:t xml:space="preserve">mantengan condiciones accesibles para permitir financiar proyectos innovadores. </w:t>
      </w:r>
      <w:r w:rsidR="00C94546">
        <w:rPr>
          <w:rFonts w:ascii="Century Gothic" w:hAnsi="Century Gothic"/>
          <w:lang w:val="es-ES"/>
        </w:rPr>
        <w:t>Establecer i</w:t>
      </w:r>
      <w:r w:rsidR="00C94546" w:rsidRPr="00C94546">
        <w:rPr>
          <w:rFonts w:ascii="Century Gothic" w:hAnsi="Century Gothic"/>
          <w:lang w:val="es-ES"/>
        </w:rPr>
        <w:t xml:space="preserve">nstrumentos de </w:t>
      </w:r>
      <w:r w:rsidR="00C94546">
        <w:rPr>
          <w:rFonts w:ascii="Century Gothic" w:hAnsi="Century Gothic"/>
          <w:lang w:val="es-ES"/>
        </w:rPr>
        <w:t>g</w:t>
      </w:r>
      <w:r w:rsidR="00C94546" w:rsidRPr="00C94546">
        <w:rPr>
          <w:rFonts w:ascii="Century Gothic" w:hAnsi="Century Gothic"/>
          <w:lang w:val="es-ES"/>
        </w:rPr>
        <w:t>arantía, para que la PYME pueda acceder a las ayudas financieras “Prestamos” para desarrollar sus proyectos de I+D</w:t>
      </w:r>
      <w:r w:rsidR="00C94546">
        <w:rPr>
          <w:rFonts w:ascii="Century Gothic" w:hAnsi="Century Gothic"/>
          <w:lang w:val="es-ES"/>
        </w:rPr>
        <w:t>.</w:t>
      </w:r>
      <w:r w:rsidR="00C94546" w:rsidRPr="00C94546">
        <w:rPr>
          <w:rFonts w:ascii="Century Gothic" w:hAnsi="Century Gothic"/>
          <w:lang w:val="es-ES"/>
        </w:rPr>
        <w:t xml:space="preserve"> </w:t>
      </w:r>
      <w:r w:rsidR="00A62B68">
        <w:rPr>
          <w:rFonts w:ascii="Century Gothic" w:hAnsi="Century Gothic"/>
          <w:lang w:val="es-ES"/>
        </w:rPr>
        <w:t xml:space="preserve">Además, </w:t>
      </w:r>
      <w:r w:rsidR="00A62B68" w:rsidRPr="00A62B68">
        <w:rPr>
          <w:rFonts w:ascii="Century Gothic" w:hAnsi="Century Gothic"/>
          <w:lang w:val="es-ES"/>
        </w:rPr>
        <w:t>estos instrumentos deben adaptarse a las necesidades de retorno de las inversiones en innovación y del riesgo asumido en cada una de estas operaciones por las empresas de reducida dimensión</w:t>
      </w:r>
      <w:r>
        <w:rPr>
          <w:rFonts w:ascii="Century Gothic" w:hAnsi="Century Gothic"/>
          <w:lang w:val="es-ES"/>
        </w:rPr>
        <w:t>.</w:t>
      </w:r>
      <w:r w:rsidR="005274CF">
        <w:rPr>
          <w:rFonts w:ascii="Century Gothic" w:hAnsi="Century Gothic"/>
          <w:lang w:val="es-ES"/>
        </w:rPr>
        <w:t xml:space="preserve"> </w:t>
      </w:r>
    </w:p>
    <w:p w14:paraId="77D8F8AB" w14:textId="77777777" w:rsidR="00A67E65" w:rsidRDefault="00A67E65" w:rsidP="00A67E65">
      <w:pPr>
        <w:pStyle w:val="Ttulo2"/>
        <w:keepLines/>
        <w:numPr>
          <w:ilvl w:val="1"/>
          <w:numId w:val="28"/>
        </w:numPr>
        <w:spacing w:after="120" w:line="276" w:lineRule="auto"/>
        <w:rPr>
          <w:rFonts w:cs="Arial"/>
          <w:color w:val="003399"/>
          <w:sz w:val="24"/>
          <w:lang w:val="es-ES"/>
        </w:rPr>
      </w:pPr>
      <w:bookmarkStart w:id="75" w:name="_Toc527630353"/>
      <w:r w:rsidRPr="00A67E65">
        <w:rPr>
          <w:rFonts w:cs="Arial"/>
          <w:color w:val="003399"/>
          <w:sz w:val="24"/>
          <w:lang w:val="es-ES"/>
        </w:rPr>
        <w:t>Sostenibilidad</w:t>
      </w:r>
      <w:bookmarkEnd w:id="75"/>
    </w:p>
    <w:p w14:paraId="59C8BE2B" w14:textId="77777777" w:rsidR="00A67E65" w:rsidRDefault="00A67E65" w:rsidP="00A67E65">
      <w:pPr>
        <w:pStyle w:val="Ttulo3"/>
      </w:pPr>
      <w:bookmarkStart w:id="76" w:name="_Toc527630354"/>
      <w:r>
        <w:t>Marco conceptual y diagnóstico</w:t>
      </w:r>
      <w:bookmarkEnd w:id="76"/>
    </w:p>
    <w:p w14:paraId="05344FD1" w14:textId="4C513339" w:rsidR="00A67E65" w:rsidRPr="00C51697" w:rsidRDefault="00C90F2D" w:rsidP="002F26AD">
      <w:pPr>
        <w:pStyle w:val="Body"/>
      </w:pPr>
      <w:r>
        <w:t>U</w:t>
      </w:r>
      <w:r w:rsidR="00A67E65" w:rsidRPr="00C51697">
        <w:t xml:space="preserve">no de los objetivos emblemáticos de la </w:t>
      </w:r>
      <w:hyperlink r:id="rId56" w:history="1">
        <w:r w:rsidR="00A67E65" w:rsidRPr="00C51697">
          <w:t>Estrategia Europa 2020</w:t>
        </w:r>
      </w:hyperlink>
      <w:r w:rsidR="00A67E65" w:rsidRPr="00C51697">
        <w:t xml:space="preserve"> es situar las emisiones de gases de efecto invernadero un 20% (o incluso un 30 %) por debajo de los niveles de 1990, generar el 20% de nuestras necesidades de energía a partir de fuentes renovables y aumentar la eficacia energética un 20%. </w:t>
      </w:r>
    </w:p>
    <w:p w14:paraId="289CCB1F" w14:textId="77777777" w:rsidR="001F2175" w:rsidRDefault="00A67E65" w:rsidP="002F26AD">
      <w:pPr>
        <w:pStyle w:val="Body"/>
      </w:pPr>
      <w:r w:rsidRPr="00C51697">
        <w:t xml:space="preserve">En los últimos años la preocupación por el uso eficiente de los recursos y su implicación en el bienestar social, es decir, en la creación de crecimiento y empleo, va más allá y se ha acuñado el concepto de “Economía Circular”. </w:t>
      </w:r>
    </w:p>
    <w:p w14:paraId="42E6B062" w14:textId="092C084D" w:rsidR="00A67E65" w:rsidRPr="00C51697" w:rsidRDefault="00A67E65" w:rsidP="002F26AD">
      <w:pPr>
        <w:pStyle w:val="Body"/>
      </w:pPr>
      <w:r w:rsidRPr="00C51697">
        <w:t xml:space="preserve">Este concepto </w:t>
      </w:r>
      <w:r w:rsidR="006B7119">
        <w:t>se sitúa en</w:t>
      </w:r>
      <w:r w:rsidRPr="00C51697">
        <w:t xml:space="preserve"> una intersección de aspectos económicos y medioambientales ya que se trata de que el valor de los recursos (agua, energía) se mantenga en la economía el mayor tiempo posible a la vez que se reduce al mínimo la generación de residuos. </w:t>
      </w:r>
      <w:r w:rsidR="006B7119">
        <w:t>Así</w:t>
      </w:r>
      <w:r w:rsidRPr="00C51697">
        <w:t xml:space="preserve">, se </w:t>
      </w:r>
      <w:r w:rsidR="00BC5E84">
        <w:t>pretende c</w:t>
      </w:r>
      <w:r w:rsidRPr="00C51697">
        <w:t>ambiar el modelo productivo y de consumo, de linear a circular, a partir del principio de «cerrar el ciclo de vida» de los productos, los servicios, los residuos, los materiales, el agua y la energía.</w:t>
      </w:r>
    </w:p>
    <w:p w14:paraId="270986EE" w14:textId="0CE295D6" w:rsidR="00A67E65" w:rsidRPr="00C51697" w:rsidRDefault="00A67E65" w:rsidP="002F26AD">
      <w:pPr>
        <w:pStyle w:val="Body"/>
      </w:pPr>
      <w:r w:rsidRPr="00C51697">
        <w:t xml:space="preserve">Este deseo de que poco a poco se vaya logrando una transición hacia una economía circular se plasma en la Agenda 2030 para el Desarrollo Sostenible, publicada por Naciones Unidas en septiembre 2015 y </w:t>
      </w:r>
      <w:r w:rsidR="00BC5E84">
        <w:t xml:space="preserve">en </w:t>
      </w:r>
      <w:r w:rsidRPr="00C51697">
        <w:t>el Plan de Acción de la UE para la Economía Circular de diciembre de 2015 de la Comisión Europea</w:t>
      </w:r>
      <w:r w:rsidR="00BC5E84">
        <w:t>, entre otros documentos</w:t>
      </w:r>
      <w:r w:rsidRPr="00C51697">
        <w:t>.</w:t>
      </w:r>
    </w:p>
    <w:p w14:paraId="3F9B4013" w14:textId="77777777" w:rsidR="006B7119" w:rsidRPr="006B7119" w:rsidRDefault="006B7119" w:rsidP="00EC21C0">
      <w:pPr>
        <w:pStyle w:val="NormalWeb"/>
        <w:spacing w:after="0" w:line="276" w:lineRule="auto"/>
        <w:jc w:val="both"/>
        <w:rPr>
          <w:rFonts w:ascii="Century Gothic" w:eastAsia="Times New Roman" w:hAnsi="Century Gothic"/>
          <w:sz w:val="20"/>
          <w:szCs w:val="20"/>
          <w:lang w:eastAsia="en-US"/>
        </w:rPr>
      </w:pPr>
      <w:r w:rsidRPr="006B7119">
        <w:rPr>
          <w:rFonts w:ascii="Century Gothic" w:eastAsia="Times New Roman" w:hAnsi="Century Gothic"/>
          <w:sz w:val="20"/>
          <w:szCs w:val="20"/>
          <w:lang w:eastAsia="en-US"/>
        </w:rPr>
        <w:t xml:space="preserve">Los gobiernos tanto español como comunitario vienen desarrollando en los últimos años medidas para facilitar y favorecer el paso de las empresas a la economía circular. Así, desde marzo de 2017 el gobierno español está trabajando en la elaboración de una Estrategia </w:t>
      </w:r>
      <w:r w:rsidRPr="006B7119">
        <w:rPr>
          <w:rFonts w:ascii="Century Gothic" w:eastAsia="Times New Roman" w:hAnsi="Century Gothic"/>
          <w:sz w:val="20"/>
          <w:szCs w:val="20"/>
          <w:lang w:eastAsia="en-US"/>
        </w:rPr>
        <w:lastRenderedPageBreak/>
        <w:t xml:space="preserve">Española de Economía Circular en línea con la europea (Paquete de medidas y Plan de Acción Europeo). </w:t>
      </w:r>
    </w:p>
    <w:p w14:paraId="5B985D3F" w14:textId="0998CE98" w:rsidR="006B7119" w:rsidRDefault="006B7119" w:rsidP="006B7119">
      <w:pPr>
        <w:pStyle w:val="NormalWeb"/>
        <w:spacing w:before="0" w:beforeAutospacing="0" w:after="0" w:afterAutospacing="0" w:line="276" w:lineRule="auto"/>
        <w:jc w:val="both"/>
        <w:rPr>
          <w:rFonts w:ascii="Century Gothic" w:eastAsia="Times New Roman" w:hAnsi="Century Gothic"/>
          <w:sz w:val="20"/>
          <w:szCs w:val="20"/>
          <w:lang w:eastAsia="en-US"/>
        </w:rPr>
      </w:pPr>
      <w:r w:rsidRPr="006B7119">
        <w:rPr>
          <w:rFonts w:ascii="Century Gothic" w:eastAsia="Times New Roman" w:hAnsi="Century Gothic"/>
          <w:sz w:val="20"/>
          <w:szCs w:val="20"/>
          <w:lang w:eastAsia="en-US"/>
        </w:rPr>
        <w:t xml:space="preserve">En este sentido, el primer plan de acción 2018-2020 de esta Estrategia se estructura en torno a cinco líneas principales de actuación: producción, consumo, gestión de residuos, materias primas secundarias, y reutilización del agua junto con tres líneas de carácter transversal: sensibilización, investigación, innovación y competitividad, y empleo y formación.  </w:t>
      </w:r>
    </w:p>
    <w:p w14:paraId="40AF44DE" w14:textId="77777777" w:rsidR="006B7119" w:rsidRDefault="006B7119" w:rsidP="00894208">
      <w:pPr>
        <w:pStyle w:val="NormalWeb"/>
        <w:spacing w:before="0" w:beforeAutospacing="0" w:after="0" w:afterAutospacing="0" w:line="276" w:lineRule="auto"/>
        <w:jc w:val="both"/>
        <w:rPr>
          <w:rFonts w:ascii="Century Gothic" w:eastAsia="Times New Roman" w:hAnsi="Century Gothic"/>
          <w:sz w:val="20"/>
          <w:szCs w:val="20"/>
          <w:lang w:eastAsia="en-US"/>
        </w:rPr>
      </w:pPr>
    </w:p>
    <w:p w14:paraId="51B40C92" w14:textId="67E71133" w:rsidR="00A67E65" w:rsidRDefault="00714711" w:rsidP="00894208">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 xml:space="preserve">Para </w:t>
      </w:r>
      <w:r w:rsidR="006B7119">
        <w:rPr>
          <w:rFonts w:ascii="Century Gothic" w:eastAsia="Times New Roman" w:hAnsi="Century Gothic"/>
          <w:sz w:val="20"/>
          <w:szCs w:val="20"/>
          <w:lang w:eastAsia="en-US"/>
        </w:rPr>
        <w:t>conocer</w:t>
      </w:r>
      <w:r>
        <w:rPr>
          <w:rFonts w:ascii="Century Gothic" w:eastAsia="Times New Roman" w:hAnsi="Century Gothic"/>
          <w:sz w:val="20"/>
          <w:szCs w:val="20"/>
          <w:lang w:eastAsia="en-US"/>
        </w:rPr>
        <w:t xml:space="preserve"> </w:t>
      </w:r>
      <w:r w:rsidR="00F957C8" w:rsidRPr="00BC5E84">
        <w:rPr>
          <w:rFonts w:ascii="Century Gothic" w:eastAsia="Times New Roman" w:hAnsi="Century Gothic"/>
          <w:sz w:val="20"/>
          <w:szCs w:val="20"/>
          <w:lang w:eastAsia="en-US"/>
        </w:rPr>
        <w:t xml:space="preserve">la participación en la economía circular </w:t>
      </w:r>
      <w:r w:rsidR="00F957C8">
        <w:rPr>
          <w:rFonts w:ascii="Century Gothic" w:eastAsia="Times New Roman" w:hAnsi="Century Gothic"/>
          <w:sz w:val="20"/>
          <w:szCs w:val="20"/>
          <w:lang w:eastAsia="en-US"/>
        </w:rPr>
        <w:t xml:space="preserve">de las pymes europeas, </w:t>
      </w:r>
      <w:r w:rsidRPr="00BC5E84">
        <w:rPr>
          <w:rFonts w:ascii="Century Gothic" w:eastAsia="Times New Roman" w:hAnsi="Century Gothic"/>
          <w:sz w:val="20"/>
          <w:szCs w:val="20"/>
          <w:lang w:eastAsia="en-US"/>
        </w:rPr>
        <w:t>la Comisión</w:t>
      </w:r>
      <w:r>
        <w:rPr>
          <w:rFonts w:ascii="Century Gothic" w:eastAsia="Times New Roman" w:hAnsi="Century Gothic"/>
          <w:sz w:val="20"/>
          <w:szCs w:val="20"/>
          <w:lang w:eastAsia="en-US"/>
        </w:rPr>
        <w:t xml:space="preserve"> Europea</w:t>
      </w:r>
      <w:r w:rsidRPr="00BC5E84">
        <w:rPr>
          <w:rFonts w:ascii="Century Gothic" w:eastAsia="Times New Roman" w:hAnsi="Century Gothic"/>
          <w:sz w:val="20"/>
          <w:szCs w:val="20"/>
          <w:lang w:eastAsia="en-US"/>
        </w:rPr>
        <w:t xml:space="preserve"> </w:t>
      </w:r>
      <w:r w:rsidR="00F957C8">
        <w:rPr>
          <w:rFonts w:ascii="Century Gothic" w:eastAsia="Times New Roman" w:hAnsi="Century Gothic"/>
          <w:sz w:val="20"/>
          <w:szCs w:val="20"/>
          <w:lang w:eastAsia="en-US"/>
        </w:rPr>
        <w:t>realizó una encuesta</w:t>
      </w:r>
      <w:r w:rsidR="00F957C8">
        <w:rPr>
          <w:rStyle w:val="Refdenotaalpie"/>
          <w:rFonts w:ascii="Century Gothic" w:eastAsia="Times New Roman" w:hAnsi="Century Gothic"/>
          <w:sz w:val="20"/>
          <w:szCs w:val="20"/>
          <w:lang w:eastAsia="en-US"/>
        </w:rPr>
        <w:footnoteReference w:id="61"/>
      </w:r>
      <w:r w:rsidR="00F957C8">
        <w:rPr>
          <w:rFonts w:ascii="Century Gothic" w:eastAsia="Times New Roman" w:hAnsi="Century Gothic"/>
          <w:sz w:val="20"/>
          <w:szCs w:val="20"/>
          <w:lang w:eastAsia="en-US"/>
        </w:rPr>
        <w:t xml:space="preserve"> cuyos resultados </w:t>
      </w:r>
      <w:r w:rsidR="00F957C8" w:rsidRPr="00BC5E84">
        <w:rPr>
          <w:rFonts w:ascii="Century Gothic" w:eastAsia="Times New Roman" w:hAnsi="Century Gothic"/>
          <w:sz w:val="20"/>
          <w:szCs w:val="20"/>
          <w:lang w:eastAsia="en-US"/>
        </w:rPr>
        <w:t>present</w:t>
      </w:r>
      <w:r w:rsidR="00F957C8">
        <w:rPr>
          <w:rFonts w:ascii="Century Gothic" w:eastAsia="Times New Roman" w:hAnsi="Century Gothic"/>
          <w:sz w:val="20"/>
          <w:szCs w:val="20"/>
          <w:lang w:eastAsia="en-US"/>
        </w:rPr>
        <w:t xml:space="preserve">ó en junio de 2016. Dicha </w:t>
      </w:r>
      <w:r w:rsidR="00767AB4">
        <w:rPr>
          <w:rFonts w:ascii="Century Gothic" w:eastAsia="Times New Roman" w:hAnsi="Century Gothic"/>
          <w:sz w:val="20"/>
          <w:szCs w:val="20"/>
          <w:lang w:eastAsia="en-US"/>
        </w:rPr>
        <w:t xml:space="preserve">encuesta </w:t>
      </w:r>
      <w:r w:rsidR="00767AB4" w:rsidRPr="00BC5E84">
        <w:rPr>
          <w:rFonts w:ascii="Century Gothic" w:eastAsia="Times New Roman" w:hAnsi="Century Gothic"/>
          <w:sz w:val="20"/>
          <w:szCs w:val="20"/>
          <w:lang w:eastAsia="en-US"/>
        </w:rPr>
        <w:t>se</w:t>
      </w:r>
      <w:r w:rsidR="00F957C8">
        <w:rPr>
          <w:rFonts w:ascii="Century Gothic" w:eastAsia="Times New Roman" w:hAnsi="Century Gothic"/>
          <w:sz w:val="20"/>
          <w:szCs w:val="20"/>
          <w:lang w:eastAsia="en-US"/>
        </w:rPr>
        <w:t xml:space="preserve"> realizó</w:t>
      </w:r>
      <w:r w:rsidR="00F957C8" w:rsidRPr="00BC5E84">
        <w:rPr>
          <w:rFonts w:ascii="Century Gothic" w:eastAsia="Times New Roman" w:hAnsi="Century Gothic"/>
          <w:sz w:val="20"/>
          <w:szCs w:val="20"/>
          <w:lang w:eastAsia="en-US"/>
        </w:rPr>
        <w:t xml:space="preserve"> a 10.618 </w:t>
      </w:r>
      <w:r w:rsidR="00F957C8">
        <w:rPr>
          <w:rFonts w:ascii="Century Gothic" w:eastAsia="Times New Roman" w:hAnsi="Century Gothic"/>
          <w:sz w:val="20"/>
          <w:szCs w:val="20"/>
          <w:lang w:eastAsia="en-US"/>
        </w:rPr>
        <w:t>pymes</w:t>
      </w:r>
      <w:r w:rsidR="00BC5E84">
        <w:rPr>
          <w:rFonts w:ascii="Century Gothic" w:eastAsia="Times New Roman" w:hAnsi="Century Gothic"/>
          <w:sz w:val="20"/>
          <w:szCs w:val="20"/>
          <w:lang w:eastAsia="en-US"/>
        </w:rPr>
        <w:t xml:space="preserve"> de los 28 Estados Miembros.</w:t>
      </w:r>
    </w:p>
    <w:p w14:paraId="19C9A78A" w14:textId="510C8338" w:rsidR="00BC5E84" w:rsidRDefault="00BC5E84" w:rsidP="00894208">
      <w:pPr>
        <w:pStyle w:val="NormalWeb"/>
        <w:spacing w:before="0" w:beforeAutospacing="0" w:after="0" w:afterAutospacing="0" w:line="276" w:lineRule="auto"/>
        <w:jc w:val="both"/>
        <w:rPr>
          <w:rFonts w:ascii="Century Gothic" w:eastAsia="Times New Roman" w:hAnsi="Century Gothic"/>
          <w:sz w:val="20"/>
          <w:szCs w:val="20"/>
          <w:lang w:eastAsia="en-US"/>
        </w:rPr>
      </w:pPr>
    </w:p>
    <w:p w14:paraId="6812DD33" w14:textId="4B39544C" w:rsidR="00BC5E84" w:rsidRDefault="00BC5E84" w:rsidP="00894208">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En este estudio, el 73% de las empresas entrevistadas declararon que habían emprendido alguna actividad relacionada con la economía circular</w:t>
      </w:r>
      <w:r w:rsidR="00B32A89">
        <w:rPr>
          <w:rFonts w:ascii="Century Gothic" w:eastAsia="Times New Roman" w:hAnsi="Century Gothic"/>
          <w:sz w:val="20"/>
          <w:szCs w:val="20"/>
          <w:lang w:eastAsia="en-US"/>
        </w:rPr>
        <w:t xml:space="preserve"> en los últimos tres años</w:t>
      </w:r>
      <w:r>
        <w:rPr>
          <w:rFonts w:ascii="Century Gothic" w:eastAsia="Times New Roman" w:hAnsi="Century Gothic"/>
          <w:sz w:val="20"/>
          <w:szCs w:val="20"/>
          <w:lang w:eastAsia="en-US"/>
        </w:rPr>
        <w:t xml:space="preserve">, cifra superada por </w:t>
      </w:r>
      <w:r w:rsidR="0033393E">
        <w:rPr>
          <w:rFonts w:ascii="Century Gothic" w:eastAsia="Times New Roman" w:hAnsi="Century Gothic"/>
          <w:sz w:val="20"/>
          <w:szCs w:val="20"/>
          <w:lang w:eastAsia="en-US"/>
        </w:rPr>
        <w:t>las empresas españolas</w:t>
      </w:r>
      <w:r>
        <w:rPr>
          <w:rFonts w:ascii="Century Gothic" w:eastAsia="Times New Roman" w:hAnsi="Century Gothic"/>
          <w:sz w:val="20"/>
          <w:szCs w:val="20"/>
          <w:lang w:eastAsia="en-US"/>
        </w:rPr>
        <w:t xml:space="preserve"> en 12 puntos (85%).</w:t>
      </w:r>
      <w:r w:rsidR="007816C7">
        <w:rPr>
          <w:rFonts w:ascii="Century Gothic" w:eastAsia="Times New Roman" w:hAnsi="Century Gothic"/>
          <w:sz w:val="20"/>
          <w:szCs w:val="20"/>
          <w:lang w:eastAsia="en-US"/>
        </w:rPr>
        <w:t xml:space="preserve"> </w:t>
      </w:r>
      <w:r w:rsidR="00445CA0">
        <w:rPr>
          <w:rFonts w:ascii="Century Gothic" w:eastAsia="Times New Roman" w:hAnsi="Century Gothic"/>
          <w:sz w:val="20"/>
          <w:szCs w:val="20"/>
          <w:lang w:eastAsia="en-US"/>
        </w:rPr>
        <w:t>El</w:t>
      </w:r>
      <w:r w:rsidR="0030141F">
        <w:rPr>
          <w:rFonts w:ascii="Century Gothic" w:eastAsia="Times New Roman" w:hAnsi="Century Gothic"/>
          <w:sz w:val="20"/>
          <w:szCs w:val="20"/>
          <w:lang w:eastAsia="en-US"/>
        </w:rPr>
        <w:t xml:space="preserve"> reciclaje </w:t>
      </w:r>
      <w:r w:rsidR="00445CA0">
        <w:rPr>
          <w:rFonts w:ascii="Century Gothic" w:eastAsia="Times New Roman" w:hAnsi="Century Gothic"/>
          <w:sz w:val="20"/>
          <w:szCs w:val="20"/>
          <w:lang w:eastAsia="en-US"/>
        </w:rPr>
        <w:t xml:space="preserve">es la actividad emprendida por mayor número de </w:t>
      </w:r>
      <w:r w:rsidR="0030141F">
        <w:rPr>
          <w:rFonts w:ascii="Century Gothic" w:eastAsia="Times New Roman" w:hAnsi="Century Gothic"/>
          <w:sz w:val="20"/>
          <w:szCs w:val="20"/>
          <w:lang w:eastAsia="en-US"/>
        </w:rPr>
        <w:t>empresas</w:t>
      </w:r>
      <w:r w:rsidR="00445CA0">
        <w:rPr>
          <w:rFonts w:ascii="Century Gothic" w:eastAsia="Times New Roman" w:hAnsi="Century Gothic"/>
          <w:sz w:val="20"/>
          <w:szCs w:val="20"/>
          <w:lang w:eastAsia="en-US"/>
        </w:rPr>
        <w:t xml:space="preserve"> (70%)</w:t>
      </w:r>
      <w:r w:rsidR="0030141F">
        <w:rPr>
          <w:rFonts w:ascii="Century Gothic" w:eastAsia="Times New Roman" w:hAnsi="Century Gothic"/>
          <w:sz w:val="20"/>
          <w:szCs w:val="20"/>
          <w:lang w:eastAsia="en-US"/>
        </w:rPr>
        <w:t xml:space="preserve"> mientras que el uso </w:t>
      </w:r>
      <w:r w:rsidR="00445CA0">
        <w:rPr>
          <w:rFonts w:ascii="Century Gothic" w:eastAsia="Times New Roman" w:hAnsi="Century Gothic"/>
          <w:sz w:val="20"/>
          <w:szCs w:val="20"/>
          <w:lang w:eastAsia="en-US"/>
        </w:rPr>
        <w:t xml:space="preserve">de energías renovables es la que menos con sólo el 13% (véase </w:t>
      </w:r>
      <w:r w:rsidR="00626060" w:rsidRPr="004E2C80">
        <w:rPr>
          <w:rFonts w:ascii="Century Gothic" w:eastAsia="Times New Roman" w:hAnsi="Century Gothic"/>
          <w:sz w:val="20"/>
          <w:szCs w:val="20"/>
          <w:highlight w:val="yellow"/>
          <w:lang w:eastAsia="en-US"/>
        </w:rPr>
        <w:t>tabla</w:t>
      </w:r>
      <w:r w:rsidR="00626060">
        <w:rPr>
          <w:rFonts w:ascii="Century Gothic" w:eastAsia="Times New Roman" w:hAnsi="Century Gothic"/>
          <w:sz w:val="20"/>
          <w:szCs w:val="20"/>
          <w:lang w:eastAsia="en-US"/>
        </w:rPr>
        <w:t xml:space="preserve"> 10)</w:t>
      </w:r>
      <w:r w:rsidR="004E2C80">
        <w:rPr>
          <w:rFonts w:ascii="Century Gothic" w:eastAsia="Times New Roman" w:hAnsi="Century Gothic"/>
          <w:sz w:val="20"/>
          <w:szCs w:val="20"/>
          <w:lang w:eastAsia="en-US"/>
        </w:rPr>
        <w:t>.</w:t>
      </w:r>
    </w:p>
    <w:p w14:paraId="49C072C6" w14:textId="77777777" w:rsidR="00CB22B4" w:rsidRDefault="00CB22B4" w:rsidP="00894208">
      <w:pPr>
        <w:pStyle w:val="NormalWeb"/>
        <w:spacing w:before="0" w:beforeAutospacing="0" w:after="0" w:afterAutospacing="0" w:line="276" w:lineRule="auto"/>
        <w:jc w:val="both"/>
        <w:rPr>
          <w:rFonts w:ascii="Century Gothic" w:eastAsia="Times New Roman" w:hAnsi="Century Gothic"/>
          <w:sz w:val="20"/>
          <w:szCs w:val="20"/>
          <w:lang w:eastAsia="en-US"/>
        </w:rPr>
      </w:pPr>
    </w:p>
    <w:p w14:paraId="475F6F45" w14:textId="50EE433D" w:rsidR="007816C7" w:rsidRPr="008B6C6C" w:rsidRDefault="007816C7" w:rsidP="007816C7">
      <w:pPr>
        <w:pStyle w:val="Descripcin1"/>
        <w:rPr>
          <w:b w:val="0"/>
        </w:rPr>
      </w:pPr>
      <w:bookmarkStart w:id="77" w:name="_Toc526515600"/>
      <w:r w:rsidRPr="008B6C6C">
        <w:rPr>
          <w:b w:val="0"/>
        </w:rPr>
        <w:t xml:space="preserve">Tabla </w:t>
      </w:r>
      <w:r w:rsidRPr="008B6C6C">
        <w:rPr>
          <w:b w:val="0"/>
        </w:rPr>
        <w:fldChar w:fldCharType="begin"/>
      </w:r>
      <w:r w:rsidRPr="008B6C6C">
        <w:rPr>
          <w:b w:val="0"/>
        </w:rPr>
        <w:instrText xml:space="preserve"> SEQ Tabla \* ARABIC </w:instrText>
      </w:r>
      <w:r w:rsidRPr="008B6C6C">
        <w:rPr>
          <w:b w:val="0"/>
        </w:rPr>
        <w:fldChar w:fldCharType="separate"/>
      </w:r>
      <w:r w:rsidR="00764C39">
        <w:rPr>
          <w:b w:val="0"/>
          <w:noProof/>
        </w:rPr>
        <w:t>10</w:t>
      </w:r>
      <w:r w:rsidRPr="008B6C6C">
        <w:rPr>
          <w:b w:val="0"/>
        </w:rPr>
        <w:fldChar w:fldCharType="end"/>
      </w:r>
      <w:r w:rsidRPr="008B6C6C">
        <w:rPr>
          <w:b w:val="0"/>
        </w:rPr>
        <w:t xml:space="preserve">. </w:t>
      </w:r>
      <w:r w:rsidR="00CB22B4">
        <w:rPr>
          <w:b w:val="0"/>
        </w:rPr>
        <w:t>Actividades de economía circular emprendidas por las empresas española</w:t>
      </w:r>
      <w:r w:rsidR="004E2C80">
        <w:rPr>
          <w:b w:val="0"/>
        </w:rPr>
        <w:t>s</w:t>
      </w:r>
      <w:r w:rsidR="006B7119">
        <w:rPr>
          <w:b w:val="0"/>
        </w:rPr>
        <w:t xml:space="preserve"> y de la UE</w:t>
      </w:r>
      <w:r w:rsidR="00CB22B4">
        <w:rPr>
          <w:b w:val="0"/>
        </w:rPr>
        <w:t>.</w:t>
      </w:r>
      <w:bookmarkEnd w:id="77"/>
    </w:p>
    <w:tbl>
      <w:tblPr>
        <w:tblStyle w:val="Listamedia2"/>
        <w:tblW w:w="5000" w:type="pct"/>
        <w:tblCellMar>
          <w:top w:w="108" w:type="dxa"/>
          <w:bottom w:w="108" w:type="dxa"/>
        </w:tblCellMar>
        <w:tblLook w:val="04A0" w:firstRow="1" w:lastRow="0" w:firstColumn="1" w:lastColumn="0" w:noHBand="0" w:noVBand="1"/>
      </w:tblPr>
      <w:tblGrid>
        <w:gridCol w:w="4803"/>
        <w:gridCol w:w="1933"/>
        <w:gridCol w:w="2315"/>
      </w:tblGrid>
      <w:tr w:rsidR="007816C7" w:rsidRPr="0071424F" w14:paraId="33C06769" w14:textId="77777777" w:rsidTr="006B7119">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2653" w:type="pct"/>
            <w:tcBorders>
              <w:top w:val="single" w:sz="12" w:space="0" w:color="FFCC00"/>
              <w:left w:val="none" w:sz="0" w:space="0" w:color="auto"/>
              <w:bottom w:val="single" w:sz="6" w:space="0" w:color="000000" w:themeColor="text1"/>
              <w:right w:val="none" w:sz="0" w:space="0" w:color="auto"/>
            </w:tcBorders>
            <w:shd w:val="clear" w:color="auto" w:fill="auto"/>
            <w:vAlign w:val="center"/>
          </w:tcPr>
          <w:p w14:paraId="333C7B24" w14:textId="257B5B0D" w:rsidR="007816C7" w:rsidRPr="0071424F" w:rsidRDefault="00CB22B4" w:rsidP="0033393E">
            <w:pPr>
              <w:spacing w:after="0"/>
              <w:contextualSpacing/>
              <w:jc w:val="center"/>
              <w:rPr>
                <w:rFonts w:ascii="Century Gothic" w:hAnsi="Century Gothic" w:cs="Arial"/>
                <w:b/>
                <w:bCs/>
                <w:color w:val="333333"/>
                <w:sz w:val="18"/>
                <w:szCs w:val="18"/>
                <w:lang w:val="es-ES" w:eastAsia="en-GB"/>
              </w:rPr>
            </w:pPr>
            <w:r>
              <w:rPr>
                <w:rFonts w:ascii="Century Gothic" w:hAnsi="Century Gothic" w:cs="Arial"/>
                <w:b/>
                <w:bCs/>
                <w:color w:val="333333"/>
                <w:sz w:val="18"/>
                <w:szCs w:val="18"/>
                <w:lang w:val="es-ES" w:eastAsia="en-GB"/>
              </w:rPr>
              <w:t>Actividades</w:t>
            </w:r>
          </w:p>
        </w:tc>
        <w:tc>
          <w:tcPr>
            <w:tcW w:w="1068" w:type="pct"/>
            <w:tcBorders>
              <w:top w:val="single" w:sz="12" w:space="0" w:color="FFCC00"/>
              <w:left w:val="none" w:sz="0" w:space="0" w:color="auto"/>
              <w:bottom w:val="nil"/>
              <w:right w:val="none" w:sz="0" w:space="0" w:color="auto"/>
            </w:tcBorders>
            <w:shd w:val="clear" w:color="auto" w:fill="auto"/>
            <w:vAlign w:val="center"/>
          </w:tcPr>
          <w:p w14:paraId="324CDC16" w14:textId="77777777" w:rsidR="007816C7" w:rsidRPr="0071424F" w:rsidRDefault="007816C7" w:rsidP="0033393E">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España</w:t>
            </w:r>
          </w:p>
        </w:tc>
        <w:tc>
          <w:tcPr>
            <w:tcW w:w="1279" w:type="pct"/>
            <w:tcBorders>
              <w:top w:val="single" w:sz="12" w:space="0" w:color="FFCC00"/>
              <w:left w:val="none" w:sz="0" w:space="0" w:color="auto"/>
              <w:bottom w:val="nil"/>
              <w:right w:val="none" w:sz="0" w:space="0" w:color="auto"/>
            </w:tcBorders>
            <w:shd w:val="clear" w:color="auto" w:fill="auto"/>
            <w:vAlign w:val="center"/>
          </w:tcPr>
          <w:p w14:paraId="49A400D2" w14:textId="77777777" w:rsidR="007816C7" w:rsidRPr="0071424F" w:rsidRDefault="007816C7" w:rsidP="0033393E">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UE</w:t>
            </w:r>
          </w:p>
        </w:tc>
      </w:tr>
      <w:tr w:rsidR="007816C7" w:rsidRPr="0071424F" w14:paraId="660BDC31" w14:textId="77777777" w:rsidTr="006B711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3" w:type="pct"/>
            <w:tcBorders>
              <w:top w:val="single" w:sz="6" w:space="0" w:color="000000" w:themeColor="text1"/>
              <w:right w:val="nil"/>
            </w:tcBorders>
            <w:shd w:val="clear" w:color="auto" w:fill="auto"/>
            <w:vAlign w:val="center"/>
          </w:tcPr>
          <w:p w14:paraId="1793C6CC" w14:textId="78B21AED" w:rsidR="007816C7" w:rsidRPr="009B6A4C" w:rsidRDefault="00CB22B4" w:rsidP="00CB22B4">
            <w:pPr>
              <w:spacing w:after="0"/>
              <w:contextualSpacing/>
              <w:jc w:val="left"/>
              <w:rPr>
                <w:rFonts w:ascii="Century Gothic" w:hAnsi="Century Gothic" w:cs="Arial"/>
                <w:color w:val="000000"/>
                <w:sz w:val="18"/>
                <w:szCs w:val="18"/>
                <w:lang w:val="es-ES"/>
              </w:rPr>
            </w:pPr>
            <w:r>
              <w:rPr>
                <w:rFonts w:ascii="Century Gothic" w:hAnsi="Century Gothic" w:cs="Arial"/>
                <w:color w:val="000000"/>
                <w:sz w:val="18"/>
                <w:szCs w:val="18"/>
                <w:lang w:val="es-ES"/>
              </w:rPr>
              <w:t>Actividades de reciclaje</w:t>
            </w:r>
          </w:p>
        </w:tc>
        <w:tc>
          <w:tcPr>
            <w:tcW w:w="1068" w:type="pct"/>
            <w:tcBorders>
              <w:top w:val="single" w:sz="6" w:space="0" w:color="000000" w:themeColor="text1"/>
              <w:left w:val="none" w:sz="0" w:space="0" w:color="auto"/>
              <w:bottom w:val="none" w:sz="0" w:space="0" w:color="auto"/>
              <w:right w:val="none" w:sz="0" w:space="0" w:color="auto"/>
            </w:tcBorders>
            <w:shd w:val="clear" w:color="auto" w:fill="auto"/>
            <w:noWrap/>
            <w:vAlign w:val="center"/>
          </w:tcPr>
          <w:p w14:paraId="3C6D88BF" w14:textId="55FAB2B4" w:rsidR="007816C7" w:rsidRPr="009B6A4C" w:rsidRDefault="00CB22B4" w:rsidP="003339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70%</w:t>
            </w:r>
          </w:p>
        </w:tc>
        <w:tc>
          <w:tcPr>
            <w:tcW w:w="1279" w:type="pct"/>
            <w:tcBorders>
              <w:top w:val="single" w:sz="6" w:space="0" w:color="000000" w:themeColor="text1"/>
              <w:left w:val="none" w:sz="0" w:space="0" w:color="auto"/>
              <w:bottom w:val="none" w:sz="0" w:space="0" w:color="auto"/>
              <w:right w:val="nil"/>
            </w:tcBorders>
            <w:shd w:val="clear" w:color="auto" w:fill="auto"/>
            <w:noWrap/>
            <w:vAlign w:val="center"/>
          </w:tcPr>
          <w:p w14:paraId="5123D0BE" w14:textId="1E54DDA0" w:rsidR="007816C7" w:rsidRPr="009B6A4C" w:rsidRDefault="00CB22B4" w:rsidP="003339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55%</w:t>
            </w:r>
          </w:p>
        </w:tc>
      </w:tr>
      <w:tr w:rsidR="007816C7" w:rsidRPr="0071424F" w14:paraId="34A2E4CD" w14:textId="77777777" w:rsidTr="006B7119">
        <w:trPr>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700B3577" w14:textId="38FFBDD6" w:rsidR="007816C7" w:rsidRPr="009B6A4C" w:rsidRDefault="00CB22B4" w:rsidP="00CB22B4">
            <w:pPr>
              <w:spacing w:after="0"/>
              <w:contextualSpacing/>
              <w:jc w:val="left"/>
              <w:rPr>
                <w:rFonts w:ascii="Century Gothic" w:hAnsi="Century Gothic" w:cs="Arial"/>
                <w:color w:val="000000"/>
                <w:sz w:val="18"/>
                <w:szCs w:val="18"/>
                <w:lang w:val="es-ES"/>
              </w:rPr>
            </w:pPr>
            <w:r>
              <w:rPr>
                <w:rFonts w:ascii="Century Gothic" w:hAnsi="Century Gothic" w:cs="Arial"/>
                <w:color w:val="000000"/>
                <w:sz w:val="18"/>
                <w:szCs w:val="18"/>
                <w:lang w:val="es-ES"/>
              </w:rPr>
              <w:t>Actividades para minimizar el consumo energético</w:t>
            </w:r>
          </w:p>
        </w:tc>
        <w:tc>
          <w:tcPr>
            <w:tcW w:w="1068" w:type="pct"/>
            <w:shd w:val="clear" w:color="auto" w:fill="auto"/>
            <w:noWrap/>
            <w:vAlign w:val="center"/>
          </w:tcPr>
          <w:p w14:paraId="50446FDF" w14:textId="5801F97D" w:rsidR="007816C7" w:rsidRPr="009B6A4C" w:rsidRDefault="00CB22B4" w:rsidP="003339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49%</w:t>
            </w:r>
          </w:p>
        </w:tc>
        <w:tc>
          <w:tcPr>
            <w:tcW w:w="1279" w:type="pct"/>
            <w:tcBorders>
              <w:right w:val="nil"/>
            </w:tcBorders>
            <w:shd w:val="clear" w:color="auto" w:fill="auto"/>
            <w:noWrap/>
            <w:vAlign w:val="center"/>
          </w:tcPr>
          <w:p w14:paraId="6C84905B" w14:textId="1EAE7328" w:rsidR="007816C7" w:rsidRPr="009B6A4C" w:rsidRDefault="00CB22B4" w:rsidP="003339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38%</w:t>
            </w:r>
          </w:p>
        </w:tc>
      </w:tr>
      <w:tr w:rsidR="007816C7" w:rsidRPr="0071424F" w14:paraId="158F9BD4" w14:textId="77777777" w:rsidTr="006B711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68305C1F" w14:textId="05B90516" w:rsidR="007816C7" w:rsidRPr="009B6A4C" w:rsidRDefault="00CB22B4" w:rsidP="00CB22B4">
            <w:pPr>
              <w:spacing w:after="0"/>
              <w:contextualSpacing/>
              <w:jc w:val="left"/>
              <w:rPr>
                <w:rFonts w:ascii="Century Gothic" w:hAnsi="Century Gothic" w:cs="Arial"/>
                <w:color w:val="000000"/>
                <w:sz w:val="18"/>
                <w:szCs w:val="18"/>
                <w:lang w:val="es-ES"/>
              </w:rPr>
            </w:pPr>
            <w:r>
              <w:rPr>
                <w:rFonts w:ascii="Century Gothic" w:hAnsi="Century Gothic" w:cs="Arial"/>
                <w:color w:val="000000"/>
                <w:sz w:val="18"/>
                <w:szCs w:val="18"/>
                <w:lang w:val="es-ES"/>
              </w:rPr>
              <w:t xml:space="preserve">Rediseño de </w:t>
            </w:r>
            <w:r w:rsidRPr="00CB22B4">
              <w:rPr>
                <w:rFonts w:ascii="Century Gothic" w:hAnsi="Century Gothic" w:cs="Arial"/>
                <w:color w:val="000000"/>
                <w:sz w:val="18"/>
                <w:szCs w:val="18"/>
                <w:lang w:val="es-ES"/>
              </w:rPr>
              <w:t xml:space="preserve">productos y servicios para minimizar el uso de materiales o </w:t>
            </w:r>
            <w:r>
              <w:rPr>
                <w:rFonts w:ascii="Century Gothic" w:hAnsi="Century Gothic" w:cs="Arial"/>
                <w:color w:val="000000"/>
                <w:sz w:val="18"/>
                <w:szCs w:val="18"/>
                <w:lang w:val="es-ES"/>
              </w:rPr>
              <w:t xml:space="preserve">para usar </w:t>
            </w:r>
            <w:r w:rsidRPr="00CB22B4">
              <w:rPr>
                <w:rFonts w:ascii="Century Gothic" w:hAnsi="Century Gothic" w:cs="Arial"/>
                <w:color w:val="000000"/>
                <w:sz w:val="18"/>
                <w:szCs w:val="18"/>
                <w:lang w:val="es-ES"/>
              </w:rPr>
              <w:t>materiales reciclados</w:t>
            </w:r>
          </w:p>
        </w:tc>
        <w:tc>
          <w:tcPr>
            <w:tcW w:w="1068" w:type="pct"/>
            <w:tcBorders>
              <w:top w:val="none" w:sz="0" w:space="0" w:color="auto"/>
              <w:left w:val="none" w:sz="0" w:space="0" w:color="auto"/>
              <w:bottom w:val="none" w:sz="0" w:space="0" w:color="auto"/>
              <w:right w:val="none" w:sz="0" w:space="0" w:color="auto"/>
            </w:tcBorders>
            <w:shd w:val="clear" w:color="auto" w:fill="auto"/>
            <w:noWrap/>
            <w:vAlign w:val="center"/>
          </w:tcPr>
          <w:p w14:paraId="2FA5B08F" w14:textId="0F6D2952" w:rsidR="007816C7" w:rsidRPr="009B6A4C" w:rsidRDefault="006A228F" w:rsidP="003339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42%</w:t>
            </w:r>
          </w:p>
        </w:tc>
        <w:tc>
          <w:tcPr>
            <w:tcW w:w="1279" w:type="pct"/>
            <w:tcBorders>
              <w:top w:val="none" w:sz="0" w:space="0" w:color="auto"/>
              <w:left w:val="none" w:sz="0" w:space="0" w:color="auto"/>
              <w:bottom w:val="none" w:sz="0" w:space="0" w:color="auto"/>
              <w:right w:val="nil"/>
            </w:tcBorders>
            <w:shd w:val="clear" w:color="auto" w:fill="auto"/>
            <w:noWrap/>
            <w:vAlign w:val="center"/>
          </w:tcPr>
          <w:p w14:paraId="02731F97" w14:textId="0574FAC6" w:rsidR="007816C7" w:rsidRPr="009B6A4C" w:rsidRDefault="00CB22B4" w:rsidP="0033393E">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34%</w:t>
            </w:r>
          </w:p>
        </w:tc>
      </w:tr>
      <w:tr w:rsidR="007816C7" w:rsidRPr="0071424F" w14:paraId="23AF577C" w14:textId="77777777" w:rsidTr="006B7119">
        <w:trPr>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4159E1CB" w14:textId="37301D11" w:rsidR="007816C7" w:rsidRPr="009B6A4C" w:rsidRDefault="00CB22B4" w:rsidP="00CB22B4">
            <w:pPr>
              <w:spacing w:after="0"/>
              <w:contextualSpacing/>
              <w:jc w:val="left"/>
              <w:rPr>
                <w:rFonts w:ascii="Century Gothic" w:hAnsi="Century Gothic" w:cs="Arial"/>
                <w:color w:val="000000"/>
                <w:sz w:val="18"/>
                <w:szCs w:val="18"/>
                <w:lang w:val="es-ES"/>
              </w:rPr>
            </w:pPr>
            <w:r>
              <w:rPr>
                <w:rFonts w:ascii="Century Gothic" w:hAnsi="Century Gothic" w:cs="Arial"/>
                <w:color w:val="000000"/>
                <w:sz w:val="18"/>
                <w:szCs w:val="18"/>
                <w:lang w:val="es-ES"/>
              </w:rPr>
              <w:t>Minimizar el uso de agua</w:t>
            </w:r>
          </w:p>
        </w:tc>
        <w:tc>
          <w:tcPr>
            <w:tcW w:w="1068" w:type="pct"/>
            <w:tcBorders>
              <w:bottom w:val="nil"/>
            </w:tcBorders>
            <w:shd w:val="clear" w:color="auto" w:fill="auto"/>
            <w:noWrap/>
            <w:vAlign w:val="center"/>
          </w:tcPr>
          <w:p w14:paraId="7099DCB8" w14:textId="5FFD0233" w:rsidR="007816C7" w:rsidRPr="009B6A4C" w:rsidRDefault="006A228F" w:rsidP="003339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27%</w:t>
            </w:r>
          </w:p>
        </w:tc>
        <w:tc>
          <w:tcPr>
            <w:tcW w:w="1279" w:type="pct"/>
            <w:tcBorders>
              <w:bottom w:val="nil"/>
              <w:right w:val="nil"/>
            </w:tcBorders>
            <w:shd w:val="clear" w:color="auto" w:fill="auto"/>
            <w:noWrap/>
            <w:vAlign w:val="center"/>
          </w:tcPr>
          <w:p w14:paraId="59B584AA" w14:textId="4BAA5110" w:rsidR="007816C7" w:rsidRPr="009B6A4C" w:rsidRDefault="006A228F" w:rsidP="0033393E">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19%</w:t>
            </w:r>
          </w:p>
        </w:tc>
      </w:tr>
      <w:tr w:rsidR="007816C7" w:rsidRPr="002506CD" w14:paraId="16E301D1" w14:textId="77777777" w:rsidTr="006B711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18BBEED7" w14:textId="3FA5DF2F" w:rsidR="007816C7" w:rsidRDefault="00CB22B4" w:rsidP="00CB22B4">
            <w:pPr>
              <w:spacing w:after="0"/>
              <w:contextualSpacing/>
              <w:jc w:val="left"/>
              <w:rPr>
                <w:rFonts w:ascii="Century Gothic" w:hAnsi="Century Gothic" w:cs="Arial"/>
                <w:color w:val="000000"/>
                <w:sz w:val="18"/>
                <w:szCs w:val="18"/>
                <w:lang w:val="es-ES"/>
              </w:rPr>
            </w:pPr>
            <w:r>
              <w:rPr>
                <w:rFonts w:ascii="Century Gothic" w:hAnsi="Century Gothic" w:cs="Arial"/>
                <w:color w:val="000000"/>
                <w:sz w:val="18"/>
                <w:szCs w:val="18"/>
                <w:lang w:val="es-ES"/>
              </w:rPr>
              <w:t>Uso de energías renovables</w:t>
            </w:r>
          </w:p>
        </w:tc>
        <w:tc>
          <w:tcPr>
            <w:tcW w:w="1068" w:type="pct"/>
            <w:tcBorders>
              <w:top w:val="none" w:sz="0" w:space="0" w:color="auto"/>
              <w:left w:val="none" w:sz="0" w:space="0" w:color="auto"/>
              <w:right w:val="none" w:sz="0" w:space="0" w:color="auto"/>
            </w:tcBorders>
            <w:shd w:val="clear" w:color="auto" w:fill="auto"/>
            <w:noWrap/>
            <w:vAlign w:val="center"/>
          </w:tcPr>
          <w:p w14:paraId="62D69493" w14:textId="1EC25516" w:rsidR="007816C7" w:rsidRDefault="006A228F" w:rsidP="006A228F">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13%</w:t>
            </w:r>
          </w:p>
        </w:tc>
        <w:tc>
          <w:tcPr>
            <w:tcW w:w="1279" w:type="pct"/>
            <w:tcBorders>
              <w:top w:val="none" w:sz="0" w:space="0" w:color="auto"/>
              <w:left w:val="none" w:sz="0" w:space="0" w:color="auto"/>
              <w:right w:val="nil"/>
            </w:tcBorders>
            <w:shd w:val="clear" w:color="auto" w:fill="auto"/>
            <w:noWrap/>
            <w:vAlign w:val="center"/>
          </w:tcPr>
          <w:p w14:paraId="5D0EABD5" w14:textId="42F176EF" w:rsidR="007816C7" w:rsidRDefault="006A228F" w:rsidP="006A228F">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16%</w:t>
            </w:r>
          </w:p>
        </w:tc>
      </w:tr>
      <w:tr w:rsidR="006B7119" w:rsidRPr="002506CD" w14:paraId="5AFA3463" w14:textId="77777777" w:rsidTr="006B7119">
        <w:trPr>
          <w:trHeight w:val="250"/>
        </w:trPr>
        <w:tc>
          <w:tcPr>
            <w:cnfStyle w:val="001000000000" w:firstRow="0" w:lastRow="0" w:firstColumn="1" w:lastColumn="0" w:oddVBand="0" w:evenVBand="0" w:oddHBand="0" w:evenHBand="0" w:firstRowFirstColumn="0" w:firstRowLastColumn="0" w:lastRowFirstColumn="0" w:lastRowLastColumn="0"/>
            <w:tcW w:w="2653" w:type="pct"/>
            <w:tcBorders>
              <w:bottom w:val="single" w:sz="4" w:space="0" w:color="auto"/>
              <w:right w:val="nil"/>
            </w:tcBorders>
            <w:shd w:val="clear" w:color="auto" w:fill="auto"/>
            <w:vAlign w:val="center"/>
          </w:tcPr>
          <w:p w14:paraId="32F946E7" w14:textId="64EFD01F" w:rsidR="006B7119" w:rsidRDefault="006B7119" w:rsidP="00CB22B4">
            <w:pPr>
              <w:spacing w:after="0"/>
              <w:contextualSpacing/>
              <w:jc w:val="left"/>
              <w:rPr>
                <w:rFonts w:ascii="Century Gothic" w:hAnsi="Century Gothic" w:cs="Arial"/>
                <w:color w:val="000000"/>
                <w:sz w:val="18"/>
                <w:szCs w:val="18"/>
                <w:lang w:val="es-ES"/>
              </w:rPr>
            </w:pPr>
            <w:r>
              <w:rPr>
                <w:rFonts w:ascii="Century Gothic" w:hAnsi="Century Gothic" w:cs="Arial"/>
                <w:color w:val="000000"/>
                <w:sz w:val="18"/>
                <w:szCs w:val="18"/>
                <w:lang w:val="es-ES"/>
              </w:rPr>
              <w:t>Cualquiera de las anteriores</w:t>
            </w:r>
          </w:p>
        </w:tc>
        <w:tc>
          <w:tcPr>
            <w:tcW w:w="1068" w:type="pct"/>
            <w:tcBorders>
              <w:top w:val="nil"/>
              <w:bottom w:val="single" w:sz="4" w:space="0" w:color="auto"/>
            </w:tcBorders>
            <w:shd w:val="clear" w:color="auto" w:fill="auto"/>
            <w:noWrap/>
            <w:vAlign w:val="center"/>
          </w:tcPr>
          <w:p w14:paraId="2021D68C" w14:textId="21E3EC98" w:rsidR="006B7119" w:rsidRDefault="006B7119" w:rsidP="006A228F">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85%</w:t>
            </w:r>
          </w:p>
        </w:tc>
        <w:tc>
          <w:tcPr>
            <w:tcW w:w="1279" w:type="pct"/>
            <w:tcBorders>
              <w:top w:val="nil"/>
              <w:bottom w:val="single" w:sz="4" w:space="0" w:color="auto"/>
              <w:right w:val="nil"/>
            </w:tcBorders>
            <w:shd w:val="clear" w:color="auto" w:fill="auto"/>
            <w:noWrap/>
            <w:vAlign w:val="center"/>
          </w:tcPr>
          <w:p w14:paraId="4D308F67" w14:textId="749A4D47" w:rsidR="006B7119" w:rsidRDefault="006B7119" w:rsidP="006A228F">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73%</w:t>
            </w:r>
          </w:p>
        </w:tc>
      </w:tr>
      <w:tr w:rsidR="007816C7" w:rsidRPr="007916CD" w14:paraId="54E477A7" w14:textId="77777777" w:rsidTr="006B711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8" w:space="0" w:color="000000" w:themeColor="text1"/>
              <w:right w:val="nil"/>
            </w:tcBorders>
            <w:shd w:val="clear" w:color="auto" w:fill="auto"/>
            <w:vAlign w:val="center"/>
          </w:tcPr>
          <w:p w14:paraId="1DC976EF" w14:textId="3C8C3B4B" w:rsidR="007816C7" w:rsidRPr="003511C3" w:rsidRDefault="007816C7" w:rsidP="007816C7">
            <w:pPr>
              <w:spacing w:after="0"/>
              <w:contextualSpacing/>
              <w:jc w:val="left"/>
              <w:rPr>
                <w:rFonts w:ascii="Century Gothic" w:hAnsi="Century Gothic" w:cs="Arial"/>
                <w:i/>
                <w:color w:val="000000"/>
                <w:sz w:val="18"/>
                <w:szCs w:val="18"/>
                <w:lang w:val="es-ES"/>
              </w:rPr>
            </w:pPr>
            <w:r w:rsidRPr="003511C3">
              <w:rPr>
                <w:rFonts w:ascii="Century Gothic" w:hAnsi="Century Gothic" w:cs="Arial"/>
                <w:i/>
                <w:sz w:val="16"/>
                <w:szCs w:val="18"/>
                <w:lang w:val="es-ES" w:eastAsia="en-GB"/>
              </w:rPr>
              <w:t xml:space="preserve">Fuente: </w:t>
            </w:r>
            <w:r w:rsidR="006A228F">
              <w:rPr>
                <w:rFonts w:ascii="Century Gothic" w:hAnsi="Century Gothic" w:cs="Arial"/>
                <w:i/>
                <w:sz w:val="16"/>
                <w:szCs w:val="18"/>
                <w:lang w:val="es-ES" w:eastAsia="en-GB"/>
              </w:rPr>
              <w:t xml:space="preserve">Elaboración a partir de los datos del </w:t>
            </w:r>
            <w:r w:rsidR="006A228F" w:rsidRPr="006A228F">
              <w:rPr>
                <w:rFonts w:ascii="Century Gothic" w:hAnsi="Century Gothic" w:cs="Arial"/>
                <w:i/>
                <w:sz w:val="16"/>
                <w:szCs w:val="18"/>
                <w:lang w:val="es-ES" w:eastAsia="en-GB"/>
              </w:rPr>
              <w:t>Flash Eurobarometer 441</w:t>
            </w:r>
          </w:p>
        </w:tc>
      </w:tr>
    </w:tbl>
    <w:p w14:paraId="4D0F88A5" w14:textId="0B1C79C5" w:rsidR="0033393E" w:rsidRDefault="00445CA0" w:rsidP="00445CA0">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A nivel europeo se puede observar que c</w:t>
      </w:r>
      <w:r w:rsidR="0033393E" w:rsidRPr="0033393E">
        <w:rPr>
          <w:rFonts w:ascii="Century Gothic" w:eastAsia="Times New Roman" w:hAnsi="Century Gothic"/>
          <w:sz w:val="20"/>
          <w:szCs w:val="20"/>
          <w:lang w:eastAsia="en-US"/>
        </w:rPr>
        <w:t xml:space="preserve">uanto mayor es la compañía, más probable es que haya emprendido al menos una actividad relacionada con la economía circular: el 89% </w:t>
      </w:r>
      <w:r w:rsidR="0033393E">
        <w:rPr>
          <w:rFonts w:ascii="Century Gothic" w:eastAsia="Times New Roman" w:hAnsi="Century Gothic"/>
          <w:sz w:val="20"/>
          <w:szCs w:val="20"/>
          <w:lang w:eastAsia="en-US"/>
        </w:rPr>
        <w:t>de las medianas frente al</w:t>
      </w:r>
      <w:r w:rsidR="0033393E" w:rsidRPr="0033393E">
        <w:rPr>
          <w:rFonts w:ascii="Century Gothic" w:eastAsia="Times New Roman" w:hAnsi="Century Gothic"/>
          <w:sz w:val="20"/>
          <w:szCs w:val="20"/>
          <w:lang w:eastAsia="en-US"/>
        </w:rPr>
        <w:t xml:space="preserve"> </w:t>
      </w:r>
      <w:r w:rsidR="006B7119">
        <w:rPr>
          <w:rFonts w:ascii="Century Gothic" w:eastAsia="Times New Roman" w:hAnsi="Century Gothic"/>
          <w:sz w:val="20"/>
          <w:szCs w:val="20"/>
          <w:lang w:eastAsia="en-US"/>
        </w:rPr>
        <w:t>82</w:t>
      </w:r>
      <w:r w:rsidR="0033393E" w:rsidRPr="0033393E">
        <w:rPr>
          <w:rFonts w:ascii="Century Gothic" w:eastAsia="Times New Roman" w:hAnsi="Century Gothic"/>
          <w:sz w:val="20"/>
          <w:szCs w:val="20"/>
          <w:lang w:eastAsia="en-US"/>
        </w:rPr>
        <w:t xml:space="preserve">% </w:t>
      </w:r>
      <w:r w:rsidR="0033393E">
        <w:rPr>
          <w:rFonts w:ascii="Century Gothic" w:eastAsia="Times New Roman" w:hAnsi="Century Gothic"/>
          <w:sz w:val="20"/>
          <w:szCs w:val="20"/>
          <w:lang w:eastAsia="en-US"/>
        </w:rPr>
        <w:t>de las micros y</w:t>
      </w:r>
      <w:r w:rsidR="006B7119">
        <w:rPr>
          <w:rFonts w:ascii="Century Gothic" w:eastAsia="Times New Roman" w:hAnsi="Century Gothic"/>
          <w:sz w:val="20"/>
          <w:szCs w:val="20"/>
          <w:lang w:eastAsia="en-US"/>
        </w:rPr>
        <w:t xml:space="preserve"> al 72% de las</w:t>
      </w:r>
      <w:r w:rsidR="0033393E">
        <w:rPr>
          <w:rFonts w:ascii="Century Gothic" w:eastAsia="Times New Roman" w:hAnsi="Century Gothic"/>
          <w:sz w:val="20"/>
          <w:szCs w:val="20"/>
          <w:lang w:eastAsia="en-US"/>
        </w:rPr>
        <w:t xml:space="preserve"> pequeñas</w:t>
      </w:r>
      <w:r w:rsidR="0033393E" w:rsidRPr="0033393E">
        <w:rPr>
          <w:rFonts w:ascii="Century Gothic" w:eastAsia="Times New Roman" w:hAnsi="Century Gothic"/>
          <w:sz w:val="20"/>
          <w:szCs w:val="20"/>
          <w:lang w:eastAsia="en-US"/>
        </w:rPr>
        <w:t>.</w:t>
      </w:r>
    </w:p>
    <w:p w14:paraId="67F9FD0D" w14:textId="5473788A" w:rsidR="0033393E" w:rsidRPr="0033393E" w:rsidRDefault="00445CA0" w:rsidP="00445CA0">
      <w:pPr>
        <w:pStyle w:val="NormalWeb"/>
        <w:spacing w:after="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Por otro lado, en cuanto a sectores, l</w:t>
      </w:r>
      <w:r w:rsidR="0033393E" w:rsidRPr="0033393E">
        <w:rPr>
          <w:rFonts w:ascii="Century Gothic" w:eastAsia="Times New Roman" w:hAnsi="Century Gothic"/>
          <w:sz w:val="20"/>
          <w:szCs w:val="20"/>
          <w:lang w:eastAsia="en-US"/>
        </w:rPr>
        <w:t>as empresas manufactureras son las que con mayor probabilidad han emprendido al menos una actividad (79%), mientras que las empresas del sector servicios son las menos</w:t>
      </w:r>
      <w:r w:rsidR="006B7119">
        <w:rPr>
          <w:rFonts w:ascii="Century Gothic" w:eastAsia="Times New Roman" w:hAnsi="Century Gothic"/>
          <w:sz w:val="20"/>
          <w:szCs w:val="20"/>
          <w:lang w:eastAsia="en-US"/>
        </w:rPr>
        <w:t xml:space="preserve"> propensas</w:t>
      </w:r>
      <w:r w:rsidR="0033393E" w:rsidRPr="0033393E">
        <w:rPr>
          <w:rFonts w:ascii="Century Gothic" w:eastAsia="Times New Roman" w:hAnsi="Century Gothic"/>
          <w:sz w:val="20"/>
          <w:szCs w:val="20"/>
          <w:lang w:eastAsia="en-US"/>
        </w:rPr>
        <w:t xml:space="preserve"> (71%).</w:t>
      </w:r>
    </w:p>
    <w:p w14:paraId="74D3FA8A" w14:textId="190235C8" w:rsidR="00445CA0" w:rsidRPr="0033393E" w:rsidRDefault="00F957C8" w:rsidP="00445CA0">
      <w:pPr>
        <w:pStyle w:val="NormalWeb"/>
        <w:spacing w:after="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Por</w:t>
      </w:r>
      <w:r w:rsidR="00445CA0">
        <w:rPr>
          <w:rFonts w:ascii="Century Gothic" w:eastAsia="Times New Roman" w:hAnsi="Century Gothic"/>
          <w:sz w:val="20"/>
          <w:szCs w:val="20"/>
          <w:lang w:eastAsia="en-US"/>
        </w:rPr>
        <w:t xml:space="preserve"> volumen de negocios, c</w:t>
      </w:r>
      <w:r w:rsidR="0033393E" w:rsidRPr="0033393E">
        <w:rPr>
          <w:rFonts w:ascii="Century Gothic" w:eastAsia="Times New Roman" w:hAnsi="Century Gothic"/>
          <w:sz w:val="20"/>
          <w:szCs w:val="20"/>
          <w:lang w:eastAsia="en-US"/>
        </w:rPr>
        <w:t xml:space="preserve">uanto mayor es el </w:t>
      </w:r>
      <w:r w:rsidR="00445CA0">
        <w:rPr>
          <w:rFonts w:ascii="Century Gothic" w:eastAsia="Times New Roman" w:hAnsi="Century Gothic"/>
          <w:sz w:val="20"/>
          <w:szCs w:val="20"/>
          <w:lang w:eastAsia="en-US"/>
        </w:rPr>
        <w:t>mismo</w:t>
      </w:r>
      <w:r w:rsidR="0033393E" w:rsidRPr="0033393E">
        <w:rPr>
          <w:rFonts w:ascii="Century Gothic" w:eastAsia="Times New Roman" w:hAnsi="Century Gothic"/>
          <w:sz w:val="20"/>
          <w:szCs w:val="20"/>
          <w:lang w:eastAsia="en-US"/>
        </w:rPr>
        <w:t xml:space="preserve"> más probable es que </w:t>
      </w:r>
      <w:r w:rsidR="00445CA0">
        <w:rPr>
          <w:rFonts w:ascii="Century Gothic" w:eastAsia="Times New Roman" w:hAnsi="Century Gothic"/>
          <w:sz w:val="20"/>
          <w:szCs w:val="20"/>
          <w:lang w:eastAsia="en-US"/>
        </w:rPr>
        <w:t xml:space="preserve">la empresa </w:t>
      </w:r>
      <w:r w:rsidR="006B7119">
        <w:rPr>
          <w:rFonts w:ascii="Century Gothic" w:eastAsia="Times New Roman" w:hAnsi="Century Gothic"/>
          <w:sz w:val="20"/>
          <w:szCs w:val="20"/>
          <w:lang w:eastAsia="en-US"/>
        </w:rPr>
        <w:t>participe en la economía circular</w:t>
      </w:r>
      <w:r w:rsidR="00445CA0" w:rsidRPr="0033393E">
        <w:rPr>
          <w:rFonts w:ascii="Century Gothic" w:eastAsia="Times New Roman" w:hAnsi="Century Gothic"/>
          <w:sz w:val="20"/>
          <w:szCs w:val="20"/>
          <w:lang w:eastAsia="en-US"/>
        </w:rPr>
        <w:t>.</w:t>
      </w:r>
    </w:p>
    <w:p w14:paraId="3E35289C" w14:textId="6EF6D639" w:rsidR="00905307" w:rsidRDefault="00905307" w:rsidP="00F957C8">
      <w:pPr>
        <w:pStyle w:val="NormalWeb"/>
        <w:spacing w:before="0" w:beforeAutospacing="0" w:after="0" w:afterAutospacing="0" w:line="276" w:lineRule="auto"/>
        <w:jc w:val="both"/>
        <w:rPr>
          <w:rFonts w:ascii="Century Gothic" w:eastAsia="Times New Roman" w:hAnsi="Century Gothic"/>
          <w:sz w:val="20"/>
          <w:szCs w:val="20"/>
          <w:lang w:eastAsia="en-US"/>
        </w:rPr>
      </w:pPr>
      <w:r w:rsidRPr="00905307">
        <w:rPr>
          <w:rFonts w:ascii="Century Gothic" w:eastAsia="Times New Roman" w:hAnsi="Century Gothic"/>
          <w:sz w:val="20"/>
          <w:szCs w:val="20"/>
          <w:lang w:eastAsia="en-US"/>
        </w:rPr>
        <w:lastRenderedPageBreak/>
        <w:t xml:space="preserve">Las empresas que son </w:t>
      </w:r>
      <w:r w:rsidR="006B7119">
        <w:rPr>
          <w:rFonts w:ascii="Century Gothic" w:eastAsia="Times New Roman" w:hAnsi="Century Gothic"/>
          <w:sz w:val="20"/>
          <w:szCs w:val="20"/>
          <w:lang w:eastAsia="en-US"/>
        </w:rPr>
        <w:t>conocedoras</w:t>
      </w:r>
      <w:r w:rsidRPr="00905307">
        <w:rPr>
          <w:rFonts w:ascii="Century Gothic" w:eastAsia="Times New Roman" w:hAnsi="Century Gothic"/>
          <w:sz w:val="20"/>
          <w:szCs w:val="20"/>
          <w:lang w:eastAsia="en-US"/>
        </w:rPr>
        <w:t xml:space="preserve"> de los incentivos financieros de los programas gubernamentales tienen más probabilidades de haber emprendido </w:t>
      </w:r>
      <w:r>
        <w:rPr>
          <w:rFonts w:ascii="Century Gothic" w:eastAsia="Times New Roman" w:hAnsi="Century Gothic"/>
          <w:sz w:val="20"/>
          <w:szCs w:val="20"/>
          <w:lang w:eastAsia="en-US"/>
        </w:rPr>
        <w:t>alguna acción</w:t>
      </w:r>
      <w:r w:rsidRPr="00905307">
        <w:rPr>
          <w:rFonts w:ascii="Century Gothic" w:eastAsia="Times New Roman" w:hAnsi="Century Gothic"/>
          <w:sz w:val="20"/>
          <w:szCs w:val="20"/>
          <w:lang w:eastAsia="en-US"/>
        </w:rPr>
        <w:t>, en comparación con aquellas que no están al tanto (82% frente a</w:t>
      </w:r>
      <w:r>
        <w:rPr>
          <w:rFonts w:ascii="Century Gothic" w:eastAsia="Times New Roman" w:hAnsi="Century Gothic"/>
          <w:sz w:val="20"/>
          <w:szCs w:val="20"/>
          <w:lang w:eastAsia="en-US"/>
        </w:rPr>
        <w:t>l</w:t>
      </w:r>
      <w:r w:rsidRPr="00905307">
        <w:rPr>
          <w:rFonts w:ascii="Century Gothic" w:eastAsia="Times New Roman" w:hAnsi="Century Gothic"/>
          <w:sz w:val="20"/>
          <w:szCs w:val="20"/>
          <w:lang w:eastAsia="en-US"/>
        </w:rPr>
        <w:t xml:space="preserve"> 68%). Esto a pesar del hecho de que muy pocas compañías en general han usado fondos o programas gubernamentales (</w:t>
      </w:r>
      <w:r w:rsidR="00626060">
        <w:rPr>
          <w:rFonts w:ascii="Century Gothic" w:eastAsia="Times New Roman" w:hAnsi="Century Gothic"/>
          <w:sz w:val="20"/>
          <w:szCs w:val="20"/>
          <w:lang w:eastAsia="en-US"/>
        </w:rPr>
        <w:t xml:space="preserve">solo un </w:t>
      </w:r>
      <w:r w:rsidRPr="00905307">
        <w:rPr>
          <w:rFonts w:ascii="Century Gothic" w:eastAsia="Times New Roman" w:hAnsi="Century Gothic"/>
          <w:sz w:val="20"/>
          <w:szCs w:val="20"/>
          <w:lang w:eastAsia="en-US"/>
        </w:rPr>
        <w:t>3%).</w:t>
      </w:r>
    </w:p>
    <w:p w14:paraId="73602F89" w14:textId="51A5F1BE" w:rsidR="00BC5E84" w:rsidRDefault="00BC5E84" w:rsidP="00894208">
      <w:pPr>
        <w:pStyle w:val="NormalWeb"/>
        <w:spacing w:before="0" w:beforeAutospacing="0" w:after="0" w:afterAutospacing="0" w:line="276" w:lineRule="auto"/>
        <w:jc w:val="both"/>
        <w:rPr>
          <w:rFonts w:ascii="Century Gothic" w:eastAsia="Times New Roman" w:hAnsi="Century Gothic"/>
          <w:sz w:val="20"/>
          <w:szCs w:val="20"/>
          <w:lang w:eastAsia="en-US"/>
        </w:rPr>
      </w:pPr>
    </w:p>
    <w:p w14:paraId="3433319E" w14:textId="008A5DC7" w:rsidR="00222821" w:rsidRDefault="004E2C80" w:rsidP="006A228F">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 xml:space="preserve">En cuanto </w:t>
      </w:r>
      <w:r w:rsidR="00626060">
        <w:rPr>
          <w:rFonts w:ascii="Century Gothic" w:eastAsia="Times New Roman" w:hAnsi="Century Gothic"/>
          <w:sz w:val="20"/>
          <w:szCs w:val="20"/>
          <w:lang w:eastAsia="en-US"/>
        </w:rPr>
        <w:t xml:space="preserve">a </w:t>
      </w:r>
      <w:r>
        <w:rPr>
          <w:rFonts w:ascii="Century Gothic" w:eastAsia="Times New Roman" w:hAnsi="Century Gothic"/>
          <w:sz w:val="20"/>
          <w:szCs w:val="20"/>
          <w:lang w:eastAsia="en-US"/>
        </w:rPr>
        <w:t>la inversión realizada vemos que</w:t>
      </w:r>
      <w:r w:rsidR="00A2696F">
        <w:rPr>
          <w:rFonts w:ascii="Century Gothic" w:eastAsia="Times New Roman" w:hAnsi="Century Gothic"/>
          <w:sz w:val="20"/>
          <w:szCs w:val="20"/>
          <w:lang w:eastAsia="en-US"/>
        </w:rPr>
        <w:t xml:space="preserve"> </w:t>
      </w:r>
      <w:r>
        <w:rPr>
          <w:rFonts w:ascii="Century Gothic" w:eastAsia="Times New Roman" w:hAnsi="Century Gothic"/>
          <w:sz w:val="20"/>
          <w:szCs w:val="20"/>
          <w:lang w:eastAsia="en-US"/>
        </w:rPr>
        <w:t xml:space="preserve">el 23% de </w:t>
      </w:r>
      <w:r w:rsidR="00A2696F">
        <w:rPr>
          <w:rFonts w:ascii="Century Gothic" w:eastAsia="Times New Roman" w:hAnsi="Century Gothic"/>
          <w:sz w:val="20"/>
          <w:szCs w:val="20"/>
          <w:lang w:eastAsia="en-US"/>
        </w:rPr>
        <w:t xml:space="preserve">las empresas españolas declaran </w:t>
      </w:r>
      <w:r>
        <w:rPr>
          <w:rFonts w:ascii="Century Gothic" w:eastAsia="Times New Roman" w:hAnsi="Century Gothic"/>
          <w:sz w:val="20"/>
          <w:szCs w:val="20"/>
          <w:lang w:eastAsia="en-US"/>
        </w:rPr>
        <w:t xml:space="preserve">no </w:t>
      </w:r>
      <w:r w:rsidR="00A2696F">
        <w:rPr>
          <w:rFonts w:ascii="Century Gothic" w:eastAsia="Times New Roman" w:hAnsi="Century Gothic"/>
          <w:sz w:val="20"/>
          <w:szCs w:val="20"/>
          <w:lang w:eastAsia="en-US"/>
        </w:rPr>
        <w:t xml:space="preserve">haber </w:t>
      </w:r>
      <w:r>
        <w:rPr>
          <w:rFonts w:ascii="Century Gothic" w:eastAsia="Times New Roman" w:hAnsi="Century Gothic"/>
          <w:sz w:val="20"/>
          <w:szCs w:val="20"/>
          <w:lang w:eastAsia="en-US"/>
        </w:rPr>
        <w:t xml:space="preserve">realizado ninguna inversión relacionada con esta materia. </w:t>
      </w:r>
      <w:r w:rsidR="00626060">
        <w:rPr>
          <w:rFonts w:ascii="Century Gothic" w:eastAsia="Times New Roman" w:hAnsi="Century Gothic"/>
          <w:sz w:val="20"/>
          <w:szCs w:val="20"/>
          <w:lang w:eastAsia="en-US"/>
        </w:rPr>
        <w:t>En cuanto al volumen de inversión, l</w:t>
      </w:r>
      <w:r>
        <w:rPr>
          <w:rFonts w:ascii="Century Gothic" w:eastAsia="Times New Roman" w:hAnsi="Century Gothic"/>
          <w:sz w:val="20"/>
          <w:szCs w:val="20"/>
          <w:lang w:eastAsia="en-US"/>
        </w:rPr>
        <w:t xml:space="preserve">a mayoría, el 54%, </w:t>
      </w:r>
      <w:r w:rsidR="00CC555A">
        <w:rPr>
          <w:rFonts w:ascii="Century Gothic" w:eastAsia="Times New Roman" w:hAnsi="Century Gothic"/>
          <w:sz w:val="20"/>
          <w:szCs w:val="20"/>
          <w:lang w:eastAsia="en-US"/>
        </w:rPr>
        <w:t>ha invertido</w:t>
      </w:r>
      <w:r>
        <w:rPr>
          <w:rFonts w:ascii="Century Gothic" w:eastAsia="Times New Roman" w:hAnsi="Century Gothic"/>
          <w:sz w:val="20"/>
          <w:szCs w:val="20"/>
          <w:lang w:eastAsia="en-US"/>
        </w:rPr>
        <w:t xml:space="preserve"> entre </w:t>
      </w:r>
      <w:r w:rsidR="00626060">
        <w:rPr>
          <w:rFonts w:ascii="Century Gothic" w:eastAsia="Times New Roman" w:hAnsi="Century Gothic"/>
          <w:sz w:val="20"/>
          <w:szCs w:val="20"/>
          <w:lang w:eastAsia="en-US"/>
        </w:rPr>
        <w:t>el 1% y el 5% de su facturación</w:t>
      </w:r>
      <w:r w:rsidR="00445CA0">
        <w:rPr>
          <w:rFonts w:ascii="Century Gothic" w:eastAsia="Times New Roman" w:hAnsi="Century Gothic"/>
          <w:sz w:val="20"/>
          <w:szCs w:val="20"/>
          <w:lang w:eastAsia="en-US"/>
        </w:rPr>
        <w:t xml:space="preserve"> al año</w:t>
      </w:r>
      <w:r w:rsidR="00626060">
        <w:rPr>
          <w:rFonts w:ascii="Century Gothic" w:eastAsia="Times New Roman" w:hAnsi="Century Gothic"/>
          <w:sz w:val="20"/>
          <w:szCs w:val="20"/>
          <w:lang w:eastAsia="en-US"/>
        </w:rPr>
        <w:t xml:space="preserve"> (</w:t>
      </w:r>
      <w:r w:rsidR="004D2F51">
        <w:rPr>
          <w:rFonts w:ascii="Century Gothic" w:eastAsia="Times New Roman" w:hAnsi="Century Gothic"/>
          <w:sz w:val="20"/>
          <w:szCs w:val="20"/>
          <w:lang w:eastAsia="en-US"/>
        </w:rPr>
        <w:t xml:space="preserve">dato </w:t>
      </w:r>
      <w:r w:rsidR="00445CA0">
        <w:rPr>
          <w:rFonts w:ascii="Century Gothic" w:eastAsia="Times New Roman" w:hAnsi="Century Gothic"/>
          <w:sz w:val="20"/>
          <w:szCs w:val="20"/>
          <w:lang w:eastAsia="en-US"/>
        </w:rPr>
        <w:t xml:space="preserve">éste </w:t>
      </w:r>
      <w:r w:rsidR="004D2F51">
        <w:rPr>
          <w:rFonts w:ascii="Century Gothic" w:eastAsia="Times New Roman" w:hAnsi="Century Gothic"/>
          <w:sz w:val="20"/>
          <w:szCs w:val="20"/>
          <w:lang w:eastAsia="en-US"/>
        </w:rPr>
        <w:t xml:space="preserve">superior a la media europea </w:t>
      </w:r>
      <w:r w:rsidR="00626060">
        <w:rPr>
          <w:rFonts w:ascii="Century Gothic" w:eastAsia="Times New Roman" w:hAnsi="Century Gothic"/>
          <w:sz w:val="20"/>
          <w:szCs w:val="20"/>
          <w:lang w:eastAsia="en-US"/>
        </w:rPr>
        <w:t xml:space="preserve">que es </w:t>
      </w:r>
      <w:r w:rsidR="004D2F51">
        <w:rPr>
          <w:rFonts w:ascii="Century Gothic" w:eastAsia="Times New Roman" w:hAnsi="Century Gothic"/>
          <w:sz w:val="20"/>
          <w:szCs w:val="20"/>
          <w:lang w:eastAsia="en-US"/>
        </w:rPr>
        <w:t>del 46%</w:t>
      </w:r>
      <w:r w:rsidR="00626060">
        <w:rPr>
          <w:rFonts w:ascii="Century Gothic" w:eastAsia="Times New Roman" w:hAnsi="Century Gothic"/>
          <w:sz w:val="20"/>
          <w:szCs w:val="20"/>
          <w:lang w:eastAsia="en-US"/>
        </w:rPr>
        <w:t>)</w:t>
      </w:r>
      <w:r w:rsidR="004D2F51">
        <w:rPr>
          <w:rFonts w:ascii="Century Gothic" w:eastAsia="Times New Roman" w:hAnsi="Century Gothic"/>
          <w:sz w:val="20"/>
          <w:szCs w:val="20"/>
          <w:lang w:eastAsia="en-US"/>
        </w:rPr>
        <w:t xml:space="preserve">. </w:t>
      </w:r>
    </w:p>
    <w:p w14:paraId="1C4E3914" w14:textId="77777777" w:rsidR="00222821" w:rsidRDefault="00222821" w:rsidP="006A228F">
      <w:pPr>
        <w:pStyle w:val="NormalWeb"/>
        <w:spacing w:before="0" w:beforeAutospacing="0" w:after="0" w:afterAutospacing="0" w:line="276" w:lineRule="auto"/>
        <w:jc w:val="both"/>
        <w:rPr>
          <w:rFonts w:ascii="Century Gothic" w:eastAsia="Times New Roman" w:hAnsi="Century Gothic"/>
          <w:sz w:val="20"/>
          <w:szCs w:val="20"/>
          <w:lang w:eastAsia="en-US"/>
        </w:rPr>
      </w:pPr>
    </w:p>
    <w:p w14:paraId="7ECE821A" w14:textId="03AEFADF" w:rsidR="00222821" w:rsidRDefault="004D2F51" w:rsidP="006A228F">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 xml:space="preserve">No obstante, un alto porcentaje de ellas, el </w:t>
      </w:r>
      <w:r w:rsidR="00222821">
        <w:rPr>
          <w:rFonts w:ascii="Century Gothic" w:eastAsia="Times New Roman" w:hAnsi="Century Gothic"/>
          <w:sz w:val="20"/>
          <w:szCs w:val="20"/>
          <w:lang w:eastAsia="en-US"/>
        </w:rPr>
        <w:t>65</w:t>
      </w:r>
      <w:r w:rsidR="001212E8">
        <w:rPr>
          <w:rFonts w:ascii="Century Gothic" w:eastAsia="Times New Roman" w:hAnsi="Century Gothic"/>
          <w:sz w:val="20"/>
          <w:szCs w:val="20"/>
          <w:lang w:eastAsia="en-US"/>
        </w:rPr>
        <w:t>%, autofinanció</w:t>
      </w:r>
      <w:r>
        <w:rPr>
          <w:rFonts w:ascii="Century Gothic" w:eastAsia="Times New Roman" w:hAnsi="Century Gothic"/>
          <w:sz w:val="20"/>
          <w:szCs w:val="20"/>
          <w:lang w:eastAsia="en-US"/>
        </w:rPr>
        <w:t xml:space="preserve"> las actividades que </w:t>
      </w:r>
      <w:r w:rsidR="001212E8">
        <w:rPr>
          <w:rFonts w:ascii="Century Gothic" w:eastAsia="Times New Roman" w:hAnsi="Century Gothic"/>
          <w:sz w:val="20"/>
          <w:szCs w:val="20"/>
          <w:lang w:eastAsia="en-US"/>
        </w:rPr>
        <w:t>empr</w:t>
      </w:r>
      <w:r w:rsidR="00222821">
        <w:rPr>
          <w:rFonts w:ascii="Century Gothic" w:eastAsia="Times New Roman" w:hAnsi="Century Gothic"/>
          <w:sz w:val="20"/>
          <w:szCs w:val="20"/>
          <w:lang w:eastAsia="en-US"/>
        </w:rPr>
        <w:t>endi</w:t>
      </w:r>
      <w:r w:rsidR="001212E8">
        <w:rPr>
          <w:rFonts w:ascii="Century Gothic" w:eastAsia="Times New Roman" w:hAnsi="Century Gothic"/>
          <w:sz w:val="20"/>
          <w:szCs w:val="20"/>
          <w:lang w:eastAsia="en-US"/>
        </w:rPr>
        <w:t>ó</w:t>
      </w:r>
      <w:r w:rsidR="00651968">
        <w:rPr>
          <w:rFonts w:ascii="Century Gothic" w:eastAsia="Times New Roman" w:hAnsi="Century Gothic"/>
          <w:sz w:val="20"/>
          <w:szCs w:val="20"/>
          <w:lang w:eastAsia="en-US"/>
        </w:rPr>
        <w:t xml:space="preserve"> (</w:t>
      </w:r>
      <w:r w:rsidR="001212E8">
        <w:rPr>
          <w:rFonts w:ascii="Century Gothic" w:eastAsia="Times New Roman" w:hAnsi="Century Gothic"/>
          <w:sz w:val="20"/>
          <w:szCs w:val="20"/>
          <w:lang w:eastAsia="en-US"/>
        </w:rPr>
        <w:t xml:space="preserve">el </w:t>
      </w:r>
      <w:r w:rsidR="00651968">
        <w:rPr>
          <w:rFonts w:ascii="Century Gothic" w:eastAsia="Times New Roman" w:hAnsi="Century Gothic"/>
          <w:sz w:val="20"/>
          <w:szCs w:val="20"/>
          <w:lang w:eastAsia="en-US"/>
        </w:rPr>
        <w:t>70% en la UE)</w:t>
      </w:r>
      <w:r>
        <w:rPr>
          <w:rFonts w:ascii="Century Gothic" w:eastAsia="Times New Roman" w:hAnsi="Century Gothic"/>
          <w:sz w:val="20"/>
          <w:szCs w:val="20"/>
          <w:lang w:eastAsia="en-US"/>
        </w:rPr>
        <w:t>, haciendo muy poco uso de financiación externa</w:t>
      </w:r>
      <w:r w:rsidR="00222821">
        <w:rPr>
          <w:rFonts w:ascii="Century Gothic" w:eastAsia="Times New Roman" w:hAnsi="Century Gothic"/>
          <w:sz w:val="20"/>
          <w:szCs w:val="20"/>
          <w:lang w:eastAsia="en-US"/>
        </w:rPr>
        <w:t xml:space="preserve"> (sólo el 18% de las empresas españolas utilizaron financiación bancaria para ello)</w:t>
      </w:r>
      <w:r>
        <w:rPr>
          <w:rFonts w:ascii="Century Gothic" w:eastAsia="Times New Roman" w:hAnsi="Century Gothic"/>
          <w:sz w:val="20"/>
          <w:szCs w:val="20"/>
          <w:lang w:eastAsia="en-US"/>
        </w:rPr>
        <w:t>.</w:t>
      </w:r>
      <w:r w:rsidR="00222821">
        <w:rPr>
          <w:rFonts w:ascii="Century Gothic" w:eastAsia="Times New Roman" w:hAnsi="Century Gothic"/>
          <w:sz w:val="20"/>
          <w:szCs w:val="20"/>
          <w:lang w:eastAsia="en-US"/>
        </w:rPr>
        <w:t xml:space="preserve"> Con carácter general, las empresas europeas opinan que no es fácil acceder a financiación para costear este tipo de iniciativas (sólo el 13% les fue fácil encontrar inversión). Ello explicaría </w:t>
      </w:r>
      <w:r w:rsidR="00651968">
        <w:rPr>
          <w:rFonts w:ascii="Century Gothic" w:eastAsia="Times New Roman" w:hAnsi="Century Gothic"/>
          <w:sz w:val="20"/>
          <w:szCs w:val="20"/>
          <w:lang w:eastAsia="en-US"/>
        </w:rPr>
        <w:t>este</w:t>
      </w:r>
      <w:r w:rsidR="00222821">
        <w:rPr>
          <w:rFonts w:ascii="Century Gothic" w:eastAsia="Times New Roman" w:hAnsi="Century Gothic"/>
          <w:sz w:val="20"/>
          <w:szCs w:val="20"/>
          <w:lang w:eastAsia="en-US"/>
        </w:rPr>
        <w:t xml:space="preserve"> uso mayoritario de fondos propios.</w:t>
      </w:r>
    </w:p>
    <w:p w14:paraId="6ADAF222" w14:textId="77777777" w:rsidR="006B7119" w:rsidRDefault="006B7119" w:rsidP="006A228F">
      <w:pPr>
        <w:pStyle w:val="NormalWeb"/>
        <w:spacing w:before="0" w:beforeAutospacing="0" w:after="0" w:afterAutospacing="0" w:line="276" w:lineRule="auto"/>
        <w:jc w:val="both"/>
        <w:rPr>
          <w:rFonts w:ascii="Century Gothic" w:eastAsia="Times New Roman" w:hAnsi="Century Gothic"/>
          <w:sz w:val="20"/>
          <w:szCs w:val="20"/>
          <w:lang w:eastAsia="en-US"/>
        </w:rPr>
      </w:pPr>
    </w:p>
    <w:p w14:paraId="25C63912" w14:textId="6DA4FB3C" w:rsidR="00324DEE" w:rsidRDefault="00651968" w:rsidP="006A228F">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 xml:space="preserve">La encuesta </w:t>
      </w:r>
      <w:r w:rsidR="00CF4208">
        <w:rPr>
          <w:rFonts w:ascii="Century Gothic" w:eastAsia="Times New Roman" w:hAnsi="Century Gothic"/>
          <w:sz w:val="20"/>
          <w:szCs w:val="20"/>
          <w:lang w:eastAsia="en-US"/>
        </w:rPr>
        <w:t xml:space="preserve">también preguntaba </w:t>
      </w:r>
      <w:r w:rsidR="001212E8">
        <w:rPr>
          <w:rFonts w:ascii="Century Gothic" w:eastAsia="Times New Roman" w:hAnsi="Century Gothic"/>
          <w:sz w:val="20"/>
          <w:szCs w:val="20"/>
          <w:lang w:eastAsia="en-US"/>
        </w:rPr>
        <w:t>los problemas que</w:t>
      </w:r>
      <w:r w:rsidR="00CF4208">
        <w:rPr>
          <w:rFonts w:ascii="Century Gothic" w:eastAsia="Times New Roman" w:hAnsi="Century Gothic"/>
          <w:sz w:val="20"/>
          <w:szCs w:val="20"/>
          <w:lang w:eastAsia="en-US"/>
        </w:rPr>
        <w:t xml:space="preserve"> las empresas encontraron a la hora de emprender acciones relacionadas con la economía circular. Estos problemas tenían que ver con </w:t>
      </w:r>
      <w:r w:rsidR="00F80923">
        <w:rPr>
          <w:rFonts w:ascii="Century Gothic" w:eastAsia="Times New Roman" w:hAnsi="Century Gothic"/>
          <w:sz w:val="20"/>
          <w:szCs w:val="20"/>
          <w:lang w:eastAsia="en-US"/>
        </w:rPr>
        <w:t>l</w:t>
      </w:r>
      <w:r w:rsidR="00CF4208">
        <w:rPr>
          <w:rFonts w:ascii="Century Gothic" w:eastAsia="Times New Roman" w:hAnsi="Century Gothic"/>
          <w:sz w:val="20"/>
          <w:szCs w:val="20"/>
          <w:lang w:eastAsia="en-US"/>
        </w:rPr>
        <w:t xml:space="preserve">os procedimientos administrativos, </w:t>
      </w:r>
      <w:r w:rsidR="00F80923">
        <w:rPr>
          <w:rFonts w:ascii="Century Gothic" w:eastAsia="Times New Roman" w:hAnsi="Century Gothic"/>
          <w:sz w:val="20"/>
          <w:szCs w:val="20"/>
          <w:lang w:eastAsia="en-US"/>
        </w:rPr>
        <w:t xml:space="preserve">el </w:t>
      </w:r>
      <w:r w:rsidR="00CF4208">
        <w:rPr>
          <w:rFonts w:ascii="Century Gothic" w:eastAsia="Times New Roman" w:hAnsi="Century Gothic"/>
          <w:sz w:val="20"/>
          <w:szCs w:val="20"/>
          <w:lang w:eastAsia="en-US"/>
        </w:rPr>
        <w:t>coste para cumplir las obligaciones o estándares, dificultades de acceso a la financiación, falta de conocimiento para implementarlas o falta de personal cualificado, principalmente.</w:t>
      </w:r>
    </w:p>
    <w:p w14:paraId="78786090" w14:textId="538E6227" w:rsidR="00222821" w:rsidRDefault="00222821" w:rsidP="006A228F">
      <w:pPr>
        <w:pStyle w:val="NormalWeb"/>
        <w:spacing w:before="0" w:beforeAutospacing="0" w:after="0" w:afterAutospacing="0" w:line="276" w:lineRule="auto"/>
        <w:jc w:val="both"/>
        <w:rPr>
          <w:rFonts w:ascii="Century Gothic" w:eastAsia="Times New Roman" w:hAnsi="Century Gothic"/>
          <w:sz w:val="20"/>
          <w:szCs w:val="20"/>
          <w:lang w:eastAsia="en-US"/>
        </w:rPr>
      </w:pPr>
    </w:p>
    <w:p w14:paraId="18584B09" w14:textId="61AE0BF4" w:rsidR="00D95AC4" w:rsidRDefault="00D95AC4" w:rsidP="006A228F">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En el caso de las empresas españolas,</w:t>
      </w:r>
      <w:r w:rsidR="009F5A63">
        <w:rPr>
          <w:rFonts w:ascii="Century Gothic" w:eastAsia="Times New Roman" w:hAnsi="Century Gothic"/>
          <w:sz w:val="20"/>
          <w:szCs w:val="20"/>
          <w:lang w:eastAsia="en-US"/>
        </w:rPr>
        <w:t xml:space="preserve"> sólo el 37% no encontraron dificultades</w:t>
      </w:r>
      <w:r w:rsidR="006B7119">
        <w:rPr>
          <w:rFonts w:ascii="Century Gothic" w:eastAsia="Times New Roman" w:hAnsi="Century Gothic"/>
          <w:sz w:val="20"/>
          <w:szCs w:val="20"/>
          <w:lang w:eastAsia="en-US"/>
        </w:rPr>
        <w:t xml:space="preserve"> para emprender actividades de economía circular</w:t>
      </w:r>
      <w:r w:rsidR="009F5A63">
        <w:rPr>
          <w:rFonts w:ascii="Century Gothic" w:eastAsia="Times New Roman" w:hAnsi="Century Gothic"/>
          <w:sz w:val="20"/>
          <w:szCs w:val="20"/>
          <w:lang w:eastAsia="en-US"/>
        </w:rPr>
        <w:t xml:space="preserve">, el resto halló algún tipo de problema (véase </w:t>
      </w:r>
      <w:r w:rsidR="009F5A63" w:rsidRPr="009F5A63">
        <w:rPr>
          <w:rFonts w:ascii="Century Gothic" w:eastAsia="Times New Roman" w:hAnsi="Century Gothic"/>
          <w:sz w:val="20"/>
          <w:szCs w:val="20"/>
          <w:highlight w:val="yellow"/>
          <w:lang w:eastAsia="en-US"/>
        </w:rPr>
        <w:t>tabla</w:t>
      </w:r>
      <w:r w:rsidR="009F5A63">
        <w:rPr>
          <w:rFonts w:ascii="Century Gothic" w:eastAsia="Times New Roman" w:hAnsi="Century Gothic"/>
          <w:sz w:val="20"/>
          <w:szCs w:val="20"/>
          <w:lang w:eastAsia="en-US"/>
        </w:rPr>
        <w:t xml:space="preserve"> 11) similar a la media europea en todos los tipos. </w:t>
      </w:r>
    </w:p>
    <w:p w14:paraId="7B66CB54" w14:textId="43A5F3ED" w:rsidR="00CF4208" w:rsidRDefault="00CF4208" w:rsidP="006A228F">
      <w:pPr>
        <w:pStyle w:val="NormalWeb"/>
        <w:spacing w:before="0" w:beforeAutospacing="0" w:after="0" w:afterAutospacing="0" w:line="276" w:lineRule="auto"/>
        <w:jc w:val="both"/>
        <w:rPr>
          <w:rFonts w:ascii="Century Gothic" w:eastAsia="Times New Roman" w:hAnsi="Century Gothic"/>
          <w:sz w:val="20"/>
          <w:szCs w:val="20"/>
          <w:lang w:eastAsia="en-US"/>
        </w:rPr>
      </w:pPr>
    </w:p>
    <w:p w14:paraId="33FBEFC9" w14:textId="77777777" w:rsidR="002D00AA" w:rsidRDefault="002D00AA">
      <w:pPr>
        <w:spacing w:after="0"/>
        <w:jc w:val="left"/>
        <w:rPr>
          <w:rFonts w:ascii="Century Gothic" w:hAnsi="Century Gothic"/>
          <w:sz w:val="18"/>
          <w:lang w:val="es-ES"/>
        </w:rPr>
      </w:pPr>
      <w:bookmarkStart w:id="78" w:name="_Toc526515601"/>
      <w:r>
        <w:rPr>
          <w:b/>
        </w:rPr>
        <w:br w:type="page"/>
      </w:r>
    </w:p>
    <w:p w14:paraId="5E7C68BE" w14:textId="5DA8E8E8" w:rsidR="00CF4208" w:rsidRPr="008B6C6C" w:rsidRDefault="00CF4208" w:rsidP="00CF4208">
      <w:pPr>
        <w:pStyle w:val="Descripcin1"/>
        <w:rPr>
          <w:b w:val="0"/>
        </w:rPr>
      </w:pPr>
      <w:r w:rsidRPr="008B6C6C">
        <w:rPr>
          <w:b w:val="0"/>
        </w:rPr>
        <w:lastRenderedPageBreak/>
        <w:t xml:space="preserve">Tabla </w:t>
      </w:r>
      <w:r w:rsidRPr="008B6C6C">
        <w:rPr>
          <w:b w:val="0"/>
        </w:rPr>
        <w:fldChar w:fldCharType="begin"/>
      </w:r>
      <w:r w:rsidRPr="008B6C6C">
        <w:rPr>
          <w:b w:val="0"/>
        </w:rPr>
        <w:instrText xml:space="preserve"> SEQ Tabla \* ARABIC </w:instrText>
      </w:r>
      <w:r w:rsidRPr="008B6C6C">
        <w:rPr>
          <w:b w:val="0"/>
        </w:rPr>
        <w:fldChar w:fldCharType="separate"/>
      </w:r>
      <w:r w:rsidR="00764C39">
        <w:rPr>
          <w:b w:val="0"/>
          <w:noProof/>
        </w:rPr>
        <w:t>11</w:t>
      </w:r>
      <w:r w:rsidRPr="008B6C6C">
        <w:rPr>
          <w:b w:val="0"/>
        </w:rPr>
        <w:fldChar w:fldCharType="end"/>
      </w:r>
      <w:r w:rsidRPr="008B6C6C">
        <w:rPr>
          <w:b w:val="0"/>
        </w:rPr>
        <w:t xml:space="preserve">. </w:t>
      </w:r>
      <w:r w:rsidR="00FD203F">
        <w:rPr>
          <w:b w:val="0"/>
        </w:rPr>
        <w:t>Dificultades para emprender actividades de economía circular</w:t>
      </w:r>
      <w:r>
        <w:rPr>
          <w:b w:val="0"/>
        </w:rPr>
        <w:t>.</w:t>
      </w:r>
      <w:bookmarkEnd w:id="78"/>
    </w:p>
    <w:tbl>
      <w:tblPr>
        <w:tblStyle w:val="Listamedia2"/>
        <w:tblW w:w="5000" w:type="pct"/>
        <w:tblCellMar>
          <w:top w:w="108" w:type="dxa"/>
          <w:bottom w:w="108" w:type="dxa"/>
        </w:tblCellMar>
        <w:tblLook w:val="04A0" w:firstRow="1" w:lastRow="0" w:firstColumn="1" w:lastColumn="0" w:noHBand="0" w:noVBand="1"/>
      </w:tblPr>
      <w:tblGrid>
        <w:gridCol w:w="4803"/>
        <w:gridCol w:w="1933"/>
        <w:gridCol w:w="2315"/>
      </w:tblGrid>
      <w:tr w:rsidR="00CF4208" w:rsidRPr="0071424F" w14:paraId="6E5F306C" w14:textId="77777777" w:rsidTr="000B170B">
        <w:trPr>
          <w:cnfStyle w:val="100000000000" w:firstRow="1" w:lastRow="0" w:firstColumn="0" w:lastColumn="0" w:oddVBand="0" w:evenVBand="0" w:oddHBand="0" w:evenHBand="0" w:firstRowFirstColumn="0" w:firstRowLastColumn="0" w:lastRowFirstColumn="0" w:lastRowLastColumn="0"/>
          <w:trHeight w:val="70"/>
          <w:tblHeader/>
        </w:trPr>
        <w:tc>
          <w:tcPr>
            <w:cnfStyle w:val="001000000100" w:firstRow="0" w:lastRow="0" w:firstColumn="1" w:lastColumn="0" w:oddVBand="0" w:evenVBand="0" w:oddHBand="0" w:evenHBand="0" w:firstRowFirstColumn="1" w:firstRowLastColumn="0" w:lastRowFirstColumn="0" w:lastRowLastColumn="0"/>
            <w:tcW w:w="2653" w:type="pct"/>
            <w:tcBorders>
              <w:top w:val="single" w:sz="12" w:space="0" w:color="FFCC00"/>
              <w:left w:val="none" w:sz="0" w:space="0" w:color="auto"/>
              <w:bottom w:val="single" w:sz="6" w:space="0" w:color="000000" w:themeColor="text1"/>
              <w:right w:val="none" w:sz="0" w:space="0" w:color="auto"/>
            </w:tcBorders>
            <w:shd w:val="clear" w:color="auto" w:fill="auto"/>
            <w:vAlign w:val="center"/>
          </w:tcPr>
          <w:p w14:paraId="65CB232D" w14:textId="34E91ABB" w:rsidR="00CF4208" w:rsidRPr="0071424F" w:rsidRDefault="00CF4208" w:rsidP="00CF4208">
            <w:pPr>
              <w:spacing w:after="0"/>
              <w:contextualSpacing/>
              <w:jc w:val="center"/>
              <w:rPr>
                <w:rFonts w:ascii="Century Gothic" w:hAnsi="Century Gothic" w:cs="Arial"/>
                <w:b/>
                <w:bCs/>
                <w:color w:val="333333"/>
                <w:sz w:val="18"/>
                <w:szCs w:val="18"/>
                <w:lang w:val="es-ES" w:eastAsia="en-GB"/>
              </w:rPr>
            </w:pPr>
            <w:r>
              <w:rPr>
                <w:rFonts w:ascii="Century Gothic" w:hAnsi="Century Gothic" w:cs="Arial"/>
                <w:b/>
                <w:bCs/>
                <w:color w:val="333333"/>
                <w:sz w:val="18"/>
                <w:szCs w:val="18"/>
                <w:lang w:val="es-ES" w:eastAsia="en-GB"/>
              </w:rPr>
              <w:t>Dificultades</w:t>
            </w:r>
          </w:p>
        </w:tc>
        <w:tc>
          <w:tcPr>
            <w:tcW w:w="1068" w:type="pct"/>
            <w:tcBorders>
              <w:top w:val="single" w:sz="12" w:space="0" w:color="FFCC00"/>
              <w:left w:val="none" w:sz="0" w:space="0" w:color="auto"/>
              <w:bottom w:val="nil"/>
              <w:right w:val="none" w:sz="0" w:space="0" w:color="auto"/>
            </w:tcBorders>
            <w:shd w:val="clear" w:color="auto" w:fill="auto"/>
            <w:vAlign w:val="center"/>
          </w:tcPr>
          <w:p w14:paraId="3D11739A" w14:textId="77777777" w:rsidR="00CF4208" w:rsidRPr="0071424F" w:rsidRDefault="00CF4208" w:rsidP="00CF420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España</w:t>
            </w:r>
          </w:p>
        </w:tc>
        <w:tc>
          <w:tcPr>
            <w:tcW w:w="1279" w:type="pct"/>
            <w:tcBorders>
              <w:top w:val="single" w:sz="12" w:space="0" w:color="FFCC00"/>
              <w:left w:val="none" w:sz="0" w:space="0" w:color="auto"/>
              <w:bottom w:val="nil"/>
              <w:right w:val="none" w:sz="0" w:space="0" w:color="auto"/>
            </w:tcBorders>
            <w:shd w:val="clear" w:color="auto" w:fill="auto"/>
            <w:vAlign w:val="center"/>
          </w:tcPr>
          <w:p w14:paraId="618CB741" w14:textId="77777777" w:rsidR="00CF4208" w:rsidRPr="0071424F" w:rsidRDefault="00CF4208" w:rsidP="00CF420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UE</w:t>
            </w:r>
          </w:p>
        </w:tc>
      </w:tr>
      <w:tr w:rsidR="00CF4208" w:rsidRPr="00D95AC4" w14:paraId="1CBC62C8" w14:textId="77777777" w:rsidTr="001868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3" w:type="pct"/>
            <w:tcBorders>
              <w:top w:val="single" w:sz="6" w:space="0" w:color="000000" w:themeColor="text1"/>
              <w:right w:val="nil"/>
            </w:tcBorders>
            <w:shd w:val="clear" w:color="auto" w:fill="auto"/>
            <w:vAlign w:val="center"/>
          </w:tcPr>
          <w:p w14:paraId="54D18A15" w14:textId="0F3A4AB3" w:rsidR="00CF4208" w:rsidRPr="00D95AC4" w:rsidRDefault="00CF4208" w:rsidP="00CF4208">
            <w:pPr>
              <w:spacing w:after="0"/>
              <w:contextualSpacing/>
              <w:jc w:val="left"/>
              <w:rPr>
                <w:rFonts w:ascii="Century Gothic" w:hAnsi="Century Gothic" w:cs="Arial"/>
                <w:color w:val="000000"/>
                <w:sz w:val="18"/>
                <w:szCs w:val="18"/>
                <w:lang w:val="es-ES"/>
              </w:rPr>
            </w:pPr>
            <w:r w:rsidRPr="00D95AC4">
              <w:rPr>
                <w:rFonts w:ascii="Century Gothic" w:hAnsi="Century Gothic"/>
                <w:sz w:val="18"/>
                <w:szCs w:val="18"/>
                <w:lang w:val="es-ES"/>
              </w:rPr>
              <w:t>Procedimientos administrativos</w:t>
            </w:r>
          </w:p>
        </w:tc>
        <w:tc>
          <w:tcPr>
            <w:tcW w:w="1068" w:type="pct"/>
            <w:tcBorders>
              <w:top w:val="single" w:sz="6" w:space="0" w:color="000000" w:themeColor="text1"/>
              <w:left w:val="none" w:sz="0" w:space="0" w:color="auto"/>
              <w:bottom w:val="none" w:sz="0" w:space="0" w:color="auto"/>
              <w:right w:val="none" w:sz="0" w:space="0" w:color="auto"/>
            </w:tcBorders>
            <w:shd w:val="clear" w:color="auto" w:fill="auto"/>
            <w:noWrap/>
            <w:vAlign w:val="center"/>
          </w:tcPr>
          <w:p w14:paraId="05AB225F" w14:textId="5B43B9F0" w:rsidR="00CF4208" w:rsidRPr="00D95AC4" w:rsidRDefault="00CF4208" w:rsidP="00CF4208">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31%</w:t>
            </w:r>
          </w:p>
        </w:tc>
        <w:tc>
          <w:tcPr>
            <w:tcW w:w="1279" w:type="pct"/>
            <w:tcBorders>
              <w:top w:val="single" w:sz="6" w:space="0" w:color="000000" w:themeColor="text1"/>
              <w:left w:val="none" w:sz="0" w:space="0" w:color="auto"/>
              <w:bottom w:val="none" w:sz="0" w:space="0" w:color="auto"/>
              <w:right w:val="nil"/>
            </w:tcBorders>
            <w:shd w:val="clear" w:color="auto" w:fill="auto"/>
            <w:noWrap/>
            <w:vAlign w:val="center"/>
          </w:tcPr>
          <w:p w14:paraId="115248B8" w14:textId="2D840D8B" w:rsidR="00CF4208" w:rsidRPr="00D95AC4" w:rsidRDefault="00CF4208" w:rsidP="00CF4208">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34%</w:t>
            </w:r>
          </w:p>
        </w:tc>
      </w:tr>
      <w:tr w:rsidR="00CF4208" w:rsidRPr="00D95AC4" w14:paraId="0D0BE5D3" w14:textId="77777777" w:rsidTr="0018684E">
        <w:trPr>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02266562" w14:textId="78033FD8" w:rsidR="00CF4208" w:rsidRPr="00D95AC4" w:rsidRDefault="00CF4208" w:rsidP="00CF4208">
            <w:pPr>
              <w:spacing w:after="0"/>
              <w:contextualSpacing/>
              <w:jc w:val="left"/>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Coste de las obligaciones o estándares</w:t>
            </w:r>
          </w:p>
        </w:tc>
        <w:tc>
          <w:tcPr>
            <w:tcW w:w="1068" w:type="pct"/>
            <w:shd w:val="clear" w:color="auto" w:fill="auto"/>
            <w:noWrap/>
            <w:vAlign w:val="center"/>
          </w:tcPr>
          <w:p w14:paraId="160C0219" w14:textId="11DE6808" w:rsidR="00CF4208" w:rsidRPr="00D95AC4" w:rsidRDefault="00CF4208" w:rsidP="00CF4208">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31%</w:t>
            </w:r>
          </w:p>
        </w:tc>
        <w:tc>
          <w:tcPr>
            <w:tcW w:w="1279" w:type="pct"/>
            <w:tcBorders>
              <w:right w:val="nil"/>
            </w:tcBorders>
            <w:shd w:val="clear" w:color="auto" w:fill="auto"/>
            <w:noWrap/>
            <w:vAlign w:val="center"/>
          </w:tcPr>
          <w:p w14:paraId="65B933FA" w14:textId="67FA684B" w:rsidR="00CF4208" w:rsidRPr="00D95AC4" w:rsidRDefault="00CF4208" w:rsidP="00CF4208">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32%</w:t>
            </w:r>
          </w:p>
        </w:tc>
      </w:tr>
      <w:tr w:rsidR="00CF4208" w:rsidRPr="00D95AC4" w14:paraId="11235F7D" w14:textId="77777777" w:rsidTr="001868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1C7C87A0" w14:textId="0B6C1DCF" w:rsidR="00CF4208" w:rsidRPr="00D95AC4" w:rsidRDefault="00CF4208" w:rsidP="00CF4208">
            <w:pPr>
              <w:spacing w:after="0"/>
              <w:contextualSpacing/>
              <w:jc w:val="left"/>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Acceso a la financiación</w:t>
            </w:r>
          </w:p>
        </w:tc>
        <w:tc>
          <w:tcPr>
            <w:tcW w:w="1068" w:type="pct"/>
            <w:tcBorders>
              <w:top w:val="none" w:sz="0" w:space="0" w:color="auto"/>
              <w:left w:val="none" w:sz="0" w:space="0" w:color="auto"/>
              <w:bottom w:val="none" w:sz="0" w:space="0" w:color="auto"/>
              <w:right w:val="none" w:sz="0" w:space="0" w:color="auto"/>
            </w:tcBorders>
            <w:shd w:val="clear" w:color="auto" w:fill="auto"/>
            <w:noWrap/>
            <w:vAlign w:val="center"/>
          </w:tcPr>
          <w:p w14:paraId="706BD2E6" w14:textId="569D7421" w:rsidR="00CF4208" w:rsidRPr="00D95AC4" w:rsidRDefault="00CF4208" w:rsidP="00CF4208">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30%</w:t>
            </w:r>
          </w:p>
        </w:tc>
        <w:tc>
          <w:tcPr>
            <w:tcW w:w="1279" w:type="pct"/>
            <w:tcBorders>
              <w:top w:val="none" w:sz="0" w:space="0" w:color="auto"/>
              <w:left w:val="none" w:sz="0" w:space="0" w:color="auto"/>
              <w:bottom w:val="none" w:sz="0" w:space="0" w:color="auto"/>
              <w:right w:val="nil"/>
            </w:tcBorders>
            <w:shd w:val="clear" w:color="auto" w:fill="auto"/>
            <w:noWrap/>
            <w:vAlign w:val="center"/>
          </w:tcPr>
          <w:p w14:paraId="7386B039" w14:textId="2BE0CE1D" w:rsidR="00CF4208" w:rsidRPr="00D95AC4" w:rsidRDefault="00CF4208" w:rsidP="00CF4208">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27%</w:t>
            </w:r>
          </w:p>
        </w:tc>
      </w:tr>
      <w:tr w:rsidR="00CF4208" w:rsidRPr="00D95AC4" w14:paraId="17B7CD13" w14:textId="77777777" w:rsidTr="0018684E">
        <w:trPr>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1512FDBA" w14:textId="507B78CA" w:rsidR="00CF4208" w:rsidRPr="00D95AC4" w:rsidRDefault="00CF4208" w:rsidP="00CF4208">
            <w:pPr>
              <w:spacing w:after="0"/>
              <w:contextualSpacing/>
              <w:jc w:val="left"/>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Falta de conocimiento</w:t>
            </w:r>
          </w:p>
        </w:tc>
        <w:tc>
          <w:tcPr>
            <w:tcW w:w="1068" w:type="pct"/>
            <w:tcBorders>
              <w:bottom w:val="nil"/>
            </w:tcBorders>
            <w:shd w:val="clear" w:color="auto" w:fill="auto"/>
            <w:noWrap/>
            <w:vAlign w:val="center"/>
          </w:tcPr>
          <w:p w14:paraId="149C8EB5" w14:textId="591584BC" w:rsidR="00CF4208" w:rsidRPr="00D95AC4" w:rsidRDefault="00CF4208" w:rsidP="00CF4208">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30%</w:t>
            </w:r>
          </w:p>
        </w:tc>
        <w:tc>
          <w:tcPr>
            <w:tcW w:w="1279" w:type="pct"/>
            <w:tcBorders>
              <w:bottom w:val="nil"/>
              <w:right w:val="nil"/>
            </w:tcBorders>
            <w:shd w:val="clear" w:color="auto" w:fill="auto"/>
            <w:noWrap/>
            <w:vAlign w:val="center"/>
          </w:tcPr>
          <w:p w14:paraId="551B69D4" w14:textId="53BECDE2" w:rsidR="00CF4208" w:rsidRPr="00D95AC4" w:rsidRDefault="00CF4208" w:rsidP="00CF4208">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22%</w:t>
            </w:r>
          </w:p>
        </w:tc>
      </w:tr>
      <w:tr w:rsidR="00CF4208" w:rsidRPr="00D95AC4" w14:paraId="25C6101C" w14:textId="77777777" w:rsidTr="0018684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5D30CD83" w14:textId="5DF6F848" w:rsidR="00CF4208" w:rsidRPr="00D95AC4" w:rsidRDefault="00CF4208" w:rsidP="00CF4208">
            <w:pPr>
              <w:spacing w:after="0"/>
              <w:contextualSpacing/>
              <w:jc w:val="left"/>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Personal cualificado</w:t>
            </w:r>
          </w:p>
        </w:tc>
        <w:tc>
          <w:tcPr>
            <w:tcW w:w="1068" w:type="pct"/>
            <w:tcBorders>
              <w:top w:val="none" w:sz="0" w:space="0" w:color="auto"/>
              <w:left w:val="none" w:sz="0" w:space="0" w:color="auto"/>
              <w:bottom w:val="none" w:sz="0" w:space="0" w:color="auto"/>
              <w:right w:val="none" w:sz="0" w:space="0" w:color="auto"/>
            </w:tcBorders>
            <w:shd w:val="clear" w:color="auto" w:fill="auto"/>
            <w:noWrap/>
            <w:vAlign w:val="center"/>
          </w:tcPr>
          <w:p w14:paraId="3449018B" w14:textId="334C7042" w:rsidR="00CF4208" w:rsidRPr="00D95AC4" w:rsidRDefault="00CF4208" w:rsidP="00CF4208">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18%</w:t>
            </w:r>
          </w:p>
        </w:tc>
        <w:tc>
          <w:tcPr>
            <w:tcW w:w="1279" w:type="pct"/>
            <w:tcBorders>
              <w:top w:val="none" w:sz="0" w:space="0" w:color="auto"/>
              <w:left w:val="none" w:sz="0" w:space="0" w:color="auto"/>
              <w:bottom w:val="none" w:sz="0" w:space="0" w:color="auto"/>
              <w:right w:val="nil"/>
            </w:tcBorders>
            <w:shd w:val="clear" w:color="auto" w:fill="auto"/>
            <w:noWrap/>
            <w:vAlign w:val="center"/>
          </w:tcPr>
          <w:p w14:paraId="6FCCFB00" w14:textId="5B711DE2" w:rsidR="00CF4208" w:rsidRPr="00D95AC4" w:rsidRDefault="00CF4208" w:rsidP="00CF4208">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21%</w:t>
            </w:r>
          </w:p>
        </w:tc>
      </w:tr>
      <w:tr w:rsidR="00D95AC4" w:rsidRPr="00D95AC4" w14:paraId="60354C0B" w14:textId="77777777" w:rsidTr="0018684E">
        <w:trPr>
          <w:trHeight w:val="250"/>
        </w:trPr>
        <w:tc>
          <w:tcPr>
            <w:cnfStyle w:val="001000000000" w:firstRow="0" w:lastRow="0" w:firstColumn="1" w:lastColumn="0" w:oddVBand="0" w:evenVBand="0" w:oddHBand="0" w:evenHBand="0" w:firstRowFirstColumn="0" w:firstRowLastColumn="0" w:lastRowFirstColumn="0" w:lastRowLastColumn="0"/>
            <w:tcW w:w="2653" w:type="pct"/>
            <w:tcBorders>
              <w:right w:val="nil"/>
            </w:tcBorders>
            <w:shd w:val="clear" w:color="auto" w:fill="auto"/>
            <w:vAlign w:val="center"/>
          </w:tcPr>
          <w:p w14:paraId="7444957C" w14:textId="5A0E5B04" w:rsidR="00D95AC4" w:rsidRPr="00D95AC4" w:rsidRDefault="00D95AC4" w:rsidP="00CF4208">
            <w:pPr>
              <w:spacing w:after="0"/>
              <w:contextualSpacing/>
              <w:jc w:val="left"/>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No encontraron</w:t>
            </w:r>
          </w:p>
        </w:tc>
        <w:tc>
          <w:tcPr>
            <w:tcW w:w="1068" w:type="pct"/>
            <w:shd w:val="clear" w:color="auto" w:fill="auto"/>
            <w:noWrap/>
            <w:vAlign w:val="center"/>
          </w:tcPr>
          <w:p w14:paraId="0627A0F9" w14:textId="2A0E7EDB" w:rsidR="00D95AC4" w:rsidRPr="00D95AC4" w:rsidRDefault="00D95AC4" w:rsidP="00CF4208">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37%</w:t>
            </w:r>
          </w:p>
        </w:tc>
        <w:tc>
          <w:tcPr>
            <w:tcW w:w="1279" w:type="pct"/>
            <w:tcBorders>
              <w:right w:val="nil"/>
            </w:tcBorders>
            <w:shd w:val="clear" w:color="auto" w:fill="auto"/>
            <w:noWrap/>
            <w:vAlign w:val="center"/>
          </w:tcPr>
          <w:p w14:paraId="39572BBA" w14:textId="01A74CBB" w:rsidR="00D95AC4" w:rsidRPr="00D95AC4" w:rsidRDefault="00D95AC4" w:rsidP="00CF4208">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38%</w:t>
            </w:r>
          </w:p>
        </w:tc>
      </w:tr>
      <w:tr w:rsidR="00CF4208" w:rsidRPr="00D95AC4" w14:paraId="0D4FD761" w14:textId="77777777" w:rsidTr="005E6C1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3" w:type="pct"/>
            <w:tcBorders>
              <w:bottom w:val="single" w:sz="4" w:space="0" w:color="auto"/>
              <w:right w:val="nil"/>
            </w:tcBorders>
            <w:shd w:val="clear" w:color="auto" w:fill="auto"/>
            <w:vAlign w:val="center"/>
          </w:tcPr>
          <w:p w14:paraId="01430A54" w14:textId="26CCAA01" w:rsidR="00CF4208" w:rsidRPr="00D95AC4" w:rsidRDefault="00CF4208" w:rsidP="00CF4208">
            <w:pPr>
              <w:spacing w:after="0"/>
              <w:contextualSpacing/>
              <w:jc w:val="left"/>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Otras o no sabe</w:t>
            </w:r>
          </w:p>
        </w:tc>
        <w:tc>
          <w:tcPr>
            <w:tcW w:w="1068" w:type="pct"/>
            <w:tcBorders>
              <w:top w:val="none" w:sz="0" w:space="0" w:color="auto"/>
              <w:left w:val="none" w:sz="0" w:space="0" w:color="auto"/>
              <w:bottom w:val="single" w:sz="4" w:space="0" w:color="auto"/>
              <w:right w:val="none" w:sz="0" w:space="0" w:color="auto"/>
            </w:tcBorders>
            <w:shd w:val="clear" w:color="auto" w:fill="auto"/>
            <w:noWrap/>
            <w:vAlign w:val="center"/>
          </w:tcPr>
          <w:p w14:paraId="03EFE361" w14:textId="65F5B199" w:rsidR="00CF4208" w:rsidRPr="00D95AC4" w:rsidRDefault="00D95AC4" w:rsidP="00D95AC4">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4%</w:t>
            </w:r>
          </w:p>
        </w:tc>
        <w:tc>
          <w:tcPr>
            <w:tcW w:w="1279" w:type="pct"/>
            <w:tcBorders>
              <w:top w:val="none" w:sz="0" w:space="0" w:color="auto"/>
              <w:left w:val="none" w:sz="0" w:space="0" w:color="auto"/>
              <w:bottom w:val="single" w:sz="4" w:space="0" w:color="auto"/>
              <w:right w:val="nil"/>
            </w:tcBorders>
            <w:shd w:val="clear" w:color="auto" w:fill="auto"/>
            <w:noWrap/>
            <w:vAlign w:val="center"/>
          </w:tcPr>
          <w:p w14:paraId="24F2AFD2" w14:textId="3D237E31" w:rsidR="00CF4208" w:rsidRPr="00D95AC4" w:rsidRDefault="00D95AC4" w:rsidP="00CF4208">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D95AC4">
              <w:rPr>
                <w:rFonts w:ascii="Century Gothic" w:hAnsi="Century Gothic" w:cs="Arial"/>
                <w:color w:val="000000"/>
                <w:sz w:val="18"/>
                <w:szCs w:val="18"/>
                <w:lang w:val="es-ES"/>
              </w:rPr>
              <w:t>5</w:t>
            </w:r>
            <w:r w:rsidR="00CF4208" w:rsidRPr="00D95AC4">
              <w:rPr>
                <w:rFonts w:ascii="Century Gothic" w:hAnsi="Century Gothic" w:cs="Arial"/>
                <w:color w:val="000000"/>
                <w:sz w:val="18"/>
                <w:szCs w:val="18"/>
                <w:lang w:val="es-ES"/>
              </w:rPr>
              <w:t>%</w:t>
            </w:r>
          </w:p>
        </w:tc>
      </w:tr>
      <w:tr w:rsidR="00CF4208" w:rsidRPr="007916CD" w14:paraId="4BF9F941" w14:textId="77777777" w:rsidTr="005E6C15">
        <w:trPr>
          <w:trHeight w:val="25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8" w:space="0" w:color="000000" w:themeColor="text1"/>
              <w:right w:val="nil"/>
            </w:tcBorders>
            <w:shd w:val="clear" w:color="auto" w:fill="auto"/>
            <w:vAlign w:val="center"/>
          </w:tcPr>
          <w:p w14:paraId="4B064E63" w14:textId="77777777" w:rsidR="00CF4208" w:rsidRPr="003511C3" w:rsidRDefault="00CF4208" w:rsidP="00CF4208">
            <w:pPr>
              <w:spacing w:after="0"/>
              <w:contextualSpacing/>
              <w:jc w:val="left"/>
              <w:rPr>
                <w:rFonts w:ascii="Century Gothic" w:hAnsi="Century Gothic" w:cs="Arial"/>
                <w:i/>
                <w:color w:val="000000"/>
                <w:sz w:val="18"/>
                <w:szCs w:val="18"/>
                <w:lang w:val="es-ES"/>
              </w:rPr>
            </w:pPr>
            <w:r w:rsidRPr="003511C3">
              <w:rPr>
                <w:rFonts w:ascii="Century Gothic" w:hAnsi="Century Gothic" w:cs="Arial"/>
                <w:i/>
                <w:sz w:val="16"/>
                <w:szCs w:val="18"/>
                <w:lang w:val="es-ES" w:eastAsia="en-GB"/>
              </w:rPr>
              <w:t xml:space="preserve">Fuente: </w:t>
            </w:r>
            <w:r>
              <w:rPr>
                <w:rFonts w:ascii="Century Gothic" w:hAnsi="Century Gothic" w:cs="Arial"/>
                <w:i/>
                <w:sz w:val="16"/>
                <w:szCs w:val="18"/>
                <w:lang w:val="es-ES" w:eastAsia="en-GB"/>
              </w:rPr>
              <w:t xml:space="preserve">Elaboración a partir de los datos del </w:t>
            </w:r>
            <w:r w:rsidRPr="006A228F">
              <w:rPr>
                <w:rFonts w:ascii="Century Gothic" w:hAnsi="Century Gothic" w:cs="Arial"/>
                <w:i/>
                <w:sz w:val="16"/>
                <w:szCs w:val="18"/>
                <w:lang w:val="es-ES" w:eastAsia="en-GB"/>
              </w:rPr>
              <w:t>Flash Eurobarometer 441</w:t>
            </w:r>
          </w:p>
        </w:tc>
      </w:tr>
    </w:tbl>
    <w:p w14:paraId="508B97AC" w14:textId="77777777" w:rsidR="00CF4208" w:rsidRDefault="00CF4208" w:rsidP="006A228F">
      <w:pPr>
        <w:pStyle w:val="NormalWeb"/>
        <w:spacing w:before="0" w:beforeAutospacing="0" w:after="0" w:afterAutospacing="0" w:line="276" w:lineRule="auto"/>
        <w:jc w:val="both"/>
        <w:rPr>
          <w:rFonts w:ascii="Century Gothic" w:eastAsia="Times New Roman" w:hAnsi="Century Gothic"/>
          <w:sz w:val="20"/>
          <w:szCs w:val="20"/>
          <w:lang w:eastAsia="en-US"/>
        </w:rPr>
      </w:pPr>
    </w:p>
    <w:p w14:paraId="15B98876" w14:textId="7B0303B7" w:rsidR="00D72159" w:rsidRDefault="00D72159" w:rsidP="00D72159">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En este apartado, el tamaño de la empresa vuelve a jugar un papel importante. Así, c</w:t>
      </w:r>
      <w:r w:rsidRPr="00D72159">
        <w:rPr>
          <w:rFonts w:ascii="Century Gothic" w:eastAsia="Times New Roman" w:hAnsi="Century Gothic"/>
          <w:sz w:val="20"/>
          <w:szCs w:val="20"/>
          <w:lang w:eastAsia="en-US"/>
        </w:rPr>
        <w:t>uanto mayor es la compañía, menos probable es que se mencionen las dificultades para acceder a la</w:t>
      </w:r>
      <w:r>
        <w:rPr>
          <w:rFonts w:ascii="Century Gothic" w:eastAsia="Times New Roman" w:hAnsi="Century Gothic"/>
          <w:sz w:val="20"/>
          <w:szCs w:val="20"/>
          <w:lang w:eastAsia="en-US"/>
        </w:rPr>
        <w:t xml:space="preserve"> financiación (</w:t>
      </w:r>
      <w:r w:rsidRPr="00D72159">
        <w:rPr>
          <w:rFonts w:ascii="Century Gothic" w:eastAsia="Times New Roman" w:hAnsi="Century Gothic"/>
          <w:sz w:val="20"/>
          <w:szCs w:val="20"/>
          <w:lang w:eastAsia="en-US"/>
        </w:rPr>
        <w:t>el 28% de las pymes más pequeñas mencionan este problema, en comparación con el 15% de las más grandes</w:t>
      </w:r>
      <w:r w:rsidR="00072B53">
        <w:rPr>
          <w:rFonts w:ascii="Century Gothic" w:eastAsia="Times New Roman" w:hAnsi="Century Gothic"/>
          <w:sz w:val="20"/>
          <w:szCs w:val="20"/>
          <w:lang w:eastAsia="en-US"/>
        </w:rPr>
        <w:t>)</w:t>
      </w:r>
      <w:r w:rsidRPr="00D72159">
        <w:rPr>
          <w:rFonts w:ascii="Century Gothic" w:eastAsia="Times New Roman" w:hAnsi="Century Gothic"/>
          <w:sz w:val="20"/>
          <w:szCs w:val="20"/>
          <w:lang w:eastAsia="en-US"/>
        </w:rPr>
        <w:t>.</w:t>
      </w:r>
      <w:r w:rsidR="00072B53">
        <w:rPr>
          <w:rFonts w:ascii="Century Gothic" w:eastAsia="Times New Roman" w:hAnsi="Century Gothic"/>
          <w:sz w:val="20"/>
          <w:szCs w:val="20"/>
          <w:lang w:eastAsia="en-US"/>
        </w:rPr>
        <w:t xml:space="preserve"> </w:t>
      </w:r>
    </w:p>
    <w:p w14:paraId="3DB27167" w14:textId="0CE1EC84" w:rsidR="00072B53" w:rsidRDefault="00072B53" w:rsidP="00D72159">
      <w:pPr>
        <w:pStyle w:val="NormalWeb"/>
        <w:spacing w:before="0" w:beforeAutospacing="0" w:after="0" w:afterAutospacing="0" w:line="276" w:lineRule="auto"/>
        <w:jc w:val="both"/>
        <w:rPr>
          <w:rFonts w:ascii="Century Gothic" w:eastAsia="Times New Roman" w:hAnsi="Century Gothic"/>
          <w:sz w:val="20"/>
          <w:szCs w:val="20"/>
          <w:lang w:eastAsia="en-US"/>
        </w:rPr>
      </w:pPr>
    </w:p>
    <w:p w14:paraId="554A8F69" w14:textId="09C801CB" w:rsidR="00D72159" w:rsidRDefault="0018684E" w:rsidP="00D72159">
      <w:pPr>
        <w:pStyle w:val="NormalWeb"/>
        <w:spacing w:before="0" w:beforeAutospacing="0" w:after="0" w:afterAutospacing="0" w:line="276" w:lineRule="auto"/>
        <w:jc w:val="both"/>
        <w:rPr>
          <w:rFonts w:ascii="Century Gothic" w:eastAsia="Times New Roman" w:hAnsi="Century Gothic"/>
          <w:sz w:val="20"/>
          <w:szCs w:val="20"/>
          <w:lang w:eastAsia="en-US"/>
        </w:rPr>
      </w:pPr>
      <w:r w:rsidRPr="0018684E">
        <w:rPr>
          <w:rFonts w:ascii="Century Gothic" w:eastAsia="Times New Roman" w:hAnsi="Century Gothic"/>
          <w:sz w:val="20"/>
          <w:szCs w:val="20"/>
          <w:lang w:eastAsia="en-US"/>
        </w:rPr>
        <w:t>Respecto a las causas por las que las empresas no abordaron ninguna acción de economía circular,</w:t>
      </w:r>
      <w:r>
        <w:rPr>
          <w:rFonts w:ascii="Century Gothic" w:eastAsia="Times New Roman" w:hAnsi="Century Gothic"/>
          <w:sz w:val="20"/>
          <w:szCs w:val="20"/>
          <w:lang w:eastAsia="en-US"/>
        </w:rPr>
        <w:t xml:space="preserve"> destacan l</w:t>
      </w:r>
      <w:r w:rsidR="001212E8" w:rsidRPr="001212E8">
        <w:rPr>
          <w:rFonts w:ascii="Century Gothic" w:eastAsia="Times New Roman" w:hAnsi="Century Gothic"/>
          <w:sz w:val="20"/>
          <w:szCs w:val="20"/>
          <w:lang w:eastAsia="en-US"/>
        </w:rPr>
        <w:t>a</w:t>
      </w:r>
      <w:r>
        <w:rPr>
          <w:rFonts w:ascii="Century Gothic" w:eastAsia="Times New Roman" w:hAnsi="Century Gothic"/>
          <w:sz w:val="20"/>
          <w:szCs w:val="20"/>
          <w:lang w:eastAsia="en-US"/>
        </w:rPr>
        <w:t xml:space="preserve"> falta</w:t>
      </w:r>
      <w:r w:rsidR="001212E8" w:rsidRPr="001212E8">
        <w:rPr>
          <w:rFonts w:ascii="Century Gothic" w:eastAsia="Times New Roman" w:hAnsi="Century Gothic"/>
          <w:sz w:val="20"/>
          <w:szCs w:val="20"/>
          <w:lang w:eastAsia="en-US"/>
        </w:rPr>
        <w:t xml:space="preserve"> de una idea clara sobre los beneficios </w:t>
      </w:r>
      <w:r w:rsidR="001212E8">
        <w:rPr>
          <w:rFonts w:ascii="Century Gothic" w:eastAsia="Times New Roman" w:hAnsi="Century Gothic"/>
          <w:sz w:val="20"/>
          <w:szCs w:val="20"/>
          <w:lang w:eastAsia="en-US"/>
        </w:rPr>
        <w:t>que iba a obtener</w:t>
      </w:r>
      <w:r w:rsidR="001212E8" w:rsidRPr="001212E8">
        <w:rPr>
          <w:rFonts w:ascii="Century Gothic" w:eastAsia="Times New Roman" w:hAnsi="Century Gothic"/>
          <w:sz w:val="20"/>
          <w:szCs w:val="20"/>
          <w:lang w:eastAsia="en-US"/>
        </w:rPr>
        <w:t xml:space="preserve"> (</w:t>
      </w:r>
      <w:r w:rsidR="001212E8">
        <w:rPr>
          <w:rFonts w:ascii="Century Gothic" w:eastAsia="Times New Roman" w:hAnsi="Century Gothic"/>
          <w:sz w:val="20"/>
          <w:szCs w:val="20"/>
          <w:lang w:eastAsia="en-US"/>
        </w:rPr>
        <w:t xml:space="preserve">el </w:t>
      </w:r>
      <w:r w:rsidR="001212E8" w:rsidRPr="001212E8">
        <w:rPr>
          <w:rFonts w:ascii="Century Gothic" w:eastAsia="Times New Roman" w:hAnsi="Century Gothic"/>
          <w:sz w:val="20"/>
          <w:szCs w:val="20"/>
          <w:lang w:eastAsia="en-US"/>
        </w:rPr>
        <w:t xml:space="preserve">27%), la falta de una idea clara sobre la inversión </w:t>
      </w:r>
      <w:r w:rsidR="001212E8">
        <w:rPr>
          <w:rFonts w:ascii="Century Gothic" w:eastAsia="Times New Roman" w:hAnsi="Century Gothic"/>
          <w:sz w:val="20"/>
          <w:szCs w:val="20"/>
          <w:lang w:eastAsia="en-US"/>
        </w:rPr>
        <w:t>necesaria</w:t>
      </w:r>
      <w:r w:rsidR="001212E8" w:rsidRPr="001212E8">
        <w:rPr>
          <w:rFonts w:ascii="Century Gothic" w:eastAsia="Times New Roman" w:hAnsi="Century Gothic"/>
          <w:sz w:val="20"/>
          <w:szCs w:val="20"/>
          <w:lang w:eastAsia="en-US"/>
        </w:rPr>
        <w:t xml:space="preserve"> (</w:t>
      </w:r>
      <w:r w:rsidR="001212E8">
        <w:rPr>
          <w:rFonts w:ascii="Century Gothic" w:eastAsia="Times New Roman" w:hAnsi="Century Gothic"/>
          <w:sz w:val="20"/>
          <w:szCs w:val="20"/>
          <w:lang w:eastAsia="en-US"/>
        </w:rPr>
        <w:t xml:space="preserve">el </w:t>
      </w:r>
      <w:r w:rsidR="001212E8" w:rsidRPr="001212E8">
        <w:rPr>
          <w:rFonts w:ascii="Century Gothic" w:eastAsia="Times New Roman" w:hAnsi="Century Gothic"/>
          <w:sz w:val="20"/>
          <w:szCs w:val="20"/>
          <w:lang w:eastAsia="en-US"/>
        </w:rPr>
        <w:t>27%) o la falta de experiencia para implementar estas actividades</w:t>
      </w:r>
      <w:r w:rsidR="001212E8">
        <w:rPr>
          <w:rFonts w:ascii="Century Gothic" w:eastAsia="Times New Roman" w:hAnsi="Century Gothic"/>
          <w:sz w:val="20"/>
          <w:szCs w:val="20"/>
          <w:lang w:eastAsia="en-US"/>
        </w:rPr>
        <w:t xml:space="preserve"> (el 26%).</w:t>
      </w:r>
    </w:p>
    <w:p w14:paraId="7B75D724" w14:textId="208C37D1" w:rsidR="00626060" w:rsidRDefault="00626060" w:rsidP="006A228F">
      <w:pPr>
        <w:pStyle w:val="NormalWeb"/>
        <w:spacing w:before="0" w:beforeAutospacing="0" w:after="0" w:afterAutospacing="0" w:line="276" w:lineRule="auto"/>
        <w:jc w:val="both"/>
        <w:rPr>
          <w:rFonts w:ascii="Century Gothic" w:eastAsia="Times New Roman" w:hAnsi="Century Gothic"/>
          <w:sz w:val="20"/>
          <w:szCs w:val="20"/>
          <w:lang w:eastAsia="en-US"/>
        </w:rPr>
      </w:pPr>
    </w:p>
    <w:p w14:paraId="3E460D97" w14:textId="71DA5B1A" w:rsidR="00FF2FE2" w:rsidRDefault="00FF2FE2" w:rsidP="006A228F">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En cuanto a la pregunta si hay información suficiente disponible para ayudar a las empresas a realizar acciones de economía circular, las empresas españolas son las que tienen peor opini</w:t>
      </w:r>
      <w:r w:rsidR="00CE27B1">
        <w:rPr>
          <w:rFonts w:ascii="Century Gothic" w:eastAsia="Times New Roman" w:hAnsi="Century Gothic"/>
          <w:sz w:val="20"/>
          <w:szCs w:val="20"/>
          <w:lang w:eastAsia="en-US"/>
        </w:rPr>
        <w:t>ón en toda</w:t>
      </w:r>
      <w:r>
        <w:rPr>
          <w:rFonts w:ascii="Century Gothic" w:eastAsia="Times New Roman" w:hAnsi="Century Gothic"/>
          <w:sz w:val="20"/>
          <w:szCs w:val="20"/>
          <w:lang w:eastAsia="en-US"/>
        </w:rPr>
        <w:t xml:space="preserve"> Europa. El 48% afirman que hay poca o ninguna información disponible frente al 30% en la UE.  </w:t>
      </w:r>
    </w:p>
    <w:p w14:paraId="7A0BEBB0" w14:textId="77777777" w:rsidR="00767AB4" w:rsidRDefault="00767AB4" w:rsidP="006A228F">
      <w:pPr>
        <w:pStyle w:val="NormalWeb"/>
        <w:spacing w:before="0" w:beforeAutospacing="0" w:after="0" w:afterAutospacing="0" w:line="276" w:lineRule="auto"/>
        <w:jc w:val="both"/>
        <w:rPr>
          <w:rFonts w:ascii="Century Gothic" w:eastAsia="Times New Roman" w:hAnsi="Century Gothic"/>
          <w:sz w:val="20"/>
          <w:szCs w:val="20"/>
          <w:lang w:eastAsia="en-US"/>
        </w:rPr>
      </w:pPr>
    </w:p>
    <w:p w14:paraId="3F689CBA" w14:textId="06978C43" w:rsidR="00052533" w:rsidRDefault="00767AB4" w:rsidP="006A228F">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 xml:space="preserve">De los datos anteriores, podemos </w:t>
      </w:r>
      <w:r w:rsidR="00EC21C0">
        <w:rPr>
          <w:rFonts w:ascii="Century Gothic" w:eastAsia="Times New Roman" w:hAnsi="Century Gothic"/>
          <w:sz w:val="20"/>
          <w:szCs w:val="20"/>
          <w:lang w:eastAsia="en-US"/>
        </w:rPr>
        <w:t>concluir</w:t>
      </w:r>
      <w:r>
        <w:rPr>
          <w:rFonts w:ascii="Century Gothic" w:eastAsia="Times New Roman" w:hAnsi="Century Gothic"/>
          <w:sz w:val="20"/>
          <w:szCs w:val="20"/>
          <w:lang w:eastAsia="en-US"/>
        </w:rPr>
        <w:t xml:space="preserve"> que</w:t>
      </w:r>
      <w:r w:rsidR="00682D82">
        <w:rPr>
          <w:rFonts w:ascii="Century Gothic" w:eastAsia="Times New Roman" w:hAnsi="Century Gothic"/>
          <w:sz w:val="20"/>
          <w:szCs w:val="20"/>
          <w:lang w:eastAsia="en-US"/>
        </w:rPr>
        <w:t>, en cuanto a la participación en la economía circular,</w:t>
      </w:r>
      <w:r>
        <w:rPr>
          <w:rFonts w:ascii="Century Gothic" w:eastAsia="Times New Roman" w:hAnsi="Century Gothic"/>
          <w:sz w:val="20"/>
          <w:szCs w:val="20"/>
          <w:lang w:eastAsia="en-US"/>
        </w:rPr>
        <w:t xml:space="preserve"> la pyme española se encuentra en la med</w:t>
      </w:r>
      <w:r w:rsidR="00682D82">
        <w:rPr>
          <w:rFonts w:ascii="Century Gothic" w:eastAsia="Times New Roman" w:hAnsi="Century Gothic"/>
          <w:sz w:val="20"/>
          <w:szCs w:val="20"/>
          <w:lang w:eastAsia="en-US"/>
        </w:rPr>
        <w:t xml:space="preserve">ia de las pymes europeas, e </w:t>
      </w:r>
      <w:r>
        <w:rPr>
          <w:rFonts w:ascii="Century Gothic" w:eastAsia="Times New Roman" w:hAnsi="Century Gothic"/>
          <w:sz w:val="20"/>
          <w:szCs w:val="20"/>
          <w:lang w:eastAsia="en-US"/>
        </w:rPr>
        <w:t>incluso la</w:t>
      </w:r>
      <w:r w:rsidR="00682D82">
        <w:rPr>
          <w:rFonts w:ascii="Century Gothic" w:eastAsia="Times New Roman" w:hAnsi="Century Gothic"/>
          <w:sz w:val="20"/>
          <w:szCs w:val="20"/>
          <w:lang w:eastAsia="en-US"/>
        </w:rPr>
        <w:t>s</w:t>
      </w:r>
      <w:r>
        <w:rPr>
          <w:rFonts w:ascii="Century Gothic" w:eastAsia="Times New Roman" w:hAnsi="Century Gothic"/>
          <w:sz w:val="20"/>
          <w:szCs w:val="20"/>
          <w:lang w:eastAsia="en-US"/>
        </w:rPr>
        <w:t xml:space="preserve"> supera en algunas cuestiones. Ahora bien, </w:t>
      </w:r>
      <w:r w:rsidR="00682D82" w:rsidRPr="00682D82">
        <w:rPr>
          <w:rFonts w:ascii="Century Gothic" w:eastAsia="Times New Roman" w:hAnsi="Century Gothic"/>
          <w:sz w:val="20"/>
          <w:szCs w:val="20"/>
          <w:lang w:eastAsia="en-US"/>
        </w:rPr>
        <w:t>la pyme española se enfrenta a varios retos que dificultan una mayor participación y aprovechamiento de las oportunidades que ofrece este nuevo paradigma</w:t>
      </w:r>
      <w:r w:rsidR="00F3693B">
        <w:rPr>
          <w:rStyle w:val="Refdenotaalpie"/>
          <w:rFonts w:ascii="Century Gothic" w:eastAsia="Times New Roman" w:hAnsi="Century Gothic"/>
          <w:sz w:val="20"/>
          <w:szCs w:val="20"/>
          <w:lang w:eastAsia="en-US"/>
        </w:rPr>
        <w:footnoteReference w:id="62"/>
      </w:r>
      <w:r w:rsidR="00757E55">
        <w:rPr>
          <w:rFonts w:ascii="Century Gothic" w:eastAsia="Times New Roman" w:hAnsi="Century Gothic"/>
          <w:sz w:val="20"/>
          <w:szCs w:val="20"/>
          <w:lang w:eastAsia="en-US"/>
        </w:rPr>
        <w:t>:</w:t>
      </w:r>
    </w:p>
    <w:p w14:paraId="5363E190" w14:textId="2BDD6B9D" w:rsidR="00757E55" w:rsidRDefault="00F3693B"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Necesidad de adoptar una mentalidad empresarial orientada a la economía verde.</w:t>
      </w:r>
      <w:r w:rsidR="00E633D2">
        <w:rPr>
          <w:rFonts w:ascii="Century Gothic" w:eastAsia="Times New Roman" w:hAnsi="Century Gothic"/>
          <w:sz w:val="20"/>
          <w:szCs w:val="20"/>
          <w:lang w:eastAsia="en-US"/>
        </w:rPr>
        <w:t xml:space="preserve"> </w:t>
      </w:r>
    </w:p>
    <w:p w14:paraId="70030518" w14:textId="796DE13D" w:rsidR="00F3693B" w:rsidRDefault="00F3693B"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Barreras financieras.</w:t>
      </w:r>
    </w:p>
    <w:p w14:paraId="0766E6FC" w14:textId="5ABFCDDE" w:rsidR="00F3693B" w:rsidRDefault="00F3693B"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Falta de apoyo de las Administraciones públicas y ausencia de una legislación efectiva.</w:t>
      </w:r>
    </w:p>
    <w:p w14:paraId="0B49AE6B" w14:textId="5EC45F0F" w:rsidR="00F3693B" w:rsidRDefault="00F3693B"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lastRenderedPageBreak/>
        <w:t>Falta de información.</w:t>
      </w:r>
    </w:p>
    <w:p w14:paraId="01A29BA0" w14:textId="52097129" w:rsidR="00F3693B" w:rsidRPr="006A228F" w:rsidRDefault="00F3693B"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Cargas administrativas.</w:t>
      </w:r>
    </w:p>
    <w:p w14:paraId="6637D8E4" w14:textId="2A98AA12" w:rsidR="00BC5E84" w:rsidRDefault="00BC5E84" w:rsidP="00894208">
      <w:pPr>
        <w:pStyle w:val="NormalWeb"/>
        <w:spacing w:before="0" w:beforeAutospacing="0" w:after="0" w:afterAutospacing="0" w:line="276" w:lineRule="auto"/>
        <w:jc w:val="both"/>
        <w:rPr>
          <w:rFonts w:ascii="Century Gothic" w:eastAsia="Times New Roman" w:hAnsi="Century Gothic"/>
          <w:sz w:val="20"/>
          <w:szCs w:val="20"/>
          <w:lang w:eastAsia="en-US"/>
        </w:rPr>
      </w:pPr>
    </w:p>
    <w:p w14:paraId="6DDBD485" w14:textId="1A318AB6" w:rsidR="00E633D2" w:rsidRDefault="00E633D2" w:rsidP="00E633D2">
      <w:pPr>
        <w:pStyle w:val="NormalWeb"/>
        <w:spacing w:before="0" w:beforeAutospacing="0" w:after="0" w:afterAutospacing="0" w:line="276" w:lineRule="auto"/>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Por tanto, es necesario</w:t>
      </w:r>
      <w:r w:rsidR="00EE5AD4">
        <w:rPr>
          <w:rStyle w:val="Refdenotaalpie"/>
          <w:rFonts w:ascii="Century Gothic" w:eastAsia="Times New Roman" w:hAnsi="Century Gothic"/>
          <w:sz w:val="20"/>
          <w:szCs w:val="20"/>
          <w:lang w:eastAsia="en-US"/>
        </w:rPr>
        <w:footnoteReference w:id="63"/>
      </w:r>
      <w:r>
        <w:rPr>
          <w:rFonts w:ascii="Century Gothic" w:eastAsia="Times New Roman" w:hAnsi="Century Gothic"/>
          <w:sz w:val="20"/>
          <w:szCs w:val="20"/>
          <w:lang w:eastAsia="en-US"/>
        </w:rPr>
        <w:t>:</w:t>
      </w:r>
    </w:p>
    <w:p w14:paraId="6CE26AAB" w14:textId="4F93A2DD" w:rsidR="00E633D2" w:rsidRPr="00E633D2" w:rsidRDefault="00E633D2"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 xml:space="preserve">Dar </w:t>
      </w:r>
      <w:r w:rsidRPr="00E633D2">
        <w:rPr>
          <w:rFonts w:ascii="Century Gothic" w:eastAsia="Times New Roman" w:hAnsi="Century Gothic"/>
          <w:sz w:val="20"/>
          <w:szCs w:val="20"/>
          <w:lang w:eastAsia="en-US"/>
        </w:rPr>
        <w:t xml:space="preserve">asesoramiento y apoyo práctico, técnico y legal </w:t>
      </w:r>
      <w:r>
        <w:rPr>
          <w:rFonts w:ascii="Century Gothic" w:eastAsia="Times New Roman" w:hAnsi="Century Gothic"/>
          <w:sz w:val="20"/>
          <w:szCs w:val="20"/>
          <w:lang w:eastAsia="en-US"/>
        </w:rPr>
        <w:t>a l</w:t>
      </w:r>
      <w:r w:rsidRPr="00E633D2">
        <w:rPr>
          <w:rFonts w:ascii="Century Gothic" w:eastAsia="Times New Roman" w:hAnsi="Century Gothic"/>
          <w:sz w:val="20"/>
          <w:szCs w:val="20"/>
          <w:lang w:eastAsia="en-US"/>
        </w:rPr>
        <w:t xml:space="preserve">as PYMES </w:t>
      </w:r>
      <w:r>
        <w:rPr>
          <w:rFonts w:ascii="Century Gothic" w:eastAsia="Times New Roman" w:hAnsi="Century Gothic"/>
          <w:sz w:val="20"/>
          <w:szCs w:val="20"/>
          <w:lang w:eastAsia="en-US"/>
        </w:rPr>
        <w:t xml:space="preserve">para que puedan </w:t>
      </w:r>
      <w:r w:rsidRPr="00E633D2">
        <w:rPr>
          <w:rFonts w:ascii="Century Gothic" w:eastAsia="Times New Roman" w:hAnsi="Century Gothic"/>
          <w:sz w:val="20"/>
          <w:szCs w:val="20"/>
          <w:lang w:eastAsia="en-US"/>
        </w:rPr>
        <w:t>in</w:t>
      </w:r>
      <w:r>
        <w:rPr>
          <w:rFonts w:ascii="Century Gothic" w:eastAsia="Times New Roman" w:hAnsi="Century Gothic"/>
          <w:sz w:val="20"/>
          <w:szCs w:val="20"/>
          <w:lang w:eastAsia="en-US"/>
        </w:rPr>
        <w:t>corporarse</w:t>
      </w:r>
      <w:r w:rsidRPr="00E633D2">
        <w:rPr>
          <w:rFonts w:ascii="Century Gothic" w:eastAsia="Times New Roman" w:hAnsi="Century Gothic"/>
          <w:sz w:val="20"/>
          <w:szCs w:val="20"/>
          <w:lang w:eastAsia="en-US"/>
        </w:rPr>
        <w:t xml:space="preserve"> a las cadenas de valor mundiales.</w:t>
      </w:r>
    </w:p>
    <w:p w14:paraId="30C13CA3" w14:textId="77777777" w:rsidR="00682D82" w:rsidRDefault="00682D82"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H</w:t>
      </w:r>
      <w:r w:rsidR="00E633D2">
        <w:rPr>
          <w:rFonts w:ascii="Century Gothic" w:eastAsia="Times New Roman" w:hAnsi="Century Gothic"/>
          <w:sz w:val="20"/>
          <w:szCs w:val="20"/>
          <w:lang w:eastAsia="en-US"/>
        </w:rPr>
        <w:t>abilitar</w:t>
      </w:r>
      <w:r w:rsidR="00E633D2" w:rsidRPr="00E633D2">
        <w:rPr>
          <w:rFonts w:ascii="Century Gothic" w:eastAsia="Times New Roman" w:hAnsi="Century Gothic"/>
          <w:sz w:val="20"/>
          <w:szCs w:val="20"/>
          <w:lang w:eastAsia="en-US"/>
        </w:rPr>
        <w:t xml:space="preserve"> fuentes adecuadas de financiación </w:t>
      </w:r>
      <w:r w:rsidR="00E633D2">
        <w:rPr>
          <w:rFonts w:ascii="Century Gothic" w:eastAsia="Times New Roman" w:hAnsi="Century Gothic"/>
          <w:sz w:val="20"/>
          <w:szCs w:val="20"/>
          <w:lang w:eastAsia="en-US"/>
        </w:rPr>
        <w:t>p</w:t>
      </w:r>
      <w:r w:rsidR="00E633D2" w:rsidRPr="00E633D2">
        <w:rPr>
          <w:rFonts w:ascii="Century Gothic" w:eastAsia="Times New Roman" w:hAnsi="Century Gothic"/>
          <w:sz w:val="20"/>
          <w:szCs w:val="20"/>
          <w:lang w:eastAsia="en-US"/>
        </w:rPr>
        <w:t xml:space="preserve">ara </w:t>
      </w:r>
      <w:r w:rsidR="00E633D2">
        <w:rPr>
          <w:rFonts w:ascii="Century Gothic" w:eastAsia="Times New Roman" w:hAnsi="Century Gothic"/>
          <w:sz w:val="20"/>
          <w:szCs w:val="20"/>
          <w:lang w:eastAsia="en-US"/>
        </w:rPr>
        <w:t xml:space="preserve">que </w:t>
      </w:r>
      <w:r w:rsidR="00E633D2" w:rsidRPr="00E633D2">
        <w:rPr>
          <w:rFonts w:ascii="Century Gothic" w:eastAsia="Times New Roman" w:hAnsi="Century Gothic"/>
          <w:sz w:val="20"/>
          <w:szCs w:val="20"/>
          <w:lang w:eastAsia="en-US"/>
        </w:rPr>
        <w:t xml:space="preserve">las PYMES </w:t>
      </w:r>
      <w:r w:rsidR="00E633D2">
        <w:rPr>
          <w:rFonts w:ascii="Century Gothic" w:eastAsia="Times New Roman" w:hAnsi="Century Gothic"/>
          <w:sz w:val="20"/>
          <w:szCs w:val="20"/>
          <w:lang w:eastAsia="en-US"/>
        </w:rPr>
        <w:t>puedan</w:t>
      </w:r>
      <w:r w:rsidR="00E633D2" w:rsidRPr="00E633D2">
        <w:rPr>
          <w:rFonts w:ascii="Century Gothic" w:eastAsia="Times New Roman" w:hAnsi="Century Gothic"/>
          <w:sz w:val="20"/>
          <w:szCs w:val="20"/>
          <w:lang w:eastAsia="en-US"/>
        </w:rPr>
        <w:t xml:space="preserve"> d</w:t>
      </w:r>
      <w:r w:rsidR="00E633D2">
        <w:rPr>
          <w:rFonts w:ascii="Century Gothic" w:eastAsia="Times New Roman" w:hAnsi="Century Gothic"/>
          <w:sz w:val="20"/>
          <w:szCs w:val="20"/>
          <w:lang w:eastAsia="en-US"/>
        </w:rPr>
        <w:t xml:space="preserve">esarrollar productos innovadores en </w:t>
      </w:r>
      <w:r w:rsidR="00EE5AD4">
        <w:rPr>
          <w:rFonts w:ascii="Century Gothic" w:eastAsia="Times New Roman" w:hAnsi="Century Gothic"/>
          <w:sz w:val="20"/>
          <w:szCs w:val="20"/>
          <w:lang w:eastAsia="en-US"/>
        </w:rPr>
        <w:t>este</w:t>
      </w:r>
      <w:r w:rsidR="00E633D2">
        <w:rPr>
          <w:rFonts w:ascii="Century Gothic" w:eastAsia="Times New Roman" w:hAnsi="Century Gothic"/>
          <w:sz w:val="20"/>
          <w:szCs w:val="20"/>
          <w:lang w:eastAsia="en-US"/>
        </w:rPr>
        <w:t xml:space="preserve"> ámbito</w:t>
      </w:r>
      <w:r w:rsidR="00E633D2" w:rsidRPr="00E633D2">
        <w:rPr>
          <w:rFonts w:ascii="Century Gothic" w:eastAsia="Times New Roman" w:hAnsi="Century Gothic"/>
          <w:sz w:val="20"/>
          <w:szCs w:val="20"/>
          <w:lang w:eastAsia="en-US"/>
        </w:rPr>
        <w:t>.</w:t>
      </w:r>
      <w:r w:rsidR="001C2CA9" w:rsidRPr="001C2CA9">
        <w:rPr>
          <w:rFonts w:ascii="Century Gothic" w:eastAsia="Times New Roman" w:hAnsi="Century Gothic"/>
          <w:sz w:val="20"/>
          <w:szCs w:val="20"/>
          <w:lang w:eastAsia="en-US"/>
        </w:rPr>
        <w:t xml:space="preserve"> </w:t>
      </w:r>
    </w:p>
    <w:p w14:paraId="031AC19E" w14:textId="6B64C736" w:rsidR="001C2CA9" w:rsidRDefault="00682D82"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I</w:t>
      </w:r>
      <w:r w:rsidR="001C2CA9" w:rsidRPr="00FD203F">
        <w:rPr>
          <w:rFonts w:ascii="Century Gothic" w:eastAsia="Times New Roman" w:hAnsi="Century Gothic"/>
          <w:sz w:val="20"/>
          <w:szCs w:val="20"/>
          <w:lang w:eastAsia="en-US"/>
        </w:rPr>
        <w:t>mpulsar la concienciación de las PYME en su papel clave de la transición hacia un crecimiento que utilice eficazmente los recursos.</w:t>
      </w:r>
      <w:r w:rsidR="001C2CA9" w:rsidRPr="001C2CA9">
        <w:rPr>
          <w:rFonts w:ascii="Century Gothic" w:eastAsia="Times New Roman" w:hAnsi="Century Gothic"/>
          <w:sz w:val="20"/>
          <w:szCs w:val="20"/>
          <w:lang w:eastAsia="en-US"/>
        </w:rPr>
        <w:t xml:space="preserve"> </w:t>
      </w:r>
    </w:p>
    <w:p w14:paraId="13AF2025" w14:textId="3C9A361D" w:rsidR="001C2CA9" w:rsidRPr="001C2CA9" w:rsidRDefault="001C2CA9"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sidRPr="001C2CA9">
        <w:rPr>
          <w:rFonts w:ascii="Century Gothic" w:eastAsia="Times New Roman" w:hAnsi="Century Gothic"/>
          <w:sz w:val="20"/>
          <w:szCs w:val="20"/>
          <w:lang w:eastAsia="en-US"/>
        </w:rPr>
        <w:t xml:space="preserve">Mejorar los canales de información para que las PYME sepan las posibilidades de ayuda que tienen para la inversión en los ámbitos del medio ambiente y la energía ofrecidos a nivel comunitario (por ejemplo, Fondo Social Europeo), estatal y regional. </w:t>
      </w:r>
    </w:p>
    <w:p w14:paraId="6BAA0CC8" w14:textId="2BFC85AD" w:rsidR="00E633D2" w:rsidRPr="00E633D2" w:rsidRDefault="00682D82"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Ut</w:t>
      </w:r>
      <w:r w:rsidR="00E633D2">
        <w:rPr>
          <w:rFonts w:ascii="Century Gothic" w:eastAsia="Times New Roman" w:hAnsi="Century Gothic"/>
          <w:sz w:val="20"/>
          <w:szCs w:val="20"/>
          <w:lang w:eastAsia="en-US"/>
        </w:rPr>
        <w:t xml:space="preserve">ilizar un </w:t>
      </w:r>
      <w:r w:rsidR="00E633D2" w:rsidRPr="00E633D2">
        <w:rPr>
          <w:rFonts w:ascii="Century Gothic" w:eastAsia="Times New Roman" w:hAnsi="Century Gothic"/>
          <w:sz w:val="20"/>
          <w:szCs w:val="20"/>
          <w:lang w:eastAsia="en-US"/>
        </w:rPr>
        <w:t xml:space="preserve">lenguaje </w:t>
      </w:r>
      <w:r w:rsidR="00EE5AD4">
        <w:rPr>
          <w:rFonts w:ascii="Century Gothic" w:eastAsia="Times New Roman" w:hAnsi="Century Gothic"/>
          <w:sz w:val="20"/>
          <w:szCs w:val="20"/>
          <w:lang w:eastAsia="en-US"/>
        </w:rPr>
        <w:t>sencillo y que sirva para las pymes</w:t>
      </w:r>
      <w:r w:rsidR="001C1FDC">
        <w:rPr>
          <w:rFonts w:ascii="Century Gothic" w:eastAsia="Times New Roman" w:hAnsi="Century Gothic"/>
          <w:sz w:val="20"/>
          <w:szCs w:val="20"/>
          <w:lang w:eastAsia="en-US"/>
        </w:rPr>
        <w:t xml:space="preserve"> comprendan</w:t>
      </w:r>
      <w:r w:rsidR="00EE5AD4">
        <w:rPr>
          <w:rFonts w:ascii="Century Gothic" w:eastAsia="Times New Roman" w:hAnsi="Century Gothic"/>
          <w:sz w:val="20"/>
          <w:szCs w:val="20"/>
          <w:lang w:eastAsia="en-US"/>
        </w:rPr>
        <w:t xml:space="preserve"> las ventajas y beneficios de emprender actuaciones de economía circular</w:t>
      </w:r>
      <w:r w:rsidR="00E633D2" w:rsidRPr="00E633D2">
        <w:rPr>
          <w:rFonts w:ascii="Century Gothic" w:eastAsia="Times New Roman" w:hAnsi="Century Gothic"/>
          <w:sz w:val="20"/>
          <w:szCs w:val="20"/>
          <w:lang w:eastAsia="en-US"/>
        </w:rPr>
        <w:t>.</w:t>
      </w:r>
    </w:p>
    <w:p w14:paraId="75B94C3D" w14:textId="49990BCA" w:rsidR="00E633D2" w:rsidRPr="00E633D2" w:rsidRDefault="00EE5AD4"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Pr>
          <w:rFonts w:ascii="Century Gothic" w:eastAsia="Times New Roman" w:hAnsi="Century Gothic"/>
          <w:sz w:val="20"/>
          <w:szCs w:val="20"/>
          <w:lang w:eastAsia="en-US"/>
        </w:rPr>
        <w:t>Necesidad</w:t>
      </w:r>
      <w:r w:rsidR="00E633D2" w:rsidRPr="00E633D2">
        <w:rPr>
          <w:rFonts w:ascii="Century Gothic" w:eastAsia="Times New Roman" w:hAnsi="Century Gothic"/>
          <w:sz w:val="20"/>
          <w:szCs w:val="20"/>
          <w:lang w:eastAsia="en-US"/>
        </w:rPr>
        <w:t xml:space="preserve"> de desarrollar marcos </w:t>
      </w:r>
      <w:r w:rsidR="001C1FDC" w:rsidRPr="00E633D2">
        <w:rPr>
          <w:rFonts w:ascii="Century Gothic" w:eastAsia="Times New Roman" w:hAnsi="Century Gothic"/>
          <w:sz w:val="20"/>
          <w:szCs w:val="20"/>
          <w:lang w:eastAsia="en-US"/>
        </w:rPr>
        <w:t xml:space="preserve">adecuados </w:t>
      </w:r>
      <w:r w:rsidR="00E633D2" w:rsidRPr="00E633D2">
        <w:rPr>
          <w:rFonts w:ascii="Century Gothic" w:eastAsia="Times New Roman" w:hAnsi="Century Gothic"/>
          <w:sz w:val="20"/>
          <w:szCs w:val="20"/>
          <w:lang w:eastAsia="en-US"/>
        </w:rPr>
        <w:t>de políticas de apoyo.</w:t>
      </w:r>
    </w:p>
    <w:p w14:paraId="07BB53AB" w14:textId="77777777" w:rsidR="001C2CA9" w:rsidRDefault="00E633D2"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sidRPr="001C2CA9">
        <w:rPr>
          <w:rFonts w:ascii="Century Gothic" w:eastAsia="Times New Roman" w:hAnsi="Century Gothic"/>
          <w:sz w:val="20"/>
          <w:szCs w:val="20"/>
          <w:lang w:eastAsia="en-US"/>
        </w:rPr>
        <w:t xml:space="preserve">Las </w:t>
      </w:r>
      <w:r w:rsidR="00EE5AD4" w:rsidRPr="001C2CA9">
        <w:rPr>
          <w:rFonts w:ascii="Century Gothic" w:eastAsia="Times New Roman" w:hAnsi="Century Gothic"/>
          <w:sz w:val="20"/>
          <w:szCs w:val="20"/>
          <w:lang w:eastAsia="en-US"/>
        </w:rPr>
        <w:t>políticas de sensibilización</w:t>
      </w:r>
      <w:r w:rsidRPr="001C2CA9">
        <w:rPr>
          <w:rFonts w:ascii="Century Gothic" w:eastAsia="Times New Roman" w:hAnsi="Century Gothic"/>
          <w:sz w:val="20"/>
          <w:szCs w:val="20"/>
          <w:lang w:eastAsia="en-US"/>
        </w:rPr>
        <w:t xml:space="preserve"> a los consumidores sobre prácticas y productos de economía circular pueden alentar </w:t>
      </w:r>
      <w:r w:rsidR="00EE5AD4" w:rsidRPr="001C2CA9">
        <w:rPr>
          <w:rFonts w:ascii="Century Gothic" w:eastAsia="Times New Roman" w:hAnsi="Century Gothic"/>
          <w:sz w:val="20"/>
          <w:szCs w:val="20"/>
          <w:lang w:eastAsia="en-US"/>
        </w:rPr>
        <w:t xml:space="preserve">a las pymes a </w:t>
      </w:r>
      <w:r w:rsidRPr="001C2CA9">
        <w:rPr>
          <w:rFonts w:ascii="Century Gothic" w:eastAsia="Times New Roman" w:hAnsi="Century Gothic"/>
          <w:sz w:val="20"/>
          <w:szCs w:val="20"/>
          <w:lang w:eastAsia="en-US"/>
        </w:rPr>
        <w:t>adop</w:t>
      </w:r>
      <w:r w:rsidR="00EE5AD4" w:rsidRPr="001C2CA9">
        <w:rPr>
          <w:rFonts w:ascii="Century Gothic" w:eastAsia="Times New Roman" w:hAnsi="Century Gothic"/>
          <w:sz w:val="20"/>
          <w:szCs w:val="20"/>
          <w:lang w:eastAsia="en-US"/>
        </w:rPr>
        <w:t xml:space="preserve">tar </w:t>
      </w:r>
      <w:r w:rsidRPr="001C2CA9">
        <w:rPr>
          <w:rFonts w:ascii="Century Gothic" w:eastAsia="Times New Roman" w:hAnsi="Century Gothic"/>
          <w:sz w:val="20"/>
          <w:szCs w:val="20"/>
          <w:lang w:eastAsia="en-US"/>
        </w:rPr>
        <w:t>modelos comerciales circulares.</w:t>
      </w:r>
    </w:p>
    <w:p w14:paraId="416F14A9" w14:textId="77777777" w:rsidR="001C2CA9" w:rsidRDefault="00FD203F"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sidRPr="001C2CA9">
        <w:rPr>
          <w:rFonts w:ascii="Century Gothic" w:eastAsia="Times New Roman" w:hAnsi="Century Gothic"/>
          <w:sz w:val="20"/>
          <w:szCs w:val="20"/>
          <w:lang w:eastAsia="en-US"/>
        </w:rPr>
        <w:t xml:space="preserve">Ofrecer un sistema de incentivos a las PYME que están certificadas con arreglo al Sistema de Gestión y Auditoría Medioambientales (EMAS) e ISO 14000, y ayudar a las microempresas y las pequeñas empresas a aprovechar sistemas simplificados del tipo EMAS, como «EMAS-EASY». </w:t>
      </w:r>
    </w:p>
    <w:p w14:paraId="46E9CC76" w14:textId="1042639A" w:rsidR="00FD203F" w:rsidRPr="0001066D" w:rsidRDefault="00FD203F" w:rsidP="0001066D">
      <w:pPr>
        <w:pStyle w:val="NormalWeb"/>
        <w:numPr>
          <w:ilvl w:val="0"/>
          <w:numId w:val="53"/>
        </w:numPr>
        <w:spacing w:before="120" w:beforeAutospacing="0" w:after="0" w:afterAutospacing="0" w:line="276" w:lineRule="auto"/>
        <w:ind w:left="714" w:hanging="357"/>
        <w:jc w:val="both"/>
        <w:rPr>
          <w:rFonts w:ascii="Century Gothic" w:eastAsia="Times New Roman" w:hAnsi="Century Gothic"/>
          <w:sz w:val="20"/>
          <w:szCs w:val="20"/>
          <w:lang w:eastAsia="en-US"/>
        </w:rPr>
      </w:pPr>
      <w:r w:rsidRPr="001C2CA9">
        <w:rPr>
          <w:rFonts w:ascii="Century Gothic" w:eastAsia="Times New Roman" w:hAnsi="Century Gothic"/>
          <w:sz w:val="20"/>
          <w:szCs w:val="20"/>
          <w:lang w:eastAsia="en-US"/>
        </w:rPr>
        <w:t xml:space="preserve">Facilitar la aplicación normativa: las compañías se encuentran bajo una creciente presión social y legislativa para reducir su impacto medioambiental. </w:t>
      </w:r>
    </w:p>
    <w:p w14:paraId="28C0A376" w14:textId="7036DD56" w:rsidR="00A67E65" w:rsidRDefault="00633D11" w:rsidP="00A67E65">
      <w:pPr>
        <w:pStyle w:val="Ttulo3"/>
      </w:pPr>
      <w:bookmarkStart w:id="79" w:name="_Toc527630355"/>
      <w:r>
        <w:t>Líneas de actuación</w:t>
      </w:r>
      <w:bookmarkEnd w:id="79"/>
    </w:p>
    <w:p w14:paraId="03D63045" w14:textId="1A15E259" w:rsidR="0089021D" w:rsidRPr="0089021D" w:rsidRDefault="0089021D" w:rsidP="0089021D">
      <w:pPr>
        <w:pStyle w:val="Body"/>
      </w:pPr>
      <w:r>
        <w:t>El objetivo es facilitar la transición de las PYMES a la economía circular.</w:t>
      </w:r>
    </w:p>
    <w:p w14:paraId="014B9E25" w14:textId="77777777" w:rsidR="00F96617" w:rsidRPr="00C51697" w:rsidRDefault="00F96617" w:rsidP="00757E55">
      <w:pPr>
        <w:pStyle w:val="Prrafodelista"/>
        <w:numPr>
          <w:ilvl w:val="0"/>
          <w:numId w:val="32"/>
        </w:numPr>
        <w:rPr>
          <w:rFonts w:ascii="Century Gothic" w:hAnsi="Century Gothic" w:cs="Arial"/>
          <w:b/>
          <w:color w:val="000000"/>
          <w:kern w:val="24"/>
          <w:lang w:val="es-ES" w:eastAsia="es-ES"/>
        </w:rPr>
      </w:pPr>
      <w:r w:rsidRPr="00C5169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C51697">
        <w:rPr>
          <w:rFonts w:ascii="Century Gothic" w:hAnsi="Century Gothic" w:cs="Arial"/>
          <w:b/>
          <w:color w:val="000000"/>
          <w:kern w:val="24"/>
          <w:lang w:val="es-ES" w:eastAsia="es-ES"/>
        </w:rPr>
        <w:t xml:space="preserve"> </w:t>
      </w:r>
      <w:r w:rsidRPr="00F96617">
        <w:rPr>
          <w:rFonts w:ascii="Century Gothic" w:hAnsi="Century Gothic" w:cs="Arial"/>
          <w:b/>
          <w:color w:val="000000"/>
          <w:kern w:val="24"/>
          <w:lang w:val="es-ES" w:eastAsia="es-ES"/>
        </w:rPr>
        <w:t>Impulsar la información, comunicación y divulgación ambiental</w:t>
      </w:r>
    </w:p>
    <w:p w14:paraId="4CFEA55E"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Organizar seminarios, workshops dirigidos a PYME sobre el papel clave de las pequeñas y medianas empresas en avanzar hacia un desarrollo sostenible.</w:t>
      </w:r>
    </w:p>
    <w:p w14:paraId="601ADC44"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Poner en común buenas prácticas de producción y consumo responsable a través de la creación de redes. Utilizar la Red Entreprise Europe en la que se transferirán conocimientos sobre las más recientes evoluciones tecnológicas, metodologías y mejores prácticas de las regiones con mayor experiencia a las menos avanzadas; la red Enterprise Europe ayudará a las PYME a comercializar productos y servicios </w:t>
      </w:r>
      <w:r w:rsidRPr="00C51697">
        <w:rPr>
          <w:rFonts w:ascii="Century Gothic" w:hAnsi="Century Gothic"/>
          <w:lang w:val="es-ES"/>
        </w:rPr>
        <w:lastRenderedPageBreak/>
        <w:t>para los que se hayan tenido en cuenta las mejores prácticas, en particular las tecnologías con baja emisión de carbono.</w:t>
      </w:r>
    </w:p>
    <w:p w14:paraId="01810F33"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Fomentar la contratación de expertos medioambientales para crear un departamento de sostenibilidad que sea responsable de la estrategia de sostenibilidad de la empresa.</w:t>
      </w:r>
    </w:p>
    <w:p w14:paraId="6CE6A1E0" w14:textId="08950CD7" w:rsidR="0007272F"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Aprovechar las iniciativas comunitarias orientadas a las PYME en la promoción de creación de redes, tecnologías con baja emisión de carbono y la innovación que utilice eficazmente los recursos. Por ejemplo la acción específica sobre expertos en medio ambiente y eficiencia energética en el marco de la Red Enterprise Europe</w:t>
      </w:r>
      <w:r w:rsidRPr="00C90F2D">
        <w:rPr>
          <w:rFonts w:ascii="Century Gothic" w:hAnsi="Century Gothic"/>
          <w:vertAlign w:val="superscript"/>
          <w:lang w:val="es-ES"/>
        </w:rPr>
        <w:footnoteReference w:id="64"/>
      </w:r>
      <w:r w:rsidRPr="00C51697">
        <w:rPr>
          <w:rFonts w:ascii="Century Gothic" w:hAnsi="Century Gothic"/>
          <w:lang w:val="es-ES"/>
        </w:rPr>
        <w:t xml:space="preserve">. </w:t>
      </w:r>
    </w:p>
    <w:p w14:paraId="7D46BD50" w14:textId="442693F4" w:rsidR="00CE3A86" w:rsidRPr="0007272F" w:rsidRDefault="00CE3A86" w:rsidP="00757E55">
      <w:pPr>
        <w:pStyle w:val="Prrafodelista"/>
        <w:numPr>
          <w:ilvl w:val="1"/>
          <w:numId w:val="32"/>
        </w:numPr>
        <w:rPr>
          <w:rFonts w:ascii="Century Gothic" w:hAnsi="Century Gothic"/>
          <w:lang w:val="es-ES"/>
        </w:rPr>
      </w:pPr>
      <w:r w:rsidRPr="009200E1">
        <w:rPr>
          <w:rFonts w:ascii="Century Gothic" w:hAnsi="Century Gothic"/>
          <w:lang w:val="es-ES"/>
        </w:rPr>
        <w:t>Introducir en la enseñanza, especialmente en la universidad, una cultura de la reutilización de productos y componentes, desde el diseño de los mismos</w:t>
      </w:r>
      <w:r w:rsidR="00D53D91">
        <w:rPr>
          <w:rFonts w:ascii="Century Gothic" w:hAnsi="Century Gothic"/>
          <w:lang w:val="es-ES"/>
        </w:rPr>
        <w:t>:</w:t>
      </w:r>
      <w:r w:rsidRPr="009200E1">
        <w:rPr>
          <w:rFonts w:ascii="Century Gothic" w:hAnsi="Century Gothic"/>
          <w:lang w:val="es-ES"/>
        </w:rPr>
        <w:t xml:space="preserve"> Concepto “eco-diseño” o diseño para la reutilización con el objetivo Residuo 0.</w:t>
      </w:r>
    </w:p>
    <w:p w14:paraId="1B4DD50B" w14:textId="77777777" w:rsidR="00F96617" w:rsidRPr="00C51697" w:rsidRDefault="00F96617" w:rsidP="00757E55">
      <w:pPr>
        <w:pStyle w:val="Prrafodelista"/>
        <w:numPr>
          <w:ilvl w:val="0"/>
          <w:numId w:val="32"/>
        </w:numPr>
        <w:rPr>
          <w:rFonts w:ascii="Century Gothic" w:hAnsi="Century Gothic" w:cs="Arial"/>
          <w:b/>
          <w:color w:val="000000"/>
          <w:kern w:val="24"/>
          <w:lang w:val="es-ES" w:eastAsia="es-ES"/>
        </w:rPr>
      </w:pPr>
      <w:r w:rsidRPr="00C5169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C51697">
        <w:rPr>
          <w:rFonts w:ascii="Century Gothic" w:hAnsi="Century Gothic" w:cs="Arial"/>
          <w:b/>
          <w:color w:val="000000"/>
          <w:kern w:val="24"/>
          <w:lang w:val="es-ES" w:eastAsia="es-ES"/>
        </w:rPr>
        <w:t xml:space="preserve"> </w:t>
      </w:r>
      <w:r w:rsidRPr="00F96617">
        <w:rPr>
          <w:rFonts w:ascii="Century Gothic" w:hAnsi="Century Gothic" w:cs="Arial"/>
          <w:b/>
          <w:color w:val="000000"/>
          <w:kern w:val="24"/>
          <w:lang w:val="es-ES" w:eastAsia="es-ES"/>
        </w:rPr>
        <w:t>Avanzar en la simplificación y aplicación de la regulación medioambiental</w:t>
      </w:r>
    </w:p>
    <w:p w14:paraId="13F2C27E" w14:textId="054C3F8C"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Ofrecer un sistema de incentivos a las PYME que están certificadas con arreglo al Sistema de Gestión y Auditoría Medioambientales (EMAS) e ISO 14000</w:t>
      </w:r>
      <w:r w:rsidR="0007272F">
        <w:rPr>
          <w:rFonts w:ascii="Century Gothic" w:hAnsi="Century Gothic"/>
          <w:lang w:val="es-ES"/>
        </w:rPr>
        <w:t xml:space="preserve"> o ISO 50001</w:t>
      </w:r>
      <w:r w:rsidRPr="00C51697">
        <w:rPr>
          <w:rFonts w:ascii="Century Gothic" w:hAnsi="Century Gothic"/>
          <w:lang w:val="es-ES"/>
        </w:rPr>
        <w:t xml:space="preserve">, y ayudar a las microempresas y las pequeñas empresas a aprovechar sistemas simplificados del tipo EMAS, como «EMAS-EASY». </w:t>
      </w:r>
      <w:r w:rsidR="0007272F" w:rsidRPr="00E84D98">
        <w:rPr>
          <w:rFonts w:ascii="Century Gothic" w:hAnsi="Century Gothic"/>
          <w:lang w:val="es-ES"/>
        </w:rPr>
        <w:t>De acuerdo con ello, fomentar la figura del gestor energético en la PYME.</w:t>
      </w:r>
    </w:p>
    <w:p w14:paraId="631C17CA"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Hacer seguimiento de los nuevos planes de la Comisión: Plan de Eficacia Energética y Plan de Acción de Innovación Ecológica que preste especial atención a las PYME en la promoción de creación de redes, las tecnologías con baja emisión de carbono y una innovación que utilice eficazmente los recursos; </w:t>
      </w:r>
    </w:p>
    <w:p w14:paraId="47C98D2E" w14:textId="62203CA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Los grupos de expertos sobre las PYME y la base de datos de información sobre las PYME de la red Enterprise Europe se utilizarán para mejorar la calidad de la legislación medioambiental, incluida su aplicación. </w:t>
      </w:r>
    </w:p>
    <w:p w14:paraId="1A39EDA9" w14:textId="6FE19494" w:rsidR="00F9661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Difusión/introducción en </w:t>
      </w:r>
      <w:r w:rsidR="0098462A" w:rsidRPr="00C51697">
        <w:rPr>
          <w:rFonts w:ascii="Century Gothic" w:hAnsi="Century Gothic"/>
          <w:lang w:val="es-ES"/>
        </w:rPr>
        <w:t>las pymes</w:t>
      </w:r>
      <w:r w:rsidRPr="00C51697">
        <w:rPr>
          <w:rFonts w:ascii="Century Gothic" w:hAnsi="Century Gothic"/>
          <w:lang w:val="es-ES"/>
        </w:rPr>
        <w:t xml:space="preserve"> de normas armonizadas en el campo del ecodiseño aplicables a los productos relacionados con la energía, aspectos de la eficiencia de materiales, capacidad para la reparación, facilidad de reutilización, uso o reutilización de componentes, uso de materias primas críticas, reciclabilidad, entre otros. </w:t>
      </w:r>
    </w:p>
    <w:p w14:paraId="11EABB2A" w14:textId="64EC2685" w:rsidR="00437E76" w:rsidRPr="00437E76" w:rsidRDefault="00437E76" w:rsidP="00757E55">
      <w:pPr>
        <w:pStyle w:val="Prrafodelista"/>
        <w:numPr>
          <w:ilvl w:val="1"/>
          <w:numId w:val="32"/>
        </w:numPr>
        <w:rPr>
          <w:rFonts w:ascii="Century Gothic" w:hAnsi="Century Gothic"/>
          <w:lang w:val="es-ES"/>
        </w:rPr>
      </w:pPr>
      <w:r w:rsidRPr="00437E76">
        <w:rPr>
          <w:rFonts w:ascii="Century Gothic" w:hAnsi="Century Gothic"/>
          <w:lang w:val="es-ES"/>
        </w:rPr>
        <w:t>Reducir la carga burocrática en materia medioambiental soportada por las</w:t>
      </w:r>
      <w:r>
        <w:rPr>
          <w:rFonts w:ascii="Century Gothic" w:hAnsi="Century Gothic"/>
          <w:lang w:val="es-ES"/>
        </w:rPr>
        <w:t xml:space="preserve"> PYME.</w:t>
      </w:r>
    </w:p>
    <w:p w14:paraId="3B5F3EF7" w14:textId="77777777" w:rsidR="00F96617" w:rsidRPr="00C51697" w:rsidRDefault="00F96617" w:rsidP="00757E55">
      <w:pPr>
        <w:pStyle w:val="Prrafodelista"/>
        <w:numPr>
          <w:ilvl w:val="0"/>
          <w:numId w:val="32"/>
        </w:numPr>
        <w:rPr>
          <w:rFonts w:ascii="Century Gothic" w:hAnsi="Century Gothic" w:cs="Arial"/>
          <w:b/>
          <w:color w:val="000000"/>
          <w:kern w:val="24"/>
          <w:lang w:val="es-ES" w:eastAsia="es-ES"/>
        </w:rPr>
      </w:pPr>
      <w:r w:rsidRPr="00C51697">
        <w:rPr>
          <w:rFonts w:ascii="Century Gothic" w:hAnsi="Century Gothic" w:cs="Arial"/>
          <w:b/>
          <w:color w:val="000000"/>
          <w:kern w:val="24"/>
          <w:lang w:val="es-ES" w:eastAsia="es-ES"/>
        </w:rPr>
        <w:t>LA</w:t>
      </w:r>
      <w:r w:rsidR="00C471DC">
        <w:rPr>
          <w:rFonts w:ascii="Century Gothic" w:hAnsi="Century Gothic"/>
          <w:b/>
          <w:lang w:val="es-ES"/>
        </w:rPr>
        <w:fldChar w:fldCharType="begin"/>
      </w:r>
      <w:r w:rsidR="00C471DC">
        <w:rPr>
          <w:rFonts w:ascii="Century Gothic" w:hAnsi="Century Gothic"/>
          <w:b/>
          <w:lang w:val="es-ES"/>
        </w:rPr>
        <w:instrText xml:space="preserve"> AUTONUM  </w:instrText>
      </w:r>
      <w:r w:rsidR="00C471DC">
        <w:rPr>
          <w:rFonts w:ascii="Century Gothic" w:hAnsi="Century Gothic"/>
          <w:b/>
          <w:lang w:val="es-ES"/>
        </w:rPr>
        <w:fldChar w:fldCharType="end"/>
      </w:r>
      <w:r w:rsidRPr="00C51697">
        <w:rPr>
          <w:rFonts w:ascii="Century Gothic" w:hAnsi="Century Gothic" w:cs="Arial"/>
          <w:b/>
          <w:color w:val="000000"/>
          <w:kern w:val="24"/>
          <w:lang w:val="es-ES" w:eastAsia="es-ES"/>
        </w:rPr>
        <w:t xml:space="preserve"> </w:t>
      </w:r>
      <w:r w:rsidRPr="00F96617">
        <w:rPr>
          <w:rFonts w:ascii="Century Gothic" w:hAnsi="Century Gothic" w:cs="Arial"/>
          <w:b/>
          <w:color w:val="000000"/>
          <w:kern w:val="24"/>
          <w:lang w:val="es-ES" w:eastAsia="es-ES"/>
        </w:rPr>
        <w:t>Facilitar la transformación hacia una economía circular</w:t>
      </w:r>
    </w:p>
    <w:p w14:paraId="4FFF6A03"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España, como Estado miembro, en línea con el Plan de Acción de la UE para la Economía Circular se compromete con los esfuerzos de la UE para desarrollar una economía eficiente en el uso de recursos, competitiva, sostenible y baja en </w:t>
      </w:r>
      <w:r w:rsidRPr="00C51697">
        <w:rPr>
          <w:rFonts w:ascii="Century Gothic" w:hAnsi="Century Gothic"/>
          <w:lang w:val="es-ES"/>
        </w:rPr>
        <w:lastRenderedPageBreak/>
        <w:t>emisiones de dióxido de carbono. Recordemos que el Plan de Acción establece un programa de medidas legislativas que cubre todo el ciclo de producción y consumo.</w:t>
      </w:r>
    </w:p>
    <w:p w14:paraId="1492DE98"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El Gobierno español desarrollará una Estrategia de Economía Circular en línea con la europea (Paquete de medidas y Plan de Acción Europeo). Se estructurará en torno a grandes líneas de acción horizontales, como las destinadas a fomentar, entre otras, la innovación tecnológica en los procesos de producción, la compra pública verde, el uso de la etiqueta ecológica europea o el Sistema Comunitario de Gestión y Auditoría Medioambientales. </w:t>
      </w:r>
    </w:p>
    <w:p w14:paraId="6172171A"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En este contexto, se ha constituido un grupo de trabajo con las Comunidades Autónomas y la Federación Española de Municipios y Provincias. Además, está en marcha el grupo de financiación de la Economía Circular y se constituirá un grupo interministerial. Además, se desarrollará un proceso de participación activa para que todos los agentes implicados (ONG, organizaciones empresariales y sindicales, consumidores y usuarios) puedan aportar su visión y experiencias a los contenidos de la Estrategia. </w:t>
      </w:r>
    </w:p>
    <w:p w14:paraId="70ED2EE3"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 xml:space="preserve">Identificar y promover medidas para alcanzar un crecimiento más equilibrado y sostenible a través de la Comisión de Economía Circular creada por la Cámara de Comercio de España. </w:t>
      </w:r>
    </w:p>
    <w:p w14:paraId="562CB0A0"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Impulsar la creación de incentivos para promover las auditorías energéticas y de recursos puede facilitar esta transición hacia una economía circular.</w:t>
      </w:r>
    </w:p>
    <w:p w14:paraId="0B80D533"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Fomento del “ecodiseño” en las empresas: considerar los impactos medioambientales a lo largo del ciclo de vida de un producto y los integra desde su concepción.</w:t>
      </w:r>
    </w:p>
    <w:p w14:paraId="687FCEA8"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Impulso a la innovación tecnológica en los procesos de producción, la compra pública verde, el uso de la etiqueta ecológica europea o el Sistema Comunitario de Gestión y Auditoría Medioambientales.</w:t>
      </w:r>
    </w:p>
    <w:p w14:paraId="0A27E7AA"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Promover la transformación digital de las empresas como medio de favorecer el principio de economía circular.</w:t>
      </w:r>
    </w:p>
    <w:p w14:paraId="37EF1610" w14:textId="77777777" w:rsidR="00F96617" w:rsidRPr="00C51697" w:rsidRDefault="00F96617" w:rsidP="00757E55">
      <w:pPr>
        <w:pStyle w:val="Prrafodelista"/>
        <w:numPr>
          <w:ilvl w:val="1"/>
          <w:numId w:val="32"/>
        </w:numPr>
        <w:rPr>
          <w:rFonts w:ascii="Century Gothic" w:hAnsi="Century Gothic"/>
          <w:lang w:val="es-ES"/>
        </w:rPr>
      </w:pPr>
      <w:r w:rsidRPr="00C51697">
        <w:rPr>
          <w:rFonts w:ascii="Century Gothic" w:hAnsi="Century Gothic"/>
          <w:lang w:val="es-ES"/>
        </w:rPr>
        <w:t>Alcanzar nuevas alianzas público-privadas con el objetivo de facilitar el desarrollo de servicios y productos innovadores en el ámbito del medioambiente y al mismo tiempo, garantizar la protección de la salud y calidad de vida de las personas.  </w:t>
      </w:r>
    </w:p>
    <w:p w14:paraId="6A2E2B38" w14:textId="77777777" w:rsidR="00F96617" w:rsidRPr="00C51697" w:rsidRDefault="00F96617" w:rsidP="0001066D">
      <w:pPr>
        <w:pStyle w:val="Prrafodelista"/>
        <w:numPr>
          <w:ilvl w:val="1"/>
          <w:numId w:val="32"/>
        </w:numPr>
        <w:spacing w:after="240"/>
        <w:ind w:left="1077" w:hanging="357"/>
        <w:rPr>
          <w:rFonts w:ascii="Century Gothic" w:hAnsi="Century Gothic"/>
          <w:lang w:val="es-ES"/>
        </w:rPr>
      </w:pPr>
      <w:r w:rsidRPr="00C51697">
        <w:rPr>
          <w:rFonts w:ascii="Century Gothic" w:hAnsi="Century Gothic"/>
          <w:lang w:val="es-ES"/>
        </w:rPr>
        <w:t>Identificar actores clave en el sector público y privado que aporten servicios en esas cuestiones. </w:t>
      </w:r>
    </w:p>
    <w:p w14:paraId="22967EE5" w14:textId="1325C543" w:rsidR="00E14754" w:rsidRPr="000F1FC8" w:rsidRDefault="00E14754" w:rsidP="000F1FC8">
      <w:pPr>
        <w:pStyle w:val="Ttulo2"/>
        <w:keepLines/>
        <w:numPr>
          <w:ilvl w:val="1"/>
          <w:numId w:val="28"/>
        </w:numPr>
        <w:spacing w:after="120" w:line="276" w:lineRule="auto"/>
        <w:rPr>
          <w:rFonts w:cs="Arial"/>
          <w:color w:val="003399"/>
          <w:sz w:val="24"/>
          <w:lang w:val="es-ES"/>
        </w:rPr>
      </w:pPr>
      <w:bookmarkStart w:id="80" w:name="_Toc527630356"/>
      <w:r w:rsidRPr="000F1FC8">
        <w:rPr>
          <w:rFonts w:cs="Arial"/>
          <w:color w:val="003399"/>
          <w:sz w:val="24"/>
          <w:lang w:val="es-ES"/>
        </w:rPr>
        <w:t>Internacionalización</w:t>
      </w:r>
      <w:bookmarkEnd w:id="80"/>
    </w:p>
    <w:p w14:paraId="31BB1FE8" w14:textId="77777777" w:rsidR="00D42A17" w:rsidRPr="00D42A17" w:rsidRDefault="00D42A17" w:rsidP="00D42A17">
      <w:pPr>
        <w:pStyle w:val="Ttulo3"/>
      </w:pPr>
      <w:bookmarkStart w:id="81" w:name="_Toc525508032"/>
      <w:bookmarkStart w:id="82" w:name="_Toc527630357"/>
      <w:r w:rsidRPr="00D42A17">
        <w:t>Marco conceptual y diagnóstico</w:t>
      </w:r>
      <w:bookmarkEnd w:id="81"/>
      <w:bookmarkEnd w:id="82"/>
    </w:p>
    <w:p w14:paraId="72C3D4E7"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Para entender la evolución de las PYME en el proceso de internacionalización de la economía española y poder hacer un diagnóstico adecuado de los retos a los que se enfrentan, es necesario hacer un breve repaso de análisis de coyuntura económica en los últimos años.</w:t>
      </w:r>
    </w:p>
    <w:p w14:paraId="5DCBA903"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lastRenderedPageBreak/>
        <w:t>En las últimas décadas la economía española ha experimentado un proceso de internacionalización sin precedentes, reflejo de los cambios que se han ido forjando en el tejido empresarial. Así, en la década de los años noventa podemos decir que América Latina era el objetivo estratégico de las empresas que se aventuraban a dar el salto más allá de las fronteras europeas, consolidando la transformación de muchas empresas punteras españolas en grandes multinacionales. En la siguiente década, muchas compañías pasaron a emprender una segunda fase en su proceso de internacionalización desembarcando en países del lejano oriente y países OCDE que en épocas anteriores se consideraban inabordables.</w:t>
      </w:r>
    </w:p>
    <w:p w14:paraId="691FC51C"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A partir de mediados de la década pasada, en un contexto de globalización y crisis económica y financiera mundial sin precedentes, España sufrió una profunda recesión impulsada por el derrumbe del sector de la construcción, la caída de la demanda interna y la explosión de la tasa de desempleo por encima del 20%. En este escenario desalentador, el sector exterior se convirtió en el motor de arranque de la economía española para salir de la crisis. Se puede decir que las empresas españolas pasan en esta etapa, de considerar la internacionalización como una opción de crecimiento, a la válvula de escape para poder sobrevivir. </w:t>
      </w:r>
    </w:p>
    <w:p w14:paraId="02D9A808"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Actualmente, estamos inmersos en la cuarta revolución industrial. Los principales indicadores macroeconómicos indican que España ha salido de la crisis, consolidando su trayectoria expansiva, con una senda de crecimiento más sólida que se refleja encadenando tres años seguidos de aumento del PIB por encima del 3%, generando empleo y con saldos positivos de la balanza por cuenta corriente. Ahora ya no basta con internacionalizarse, sino que además hay que hacerlo subiéndose al tren de las nuevas herramientas digitales globales. </w:t>
      </w:r>
    </w:p>
    <w:p w14:paraId="730FDABF"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El papel de las PYME españolas en todo este camino, ha sido determinante</w:t>
      </w:r>
      <w:r w:rsidRPr="00146002">
        <w:rPr>
          <w:rFonts w:ascii="Century Gothic" w:hAnsi="Century Gothic" w:cs="Arial"/>
          <w:vertAlign w:val="superscript"/>
          <w:lang w:val="es-ES"/>
        </w:rPr>
        <w:footnoteReference w:id="65"/>
      </w:r>
      <w:r w:rsidRPr="00D42A17">
        <w:rPr>
          <w:rFonts w:ascii="Century Gothic" w:hAnsi="Century Gothic" w:cs="Arial"/>
          <w:lang w:val="es-ES"/>
        </w:rPr>
        <w:t>. Este dinamismo de las exportaciones españolas en los últimos años es sin duda reflejo de la internacionalización de nuestro tejido productivo. La intensa y prolongada debilidad de la demanda interna durante la crisis impulsó la conquista de nuevos mercados, en un marco de moderación de costes laborales y financieros que ha reforzado la competitividad de las PYME españolas.</w:t>
      </w:r>
    </w:p>
    <w:p w14:paraId="4247D929"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En términos generales, las PYME han contribuido positivamente al crecimiento de las exportaciones totales desde la recuperación del comercio mundial, a partir de 2009, a pesar de que dicha aportación ha sido menos relevante que la protagonizada por las grandes empresas. Según los datos de la AET, este ascenso en la contribución de las PYME al crecimiento de las exportaciones se ha basado principalmente en el margen extensivo (número de empresas exportadoras), mientras que su contribución al margen intensivo (volumen de exportación unitario) es minoritaria. </w:t>
      </w:r>
    </w:p>
    <w:p w14:paraId="5962C98B"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El patrón geográfico de las PYME es similar al de las exportaciones totales españolas, si bien hay una mayor concentración en mercados fronterizos, como Portugal y Marruecos, o con lazos históricos y culturales, como América Latina. En estos mercados las PYME encuentran </w:t>
      </w:r>
      <w:r w:rsidRPr="00D42A17">
        <w:rPr>
          <w:rFonts w:ascii="Century Gothic" w:hAnsi="Century Gothic" w:cs="Arial"/>
          <w:lang w:val="es-ES"/>
        </w:rPr>
        <w:lastRenderedPageBreak/>
        <w:t xml:space="preserve">menos barreras culturales y logísticas, lo que facilita su acceso a los mismos, a pesar del avance en las comunicaciones y transporte. </w:t>
      </w:r>
    </w:p>
    <w:p w14:paraId="3DDAB68F"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En este sentido cabe destacar que la recuperación de las exportaciones entre 2010 y 2013 se apoyó en la diversificación hacia los mercados emergentes, cuyo crecimiento potencial es superior al de otras regiones más maduras. Las PYME destacan en este proceso, con una aportación al crecimiento total de las exportaciones españolas hacia estos mercados que se situó, en promedio, cerca del 50%, a través, sobre todo, de la ampliación del margen extensivo. </w:t>
      </w:r>
    </w:p>
    <w:p w14:paraId="0A9A565B"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A partir de datos facilitados por la SBA Fact Sheet que elabora la Comisión Europea anualmente, dentro del apartado de internacionalización, España se desenvuelve en línea con la media de la Unión Europea, aunque hay margen de mejora en el porcentaje de PYME que exportan e importan fuera de la UE. </w:t>
      </w:r>
    </w:p>
    <w:p w14:paraId="5DEFA2B2"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Respecto a la supervivencia de las PYME en la actividad exportadora, hay que destacar que es más reducida que la de las grandes empresas y está correlacionada positivamente con el tamaño de la compañía. En los últimos años se ha producido un incremento gradual de la base de empresas exportadoras regulares (exportan más de cuatro años seguidos). Según datos de la Secretaría de Estado de Comercio e ICEX, en 2017 las exportaciones españolas aumentaron un 8,9% respecto al año anterior, hubo un total de 161.454 exportadores totales de los cuales, 50.562 eran exportadores regulares. </w:t>
      </w:r>
    </w:p>
    <w:p w14:paraId="4D416500" w14:textId="459DC174"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Entre 2010 y 2015, el número de empresas exportadoras creció en un 35% y el de empresas que exportan de forma regular, en un 23%</w:t>
      </w:r>
      <w:r w:rsidRPr="00D42A17">
        <w:rPr>
          <w:rFonts w:ascii="Century Gothic" w:hAnsi="Century Gothic" w:cs="Arial"/>
          <w:vertAlign w:val="superscript"/>
          <w:lang w:val="es-ES"/>
        </w:rPr>
        <w:footnoteReference w:id="66"/>
      </w:r>
      <w:r w:rsidRPr="00D42A17">
        <w:rPr>
          <w:rFonts w:ascii="Century Gothic" w:hAnsi="Century Gothic" w:cs="Arial"/>
          <w:lang w:val="es-ES"/>
        </w:rPr>
        <w:t>. Sin embargo, según fuentes del Ministerio de Industria, Comercio y Turismo</w:t>
      </w:r>
      <w:r w:rsidRPr="00D42A17">
        <w:rPr>
          <w:rFonts w:ascii="Century Gothic" w:hAnsi="Century Gothic" w:cs="Arial"/>
          <w:vertAlign w:val="superscript"/>
          <w:lang w:val="es-ES"/>
        </w:rPr>
        <w:footnoteReference w:id="67"/>
      </w:r>
      <w:r w:rsidRPr="00D42A17">
        <w:rPr>
          <w:rFonts w:ascii="Century Gothic" w:hAnsi="Century Gothic" w:cs="Arial"/>
          <w:lang w:val="es-ES"/>
        </w:rPr>
        <w:t xml:space="preserve">, el 75% del incremento del valor exportado entre 2010 y 2015 fue realizado por exportadores muy grandes (con exportaciones por valor de más de 50 millones EUR). Esta dualidad de las empresas exportadoras es una característica de la exportación española y de ella derivan importantes implicaciones en productividad, competitividad, innovación, etc. </w:t>
      </w:r>
    </w:p>
    <w:p w14:paraId="1C972175" w14:textId="58FE0429" w:rsidR="009463AE" w:rsidRPr="00F94196" w:rsidRDefault="00D42A17" w:rsidP="00F94196">
      <w:pPr>
        <w:spacing w:line="276" w:lineRule="auto"/>
        <w:rPr>
          <w:rFonts w:ascii="Century Gothic" w:hAnsi="Century Gothic" w:cs="Arial"/>
          <w:lang w:val="es-ES"/>
        </w:rPr>
      </w:pPr>
      <w:r w:rsidRPr="00D42A17">
        <w:rPr>
          <w:rFonts w:ascii="Century Gothic" w:hAnsi="Century Gothic" w:cs="Arial"/>
          <w:lang w:val="es-ES"/>
        </w:rPr>
        <w:t>La OCDE también refuerza la afirmación de que pocas PYME exportan, y que en aquellas que exportan, las exportaciones representan un porcentaje menor del total de ingresos que en las grandes empresas</w:t>
      </w:r>
      <w:r w:rsidRPr="00D42A17">
        <w:rPr>
          <w:rFonts w:ascii="Century Gothic" w:hAnsi="Century Gothic" w:cs="Arial"/>
          <w:vertAlign w:val="superscript"/>
          <w:lang w:val="es-ES"/>
        </w:rPr>
        <w:footnoteReference w:id="68"/>
      </w:r>
      <w:r w:rsidRPr="00D42A17">
        <w:rPr>
          <w:rFonts w:ascii="Century Gothic" w:hAnsi="Century Gothic" w:cs="Arial"/>
          <w:lang w:val="es-ES"/>
        </w:rPr>
        <w:t>. En España, las exportaciones suponen sólo el 22,60% del ingreso de las PYME, mientras que este valor aumenta al 30,08% para las grandes empresas (gráfico 25). Este patrón no es exclusivo de España, ya que se repite en el resto de países de la OCDE.</w:t>
      </w:r>
      <w:bookmarkStart w:id="83" w:name="_Toc500783390"/>
      <w:bookmarkStart w:id="84" w:name="_Toc525489702"/>
    </w:p>
    <w:tbl>
      <w:tblPr>
        <w:tblStyle w:val="Listamedia2"/>
        <w:tblW w:w="4905" w:type="pct"/>
        <w:jc w:val="center"/>
        <w:tblCellMar>
          <w:top w:w="108" w:type="dxa"/>
          <w:bottom w:w="108" w:type="dxa"/>
        </w:tblCellMar>
        <w:tblLook w:val="04A0" w:firstRow="1" w:lastRow="0" w:firstColumn="1" w:lastColumn="0" w:noHBand="0" w:noVBand="1"/>
      </w:tblPr>
      <w:tblGrid>
        <w:gridCol w:w="8879"/>
      </w:tblGrid>
      <w:tr w:rsidR="00D42A17" w:rsidRPr="007916CD" w14:paraId="480EB249" w14:textId="77777777" w:rsidTr="00D42A17">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100" w:firstRow="0" w:lastRow="0" w:firstColumn="1" w:lastColumn="0" w:oddVBand="0" w:evenVBand="0" w:oddHBand="0" w:evenHBand="0" w:firstRowFirstColumn="1" w:firstRowLastColumn="0" w:lastRowFirstColumn="0" w:lastRowLastColumn="0"/>
            <w:tcW w:w="5000" w:type="pct"/>
            <w:tcBorders>
              <w:top w:val="single" w:sz="8" w:space="0" w:color="000000" w:themeColor="text1"/>
              <w:bottom w:val="single" w:sz="12" w:space="0" w:color="003399"/>
              <w:right w:val="none" w:sz="0" w:space="0" w:color="auto"/>
            </w:tcBorders>
            <w:shd w:val="clear" w:color="auto" w:fill="auto"/>
            <w:vAlign w:val="center"/>
          </w:tcPr>
          <w:p w14:paraId="2028609A" w14:textId="4672CEA5" w:rsidR="00D42A17" w:rsidRPr="00D42A17" w:rsidRDefault="00D42A17" w:rsidP="009463AE">
            <w:pPr>
              <w:spacing w:after="0" w:line="276" w:lineRule="auto"/>
              <w:rPr>
                <w:rFonts w:ascii="Century Gothic" w:hAnsi="Century Gothic" w:cs="Arial"/>
                <w:bCs/>
                <w:sz w:val="18"/>
                <w:szCs w:val="18"/>
                <w:lang w:val="nl-BE"/>
              </w:rPr>
            </w:pPr>
            <w:bookmarkStart w:id="85" w:name="_Toc526942133"/>
            <w:r w:rsidRPr="00D42A17">
              <w:rPr>
                <w:rFonts w:ascii="Century Gothic" w:hAnsi="Century Gothic" w:cs="Arial"/>
                <w:sz w:val="18"/>
                <w:szCs w:val="18"/>
                <w:lang w:val="nl-BE"/>
              </w:rPr>
              <w:t xml:space="preserve">Gráfico </w:t>
            </w:r>
            <w:r w:rsidRPr="00D42A17">
              <w:rPr>
                <w:rFonts w:ascii="Century Gothic" w:hAnsi="Century Gothic" w:cs="Arial"/>
                <w:sz w:val="18"/>
                <w:szCs w:val="18"/>
                <w:lang w:val="nl-BE"/>
              </w:rPr>
              <w:fldChar w:fldCharType="begin"/>
            </w:r>
            <w:r w:rsidRPr="00D42A17">
              <w:rPr>
                <w:rFonts w:ascii="Century Gothic" w:hAnsi="Century Gothic" w:cs="Arial"/>
                <w:sz w:val="18"/>
                <w:szCs w:val="18"/>
                <w:lang w:val="nl-BE"/>
              </w:rPr>
              <w:instrText xml:space="preserve"> SEQ Gráfico \* ARABIC </w:instrText>
            </w:r>
            <w:r w:rsidRPr="00D42A17">
              <w:rPr>
                <w:rFonts w:ascii="Century Gothic" w:hAnsi="Century Gothic" w:cs="Arial"/>
                <w:sz w:val="18"/>
                <w:szCs w:val="18"/>
                <w:lang w:val="nl-BE"/>
              </w:rPr>
              <w:fldChar w:fldCharType="separate"/>
            </w:r>
            <w:r w:rsidR="00764C39">
              <w:rPr>
                <w:rFonts w:ascii="Century Gothic" w:hAnsi="Century Gothic" w:cs="Arial"/>
                <w:noProof/>
                <w:sz w:val="18"/>
                <w:szCs w:val="18"/>
                <w:lang w:val="nl-BE"/>
              </w:rPr>
              <w:t>25</w:t>
            </w:r>
            <w:r w:rsidRPr="00D42A17">
              <w:rPr>
                <w:rFonts w:ascii="Century Gothic" w:hAnsi="Century Gothic" w:cs="Arial"/>
                <w:sz w:val="18"/>
                <w:szCs w:val="18"/>
                <w:lang w:val="es-ES"/>
              </w:rPr>
              <w:fldChar w:fldCharType="end"/>
            </w:r>
            <w:r w:rsidRPr="00D42A17">
              <w:rPr>
                <w:rFonts w:ascii="Century Gothic" w:hAnsi="Century Gothic" w:cs="Arial"/>
                <w:sz w:val="18"/>
                <w:szCs w:val="18"/>
                <w:lang w:val="nl-BE"/>
              </w:rPr>
              <w:t>. Valor de las exportaciones respecto al volumen de negocio por tamaño de empresa</w:t>
            </w:r>
            <w:bookmarkEnd w:id="83"/>
            <w:bookmarkEnd w:id="84"/>
            <w:bookmarkEnd w:id="85"/>
          </w:p>
        </w:tc>
      </w:tr>
      <w:tr w:rsidR="00D42A17" w:rsidRPr="00D42A17" w14:paraId="3666B6D1" w14:textId="77777777" w:rsidTr="00D42A1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003399"/>
              <w:bottom w:val="single" w:sz="6" w:space="0" w:color="000000" w:themeColor="text1"/>
              <w:right w:val="nil"/>
            </w:tcBorders>
            <w:shd w:val="clear" w:color="auto" w:fill="auto"/>
            <w:vAlign w:val="center"/>
          </w:tcPr>
          <w:p w14:paraId="76DA7927" w14:textId="77777777" w:rsidR="00D42A17" w:rsidRPr="00D42A17" w:rsidRDefault="00D42A17" w:rsidP="009463AE">
            <w:pPr>
              <w:spacing w:line="276" w:lineRule="auto"/>
              <w:jc w:val="center"/>
              <w:rPr>
                <w:rFonts w:ascii="Century Gothic" w:hAnsi="Century Gothic" w:cs="Arial"/>
                <w:b/>
                <w:sz w:val="18"/>
                <w:szCs w:val="18"/>
                <w:lang w:val="nl-BE"/>
              </w:rPr>
            </w:pPr>
            <w:r w:rsidRPr="00D42A17">
              <w:rPr>
                <w:rFonts w:ascii="Century Gothic" w:hAnsi="Century Gothic" w:cs="Arial"/>
                <w:noProof/>
                <w:sz w:val="18"/>
                <w:szCs w:val="18"/>
                <w:lang w:val="es-ES" w:eastAsia="es-ES"/>
              </w:rPr>
              <w:lastRenderedPageBreak/>
              <w:drawing>
                <wp:inline distT="0" distB="0" distL="0" distR="0" wp14:anchorId="31AAC118" wp14:editId="7EBE813E">
                  <wp:extent cx="3419475" cy="2103788"/>
                  <wp:effectExtent l="0" t="0" r="0" b="0"/>
                  <wp:docPr id="222215" name="Imagen 22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1908" b="6495"/>
                          <a:stretch/>
                        </pic:blipFill>
                        <pic:spPr bwMode="auto">
                          <a:xfrm>
                            <a:off x="0" y="0"/>
                            <a:ext cx="3431546" cy="2111214"/>
                          </a:xfrm>
                          <a:prstGeom prst="rect">
                            <a:avLst/>
                          </a:prstGeom>
                          <a:ln>
                            <a:noFill/>
                          </a:ln>
                          <a:extLst>
                            <a:ext uri="{53640926-AAD7-44D8-BBD7-CCE9431645EC}">
                              <a14:shadowObscured xmlns:a14="http://schemas.microsoft.com/office/drawing/2010/main"/>
                            </a:ext>
                          </a:extLst>
                        </pic:spPr>
                      </pic:pic>
                    </a:graphicData>
                  </a:graphic>
                </wp:inline>
              </w:drawing>
            </w:r>
          </w:p>
        </w:tc>
      </w:tr>
      <w:tr w:rsidR="00D42A17" w:rsidRPr="00D42A17" w14:paraId="5E472E1D" w14:textId="77777777" w:rsidTr="00D42A17">
        <w:trPr>
          <w:trHeight w:val="250"/>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0000" w:themeColor="text1"/>
              <w:bottom w:val="single" w:sz="8" w:space="0" w:color="000000" w:themeColor="text1"/>
              <w:right w:val="nil"/>
            </w:tcBorders>
            <w:shd w:val="clear" w:color="auto" w:fill="auto"/>
            <w:vAlign w:val="center"/>
          </w:tcPr>
          <w:p w14:paraId="1D804E43" w14:textId="77777777" w:rsidR="00D42A17" w:rsidRPr="00D42A17" w:rsidRDefault="00D42A17" w:rsidP="009463AE">
            <w:pPr>
              <w:spacing w:after="0" w:line="276" w:lineRule="auto"/>
              <w:rPr>
                <w:rFonts w:ascii="Century Gothic" w:hAnsi="Century Gothic" w:cs="Arial"/>
                <w:sz w:val="18"/>
                <w:szCs w:val="18"/>
                <w:lang w:val="en-US"/>
              </w:rPr>
            </w:pPr>
            <w:r w:rsidRPr="00D42A17">
              <w:rPr>
                <w:rFonts w:ascii="Century Gothic" w:hAnsi="Century Gothic" w:cs="Arial"/>
                <w:i/>
                <w:sz w:val="18"/>
                <w:szCs w:val="18"/>
                <w:lang w:val="en-US"/>
              </w:rPr>
              <w:t>Fuente: OCDE (2016), Entrepreneurship at glance</w:t>
            </w:r>
          </w:p>
        </w:tc>
      </w:tr>
    </w:tbl>
    <w:p w14:paraId="6BC0FD34" w14:textId="77777777" w:rsidR="00D42A17" w:rsidRPr="00D42A17" w:rsidRDefault="00D42A17" w:rsidP="009463AE">
      <w:pPr>
        <w:spacing w:after="0" w:line="276" w:lineRule="auto"/>
        <w:rPr>
          <w:rFonts w:ascii="Century Gothic" w:hAnsi="Century Gothic" w:cs="Arial"/>
        </w:rPr>
      </w:pPr>
    </w:p>
    <w:p w14:paraId="65BE9898" w14:textId="5CB63B81"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El tamaño medio de las empresas españolas es bajo, lo que supone una rémora para su capacidad de exportación. Adicionalmente, debido en parte el nivel relativamente bajo de las competencias digitales, las PYME españolas no están aprovechando suficientemente el potencial de las ventas transfronterizas por internet. El nuevo paradigma de internet y el marco que está creando el Mercado Único Digital (una de las prioridades de la Comisión para el periodo 2014-2019</w:t>
      </w:r>
      <w:r w:rsidRPr="00D42A17">
        <w:rPr>
          <w:rFonts w:ascii="Century Gothic" w:hAnsi="Century Gothic" w:cs="Arial"/>
          <w:vertAlign w:val="superscript"/>
          <w:lang w:val="es-ES"/>
        </w:rPr>
        <w:footnoteReference w:id="69"/>
      </w:r>
      <w:r w:rsidRPr="00D42A17">
        <w:rPr>
          <w:rFonts w:ascii="Century Gothic" w:hAnsi="Century Gothic" w:cs="Arial"/>
          <w:lang w:val="es-ES"/>
        </w:rPr>
        <w:t xml:space="preserve">), ofrecen un conjunto de herramientas útiles para facilitar a las PYMES un incremento en su capacidad exportadora. Según datos de ICEX, un 51% de las PYME españolas desean introducirse en el comercio </w:t>
      </w:r>
      <w:r w:rsidR="00633AA3" w:rsidRPr="00D42A17">
        <w:rPr>
          <w:rFonts w:ascii="Century Gothic" w:hAnsi="Century Gothic" w:cs="Arial"/>
          <w:lang w:val="es-ES"/>
        </w:rPr>
        <w:t>electrónico,</w:t>
      </w:r>
      <w:r w:rsidRPr="00D42A17">
        <w:rPr>
          <w:rFonts w:ascii="Century Gothic" w:hAnsi="Century Gothic" w:cs="Arial"/>
          <w:lang w:val="es-ES"/>
        </w:rPr>
        <w:t xml:space="preserve"> pero “no saben cómo hacerlo”. Sólo el 20% de las PYME usa internet y de ellas sólo el 37% lo hace para exportar. </w:t>
      </w:r>
    </w:p>
    <w:p w14:paraId="5BF0DDDA"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Otro aspecto importante que destaca el Banco de España, es el impacto positivo en las PYME que tiene la internacionalización a través de inversión extranjera directa (IED) en la probabilidad de exportar y en la diversificación hacia nuevos mercados, ya que aumenta la eficiencia, las economías de escala, reduce los costes de acceso a los mercados exteriores y, no menos importante, facilita la participación en cadenas globales de valor.</w:t>
      </w:r>
    </w:p>
    <w:p w14:paraId="427BDDD8"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En cualquier caso, la evidencia empírica indica que el incremento de la base exportadora de las PYME en época de crisis no es meramente transitorio, sino que continúa en el período más reciente de consolidación de recuperación económica. Ello se entiende en un escenario de crecimiento de la demanda interna, mejora del acceso a la financiación y moderación de los costes laborales.</w:t>
      </w:r>
    </w:p>
    <w:p w14:paraId="24FA85A8"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A pesar de la cada vez mayor participación de las PYME en los mercados globales, la realidad es que las empresas de menor tamaño se enfrentan a una serie de barreras internas y externas</w:t>
      </w:r>
      <w:r w:rsidRPr="00D42A17">
        <w:rPr>
          <w:rFonts w:ascii="Century Gothic" w:hAnsi="Century Gothic" w:cs="Arial"/>
          <w:vertAlign w:val="superscript"/>
          <w:lang w:val="es-ES"/>
        </w:rPr>
        <w:footnoteReference w:id="70"/>
      </w:r>
      <w:r w:rsidRPr="00D42A17">
        <w:rPr>
          <w:rFonts w:ascii="Century Gothic" w:hAnsi="Century Gothic" w:cs="Arial"/>
          <w:lang w:val="es-ES"/>
        </w:rPr>
        <w:t xml:space="preserve"> importantes a la hora de afrontar su proceso de internacionalización que no todas son capaces de superar. </w:t>
      </w:r>
    </w:p>
    <w:p w14:paraId="39E63DDF"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lastRenderedPageBreak/>
        <w:t xml:space="preserve">Dentro de los obstáculos internos, cabría destacar en primer lugar, el mayor precio relativo de los productos y servicios de las PYME a nivel doméstico, lo que les resta competitividad frente a las empresas de mayor tamaño.  Asimismo, las PYME con mayor grado de endeudamiento tienen más problemas para asumir costes de entrada en mercados exteriores y por tanto ven limitada su capacidad de exportar. Análogamente, las PYME que cuentan con mayor tasa de contratados temporales presentan menores niveles de eficiencia y productividad, lo cual repercute negativamente en su capacidad exportadora. El acceso a fuentes de información sobre financiación y acceso a las fuentes de financiación. </w:t>
      </w:r>
    </w:p>
    <w:p w14:paraId="50E0648F"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La dificultad que tienen las PYME en conseguir un equipo directivo con alto nivel de formación desde el punto de vista tecnológico y en mercados exteriores, así como la dificultad en atraer y retener personas altamente cualificadas con experiencia en mercados exteriores que sepan diseñar correctamente la estrategia de internacionalización de la empresa, es también un importante desafío para las firmas de menor tamaño. Esta barrera es especialmente importante para las microempresas. </w:t>
      </w:r>
    </w:p>
    <w:p w14:paraId="4B7EA5E7"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En lo que respecta a las barreras externas, frente a las grandes empresas, las PYME, y en especial las microempresas, tienen más dificultad para acceder a fuentes de financiación externa, no sólo porque les resulta más costoso (en términos de avales, garantías, acceso a la información) sino porque además las grandes empresas tienen mayor acceso a fuentes de financiación más diversificadas.</w:t>
      </w:r>
    </w:p>
    <w:p w14:paraId="54AF7498" w14:textId="0DFCBE04"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Igualmente, dentro de los obstáculos externos que encuentran las PYME cabe señalar: la falta de ayudas públicas, las dificultades burocráticas, la falta de información sobre mercados exteriores, hacer frente a barreras comerciales (marco regulatorio en terceros mercados, costes aduaneros, </w:t>
      </w:r>
      <w:r w:rsidR="00633AA3" w:rsidRPr="00D42A17">
        <w:rPr>
          <w:rFonts w:ascii="Century Gothic" w:hAnsi="Century Gothic" w:cs="Arial"/>
          <w:lang w:val="es-ES"/>
        </w:rPr>
        <w:t>etc.</w:t>
      </w:r>
      <w:r w:rsidRPr="00D42A17">
        <w:rPr>
          <w:rFonts w:ascii="Century Gothic" w:hAnsi="Century Gothic" w:cs="Arial"/>
          <w:lang w:val="es-ES"/>
        </w:rPr>
        <w:t>) y la mayor dificultad para adaptarse a las diferencias culturales (idioma principalmente).</w:t>
      </w:r>
    </w:p>
    <w:p w14:paraId="6A18D7B6"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En el último trienio el dinamismo de la economía española ha venido de la mano de un superávit por cuenta corriente, cosa que no sucedía desde hace más de 25 años. En este contexto y para asegurar que la contribución positiva del sector exterior al crecimiento económico se convierta en un fenómeno estructural y por tanto revierta en la creación de empleo, se ha elaborado una estrategia a medio y largo plazo que permita la adecuada articulación de los mecanismos que impulsan la internacionalización de la economía española.</w:t>
      </w:r>
    </w:p>
    <w:p w14:paraId="561861EB"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En aras de impulsar la internacionalización de las PYME, las autoridades han impulsado una serie de medidas de gran calado en los últimos años. La Ley 14/2013, de 27 de septiembre, de apoyo a los emprendedores y su internacionalización contempla un concepto amplio de internacionalización, al implicar al sector público y privado en reforzar la dimensión internacional de la economía española y fomentar la presencia exterior de las empresas y de los emprendedores como factores de estabilidad, crecimiento y generación de empleo. En el marco de esta ley se aprobó el primer Plan Estratégico de Internacionalización de la Economía </w:t>
      </w:r>
      <w:r w:rsidRPr="00D42A17">
        <w:rPr>
          <w:rFonts w:ascii="Century Gothic" w:hAnsi="Century Gothic" w:cs="Arial"/>
          <w:lang w:val="es-ES"/>
        </w:rPr>
        <w:lastRenderedPageBreak/>
        <w:t xml:space="preserve">Española 2014-2015 cuyo objetivo ha sido la mejora de la competitividad y la maximización de la contribución del sector exterior al crecimiento y a la creación de empleo. </w:t>
      </w:r>
    </w:p>
    <w:p w14:paraId="0071576E"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No obstante, y en aras de contar con una estrategia en materia de internacionalización que sea una política de Estado, tal como reclama el sector privado, se ha elaborado una estrategia a medio plazo, la “Estrategia de Internacionalización de la Economía Española 2017 – 2027” que se desarrollará mediante planes de acción bienales, el primero de ellos 2017-18. Aprobados la estrategia y el plan por el Acuerdo del Consejo de Ministros de 8 de septiembre 2017, su elaboración ha sido coordinada por la Secretaría de estado de Comercio en el marco del Grupo Interministerial de Apoyo a la Internacionalización de la Empresa Española, consultadas las CCAA y con la participación del sector privado. </w:t>
      </w:r>
    </w:p>
    <w:p w14:paraId="1733CF62"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Tanto la estrategia como los planes se regirán por los principios de coherencia y coordinación en la actuación del Estado y de complementariedad con el sector privado, seleccionando las medidas de mayor impacto.</w:t>
      </w:r>
    </w:p>
    <w:p w14:paraId="39A7B3D3"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La Estrategia se articula en torno a seis ejes: apoyo adaptado a las necesidades y perfil de las empresas; incorporar la innovación, digitalización, marca y tecnología a la internacionalización; desarrollar el capital humano; aprovechar mejor las oportunidades de negocio derivadas de la política comercial común y de las instituciones financieras y organismos multilaterales; potenciar la captación y consolidación de la inversión extranjera de alto valor añadido y coordinar las acciones entre todos los agentes relevantes en materia de internacionalización.</w:t>
      </w:r>
    </w:p>
    <w:p w14:paraId="71AA8718"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 xml:space="preserve">En esta estrategia a diez años se destaca el reto de facilitar un </w:t>
      </w:r>
      <w:r w:rsidRPr="00D42A17">
        <w:rPr>
          <w:rFonts w:ascii="Century Gothic" w:hAnsi="Century Gothic" w:cs="Arial"/>
          <w:b/>
          <w:lang w:val="es-ES"/>
        </w:rPr>
        <w:t>mayor acceso de las PYME a los mercados exteriores</w:t>
      </w:r>
      <w:r w:rsidRPr="00D42A17">
        <w:rPr>
          <w:rFonts w:ascii="Century Gothic" w:hAnsi="Century Gothic" w:cs="Arial"/>
          <w:lang w:val="es-ES"/>
        </w:rPr>
        <w:t>. Para ello, se establece el objetivo intermedio de facilitar el acceso de las PYME a la información en materia de comercio exterior y mercado que sea útil en su proceso de toma de decisiones, así como sensibilizar a las PYME sobre la importancia estratégica de la internacionalización.</w:t>
      </w:r>
    </w:p>
    <w:p w14:paraId="360D995B" w14:textId="77777777" w:rsidR="00D42A17" w:rsidRPr="00D42A17" w:rsidRDefault="00D42A17" w:rsidP="009463AE">
      <w:pPr>
        <w:pStyle w:val="Ttulo3"/>
      </w:pPr>
      <w:bookmarkStart w:id="86" w:name="_Toc525508033"/>
      <w:bookmarkStart w:id="87" w:name="_Toc527630358"/>
      <w:r w:rsidRPr="00D42A17">
        <w:t>Líneas de actuación</w:t>
      </w:r>
      <w:bookmarkEnd w:id="86"/>
      <w:bookmarkEnd w:id="87"/>
    </w:p>
    <w:p w14:paraId="42C118CB" w14:textId="77777777" w:rsidR="00D42A17" w:rsidRPr="00D42A17" w:rsidRDefault="00D42A17" w:rsidP="009463AE">
      <w:pPr>
        <w:spacing w:line="276" w:lineRule="auto"/>
        <w:rPr>
          <w:rFonts w:ascii="Century Gothic" w:hAnsi="Century Gothic" w:cs="Arial"/>
          <w:lang w:val="es-ES"/>
        </w:rPr>
      </w:pPr>
      <w:r w:rsidRPr="00D42A17">
        <w:rPr>
          <w:rFonts w:ascii="Century Gothic" w:hAnsi="Century Gothic" w:cs="Arial"/>
          <w:lang w:val="es-ES"/>
        </w:rPr>
        <w:t>El objetivo que se busca es contribuir a la internacionalización de la PYME. En línea con lo previsto en la Estrategia de Internacionalización 2017-27 y el Plan Estratégico 2017-2018 de ICEX, se trata de ser capaces de ayudar y acompañar a la PYME en su proceso de internacionalización, ofreciéndole mejor información sobre mercados exteriores y oportunidades de negocio, así como actividades de formación de capital humano especializado para afrontar esos mercados, y  poniendo a disposición de la PYME los instrumentos financieros que mejor se adecuen a las necesidades de cada empresa. Asimismo, son importantes las actuaciones destinadas a promocionar la imagen y capacidades del tejido productivo español para atraer inversión extranjera en I+D+i hacia PYMEs que facilite su modernización y refuerce su competitividad.</w:t>
      </w:r>
    </w:p>
    <w:p w14:paraId="04E0EA55" w14:textId="77777777" w:rsidR="00D42A17" w:rsidRPr="00D42A17" w:rsidRDefault="00D42A17" w:rsidP="009463AE">
      <w:pPr>
        <w:numPr>
          <w:ilvl w:val="0"/>
          <w:numId w:val="32"/>
        </w:numPr>
        <w:spacing w:line="276" w:lineRule="auto"/>
        <w:rPr>
          <w:rFonts w:ascii="Century Gothic" w:hAnsi="Century Gothic" w:cs="Arial"/>
          <w:b/>
          <w:lang w:val="es-ES"/>
        </w:rPr>
      </w:pPr>
      <w:r w:rsidRPr="00D42A17">
        <w:rPr>
          <w:rFonts w:ascii="Century Gothic" w:hAnsi="Century Gothic" w:cs="Arial"/>
          <w:b/>
          <w:lang w:val="es-ES"/>
        </w:rPr>
        <w:t>LA</w:t>
      </w:r>
      <w:r w:rsidRPr="00D42A17">
        <w:rPr>
          <w:rFonts w:ascii="Century Gothic" w:hAnsi="Century Gothic" w:cs="Arial"/>
          <w:b/>
          <w:lang w:val="es-ES"/>
        </w:rPr>
        <w:fldChar w:fldCharType="begin"/>
      </w:r>
      <w:r w:rsidRPr="00D42A17">
        <w:rPr>
          <w:rFonts w:ascii="Century Gothic" w:hAnsi="Century Gothic" w:cs="Arial"/>
          <w:b/>
          <w:lang w:val="es-ES"/>
        </w:rPr>
        <w:instrText xml:space="preserve"> AUTONUM  </w:instrText>
      </w:r>
      <w:r w:rsidRPr="00D42A17">
        <w:rPr>
          <w:rFonts w:ascii="Century Gothic" w:hAnsi="Century Gothic" w:cs="Arial"/>
          <w:lang w:val="es-ES"/>
        </w:rPr>
        <w:fldChar w:fldCharType="end"/>
      </w:r>
      <w:r w:rsidRPr="00D42A17">
        <w:rPr>
          <w:rFonts w:ascii="Century Gothic" w:hAnsi="Century Gothic" w:cs="Arial"/>
          <w:b/>
          <w:lang w:val="es-ES"/>
        </w:rPr>
        <w:t xml:space="preserve"> Aumentar la información sobre los recursos y servicios disponibles para la ayuda a la internacionalización: </w:t>
      </w:r>
      <w:r w:rsidRPr="00D42A17">
        <w:rPr>
          <w:rFonts w:ascii="Century Gothic" w:hAnsi="Century Gothic" w:cs="Arial"/>
          <w:lang w:val="es-ES"/>
        </w:rPr>
        <w:t xml:space="preserve">Mejorar la comunicación relativa a los recursos de los que disponen las PYME para ayudarlas en su proceso de internacionalización. Elaborar información acerca de los mercados más estratégicos para las PYME y fomentar entre las PYME las ventajas del mercado interior con el fin de facilitar las operaciones transfronterizas. Impulsar programas de asesoramiento individualizado y formación. El </w:t>
      </w:r>
      <w:r w:rsidRPr="00D42A17">
        <w:rPr>
          <w:rFonts w:ascii="Century Gothic" w:hAnsi="Century Gothic" w:cs="Arial"/>
          <w:lang w:val="es-ES"/>
        </w:rPr>
        <w:lastRenderedPageBreak/>
        <w:t>Programa ICEX Dinamiza, ayuda a sensibilizar a las PYME sobre la importancia de la internacionalización junto con un extenso sistema de portales que ofrece información y servicios a las pymes en función de su perfil e intereses comerciales.</w:t>
      </w:r>
      <w:r w:rsidRPr="00D42A17">
        <w:rPr>
          <w:rFonts w:ascii="Century Gothic" w:hAnsi="Century Gothic" w:cs="Arial"/>
          <w:b/>
          <w:lang w:val="es-ES"/>
        </w:rPr>
        <w:t xml:space="preserve"> </w:t>
      </w:r>
      <w:r w:rsidRPr="00D42A17">
        <w:rPr>
          <w:rFonts w:ascii="Century Gothic" w:hAnsi="Century Gothic" w:cs="Arial"/>
          <w:lang w:val="es-ES"/>
        </w:rPr>
        <w:t>Seguir avanzando en una mayor coordinación entre las Administraciones Públicas y el servicio exterior.</w:t>
      </w:r>
    </w:p>
    <w:p w14:paraId="438A7667" w14:textId="77777777" w:rsidR="00D42A17" w:rsidRPr="00D42A17" w:rsidRDefault="00D42A17" w:rsidP="009463AE">
      <w:pPr>
        <w:numPr>
          <w:ilvl w:val="0"/>
          <w:numId w:val="32"/>
        </w:numPr>
        <w:spacing w:line="276" w:lineRule="auto"/>
        <w:rPr>
          <w:rFonts w:ascii="Century Gothic" w:hAnsi="Century Gothic" w:cs="Arial"/>
          <w:b/>
          <w:lang w:val="es-ES"/>
        </w:rPr>
      </w:pPr>
      <w:r w:rsidRPr="00D42A17">
        <w:rPr>
          <w:rFonts w:ascii="Century Gothic" w:hAnsi="Century Gothic" w:cs="Arial"/>
          <w:b/>
          <w:lang w:val="es-ES"/>
        </w:rPr>
        <w:t>LA</w:t>
      </w:r>
      <w:r w:rsidRPr="00D42A17">
        <w:rPr>
          <w:rFonts w:ascii="Century Gothic" w:hAnsi="Century Gothic" w:cs="Arial"/>
          <w:b/>
          <w:lang w:val="es-ES"/>
        </w:rPr>
        <w:fldChar w:fldCharType="begin"/>
      </w:r>
      <w:r w:rsidRPr="00D42A17">
        <w:rPr>
          <w:rFonts w:ascii="Century Gothic" w:hAnsi="Century Gothic" w:cs="Arial"/>
          <w:b/>
          <w:lang w:val="es-ES"/>
        </w:rPr>
        <w:instrText xml:space="preserve"> AUTONUM  </w:instrText>
      </w:r>
      <w:r w:rsidRPr="00D42A17">
        <w:rPr>
          <w:rFonts w:ascii="Century Gothic" w:hAnsi="Century Gothic" w:cs="Arial"/>
          <w:lang w:val="es-ES"/>
        </w:rPr>
        <w:fldChar w:fldCharType="end"/>
      </w:r>
      <w:r w:rsidRPr="00D42A17">
        <w:rPr>
          <w:rFonts w:ascii="Century Gothic" w:hAnsi="Century Gothic" w:cs="Arial"/>
          <w:b/>
          <w:lang w:val="es-ES"/>
        </w:rPr>
        <w:t xml:space="preserve"> Asistir de manera efectiva a una mejora de la actividad exportadora de la PYME: </w:t>
      </w:r>
      <w:r w:rsidRPr="00D42A17">
        <w:rPr>
          <w:rFonts w:ascii="Century Gothic" w:hAnsi="Century Gothic" w:cs="Arial"/>
          <w:lang w:val="es-ES"/>
        </w:rPr>
        <w:t>Fomentar el papel de todos aquellos agentes de la Administración que tienen capacidad de ayudar a la PYME a internacionalizarse, aprovechando las oportunidades de colaboración interregional para la puesta en marcha de iniciativas empresariales.</w:t>
      </w:r>
    </w:p>
    <w:p w14:paraId="31ED17BF" w14:textId="77777777" w:rsidR="00D42A17" w:rsidRPr="00D42A17" w:rsidRDefault="00D42A17" w:rsidP="009463AE">
      <w:pPr>
        <w:numPr>
          <w:ilvl w:val="0"/>
          <w:numId w:val="32"/>
        </w:numPr>
        <w:spacing w:line="276" w:lineRule="auto"/>
        <w:rPr>
          <w:rFonts w:ascii="Century Gothic" w:hAnsi="Century Gothic" w:cs="Arial"/>
          <w:b/>
          <w:lang w:val="es-ES"/>
        </w:rPr>
      </w:pPr>
      <w:r w:rsidRPr="00D42A17">
        <w:rPr>
          <w:rFonts w:ascii="Century Gothic" w:hAnsi="Century Gothic" w:cs="Arial"/>
          <w:b/>
          <w:lang w:val="es-ES"/>
        </w:rPr>
        <w:t>LA</w:t>
      </w:r>
      <w:r w:rsidRPr="00D42A17">
        <w:rPr>
          <w:rFonts w:ascii="Century Gothic" w:hAnsi="Century Gothic" w:cs="Arial"/>
          <w:b/>
          <w:lang w:val="es-ES"/>
        </w:rPr>
        <w:fldChar w:fldCharType="begin"/>
      </w:r>
      <w:r w:rsidRPr="00D42A17">
        <w:rPr>
          <w:rFonts w:ascii="Century Gothic" w:hAnsi="Century Gothic" w:cs="Arial"/>
          <w:b/>
          <w:lang w:val="es-ES"/>
        </w:rPr>
        <w:instrText xml:space="preserve"> AUTONUM  </w:instrText>
      </w:r>
      <w:r w:rsidRPr="00D42A17">
        <w:rPr>
          <w:rFonts w:ascii="Century Gothic" w:hAnsi="Century Gothic" w:cs="Arial"/>
          <w:lang w:val="es-ES"/>
        </w:rPr>
        <w:fldChar w:fldCharType="end"/>
      </w:r>
      <w:r w:rsidRPr="00D42A17">
        <w:rPr>
          <w:rFonts w:ascii="Century Gothic" w:hAnsi="Century Gothic" w:cs="Arial"/>
          <w:b/>
          <w:lang w:val="es-ES"/>
        </w:rPr>
        <w:t xml:space="preserve"> Aumentar la base de empresas que exportan regularmente: </w:t>
      </w:r>
      <w:r w:rsidRPr="00D42A17">
        <w:rPr>
          <w:rFonts w:ascii="Century Gothic" w:hAnsi="Century Gothic" w:cs="Arial"/>
          <w:lang w:val="es-ES"/>
        </w:rPr>
        <w:t xml:space="preserve">diagnosticar mejor las necesidades de las empresas y apoyar programas que les permitan promover la regularidad de la exportación. En este sentido, el Plan Estratégico del ICEX 2017 – 2018 desarrolla, para el cumplimiento de dicho objetivo,  programas como ICEX Next; Programa Cre100do; refuerzo del catálogo de servicios personalizados ofrecidos por la red de Oficinas Económicas y Comerciales en el Exterior del Ministerio de Industria, Comercio y Turismo (OFECOMES) integradas en las Misiones Diplomáticas, acciones dirigidas específicamente a startups, como misiones directas e inversas específicas para este tipo de compañías, Becas ICEX de Internacionalización Empresarial, programa eMarketServices así como la puesta en marcha de nuevos servicios de asesoramiento financiero; programa ICEX Capacita y programas ICEX Integra o ICEX Sourcing.  </w:t>
      </w:r>
    </w:p>
    <w:p w14:paraId="6FB4DB6B" w14:textId="77777777" w:rsidR="00D42A17" w:rsidRPr="00D42A17" w:rsidRDefault="00D42A17" w:rsidP="009463AE">
      <w:pPr>
        <w:numPr>
          <w:ilvl w:val="0"/>
          <w:numId w:val="32"/>
        </w:numPr>
        <w:spacing w:line="276" w:lineRule="auto"/>
        <w:rPr>
          <w:rFonts w:ascii="Century Gothic" w:hAnsi="Century Gothic" w:cs="Arial"/>
          <w:b/>
          <w:lang w:val="es-ES"/>
        </w:rPr>
      </w:pPr>
      <w:r w:rsidRPr="00D42A17">
        <w:rPr>
          <w:rFonts w:ascii="Century Gothic" w:hAnsi="Century Gothic" w:cs="Arial"/>
          <w:b/>
          <w:lang w:val="es-ES"/>
        </w:rPr>
        <w:t>LA</w:t>
      </w:r>
      <w:r w:rsidRPr="00D42A17">
        <w:rPr>
          <w:rFonts w:ascii="Century Gothic" w:hAnsi="Century Gothic" w:cs="Arial"/>
          <w:b/>
          <w:lang w:val="es-ES"/>
        </w:rPr>
        <w:fldChar w:fldCharType="begin"/>
      </w:r>
      <w:r w:rsidRPr="00D42A17">
        <w:rPr>
          <w:rFonts w:ascii="Century Gothic" w:hAnsi="Century Gothic" w:cs="Arial"/>
          <w:b/>
          <w:lang w:val="es-ES"/>
        </w:rPr>
        <w:instrText xml:space="preserve"> AUTONUM  </w:instrText>
      </w:r>
      <w:r w:rsidRPr="00D42A17">
        <w:rPr>
          <w:rFonts w:ascii="Century Gothic" w:hAnsi="Century Gothic" w:cs="Arial"/>
          <w:lang w:val="es-ES"/>
        </w:rPr>
        <w:fldChar w:fldCharType="end"/>
      </w:r>
      <w:r w:rsidRPr="00D42A17">
        <w:rPr>
          <w:rFonts w:ascii="Century Gothic" w:hAnsi="Century Gothic" w:cs="Arial"/>
          <w:b/>
          <w:lang w:val="es-ES"/>
        </w:rPr>
        <w:t xml:space="preserve"> Asegurar el apoyo financiero de las operaciones de internacionalización: </w:t>
      </w:r>
      <w:r w:rsidRPr="00D42A17">
        <w:rPr>
          <w:rFonts w:ascii="Century Gothic" w:hAnsi="Century Gothic" w:cs="Arial"/>
          <w:lang w:val="es-ES"/>
        </w:rPr>
        <w:t>adecuar los instrumentos de apoyo a la financiación de las operaciones de internacionalización de las PYME y reforzar su difusión, entre otros:</w:t>
      </w:r>
    </w:p>
    <w:p w14:paraId="08527A55"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Nueva línea de pequeños proyectos con cargo al FIEM.</w:t>
      </w:r>
    </w:p>
    <w:p w14:paraId="5F2BB611"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Especialización en la financiación de la internacionalización de los medios humanos en las Direcciones Territoriales y Provinciales de Comercio.</w:t>
      </w:r>
    </w:p>
    <w:p w14:paraId="2AF483F1"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Creación por parte de CESCE de una línea de riesgo deudor extranjero en operaciones de pequeño importe.</w:t>
      </w:r>
    </w:p>
    <w:p w14:paraId="01767F42"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Creación por parte de COFIDES de un producto de capital y quasi capital orientado a PYME.</w:t>
      </w:r>
    </w:p>
    <w:p w14:paraId="39FCBE20"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Utilización del Convenio de Ajuste Recíproco de Intereses CARI para proyectos de pequeño importe.</w:t>
      </w:r>
    </w:p>
    <w:p w14:paraId="30169F7A"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ENISA, apoyando proyectos de emprendimiento en su fase inicial a través de las dos líneas de financiación orientadas a jóvenes emprendedores y a emprendedores. Asimismo, continuará ofreciendo la Línea Competitividad para facilitar el acceso a las empresas más maduras.</w:t>
      </w:r>
    </w:p>
    <w:p w14:paraId="6EF0E60E"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 xml:space="preserve">Línea de avales de CERSA para la obtención de financiación, licitación y comerciales en proyectos de internacionalización de la PYME que desde ese año ha apoyado a 1.160 PYME por un importe de financiación movilizada de 402 </w:t>
      </w:r>
      <w:r w:rsidRPr="00D42A17">
        <w:rPr>
          <w:rFonts w:ascii="Century Gothic" w:hAnsi="Century Gothic" w:cs="Arial"/>
          <w:lang w:val="es-ES"/>
        </w:rPr>
        <w:lastRenderedPageBreak/>
        <w:t xml:space="preserve">millones de euros. Esta línea se ha promovido con el apoyo de las SGR, de ICEX y de entidades bancarias. </w:t>
      </w:r>
    </w:p>
    <w:p w14:paraId="2AB6A604"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Programa AFIN del ICEX de asesoramiento financiero para las PYME.</w:t>
      </w:r>
    </w:p>
    <w:p w14:paraId="3C0BB5E7"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 xml:space="preserve">Crear un grupo de trabajo de instrumentos financieros oficiales de apoyo a la internacionalización que valore igualmente diseñar un marco fiscal y de Seguridad Social que incentive la internacionalización. </w:t>
      </w:r>
    </w:p>
    <w:p w14:paraId="284E3F94" w14:textId="77777777" w:rsidR="00D42A17" w:rsidRPr="00D42A17" w:rsidRDefault="00D42A17" w:rsidP="009463AE">
      <w:pPr>
        <w:numPr>
          <w:ilvl w:val="1"/>
          <w:numId w:val="32"/>
        </w:numPr>
        <w:spacing w:line="276" w:lineRule="auto"/>
        <w:rPr>
          <w:rFonts w:ascii="Century Gothic" w:hAnsi="Century Gothic" w:cs="Arial"/>
          <w:lang w:val="es-ES"/>
        </w:rPr>
      </w:pPr>
      <w:r w:rsidRPr="00D42A17">
        <w:rPr>
          <w:rFonts w:ascii="Century Gothic" w:hAnsi="Century Gothic" w:cs="Arial"/>
          <w:lang w:val="es-ES"/>
        </w:rPr>
        <w:t>Potenciar la actuación del CDTI a través de sus líneas de financiación de proyectos de colaboración Internacional (Eureka, Eurostars, Iberoeka, Bilaterales, Unilaterales, ERA-NETs).</w:t>
      </w:r>
    </w:p>
    <w:p w14:paraId="5CE9D061" w14:textId="77777777" w:rsidR="00D42A17" w:rsidRPr="00D42A17" w:rsidRDefault="00D42A17" w:rsidP="009463AE">
      <w:pPr>
        <w:numPr>
          <w:ilvl w:val="0"/>
          <w:numId w:val="32"/>
        </w:numPr>
        <w:spacing w:line="276" w:lineRule="auto"/>
        <w:rPr>
          <w:rFonts w:ascii="Century Gothic" w:hAnsi="Century Gothic" w:cs="Arial"/>
          <w:lang w:val="es-ES"/>
        </w:rPr>
      </w:pPr>
      <w:r w:rsidRPr="00D42A17">
        <w:rPr>
          <w:rFonts w:ascii="Century Gothic" w:hAnsi="Century Gothic" w:cs="Arial"/>
          <w:b/>
          <w:lang w:val="es-ES"/>
        </w:rPr>
        <w:t>LA</w:t>
      </w:r>
      <w:r w:rsidRPr="00D42A17">
        <w:rPr>
          <w:rFonts w:ascii="Century Gothic" w:hAnsi="Century Gothic" w:cs="Arial"/>
          <w:b/>
          <w:lang w:val="es-ES"/>
        </w:rPr>
        <w:fldChar w:fldCharType="begin"/>
      </w:r>
      <w:r w:rsidRPr="00D42A17">
        <w:rPr>
          <w:rFonts w:ascii="Century Gothic" w:hAnsi="Century Gothic" w:cs="Arial"/>
          <w:b/>
          <w:lang w:val="es-ES"/>
        </w:rPr>
        <w:instrText xml:space="preserve"> AUTONUM  </w:instrText>
      </w:r>
      <w:r w:rsidRPr="00D42A17">
        <w:rPr>
          <w:rFonts w:ascii="Century Gothic" w:hAnsi="Century Gothic" w:cs="Arial"/>
          <w:lang w:val="es-ES"/>
        </w:rPr>
        <w:fldChar w:fldCharType="end"/>
      </w:r>
      <w:r w:rsidRPr="00D42A17">
        <w:rPr>
          <w:rFonts w:ascii="Century Gothic" w:hAnsi="Century Gothic" w:cs="Arial"/>
          <w:b/>
          <w:lang w:val="es-ES"/>
        </w:rPr>
        <w:t xml:space="preserve"> Favorecer la inversión extranjera en España, </w:t>
      </w:r>
      <w:r w:rsidRPr="00D42A17">
        <w:rPr>
          <w:rFonts w:ascii="Century Gothic" w:hAnsi="Century Gothic" w:cs="Arial"/>
          <w:lang w:val="es-ES"/>
        </w:rPr>
        <w:t xml:space="preserve">en especial inversiones productivas con alto valor añadido y/o departamentos de I+D+i generadoras de empleo En este marco, se dará apoyo a la labor desarrollada por  ICEX-Invest in Spain, quien trabaja en 4 grandes líneas: en primer lugar, poniendo  en marcha actividades directas de atracción de inversiones, como los servicios de información y asesoramiento; en segundo lugar, facilitando la colaboración entre inversores extranjeros y empresas extranjeras; en tercer lugar, posicionando a España como plataforma global de negocios e inversiones internacionales; y por último, en la promoción de la mejora del clima de  negocios y del entorno regulatorio, de forma que se facilite la actividad empresarial en España. </w:t>
      </w:r>
    </w:p>
    <w:p w14:paraId="10EBFB3F" w14:textId="77777777" w:rsidR="00D42A17" w:rsidRPr="00D42A17" w:rsidRDefault="00D42A17" w:rsidP="009463AE">
      <w:pPr>
        <w:numPr>
          <w:ilvl w:val="0"/>
          <w:numId w:val="32"/>
        </w:numPr>
        <w:spacing w:line="276" w:lineRule="auto"/>
        <w:rPr>
          <w:rFonts w:ascii="Century Gothic" w:hAnsi="Century Gothic" w:cs="Arial"/>
          <w:lang w:val="es-ES"/>
        </w:rPr>
      </w:pPr>
      <w:r w:rsidRPr="00D42A17">
        <w:rPr>
          <w:rFonts w:ascii="Century Gothic" w:hAnsi="Century Gothic" w:cs="Arial"/>
          <w:b/>
          <w:lang w:val="es-ES"/>
        </w:rPr>
        <w:t>LA</w:t>
      </w:r>
      <w:r w:rsidRPr="00D42A17">
        <w:rPr>
          <w:rFonts w:ascii="Century Gothic" w:hAnsi="Century Gothic" w:cs="Arial"/>
          <w:b/>
          <w:lang w:val="es-ES"/>
        </w:rPr>
        <w:fldChar w:fldCharType="begin"/>
      </w:r>
      <w:r w:rsidRPr="00D42A17">
        <w:rPr>
          <w:rFonts w:ascii="Century Gothic" w:hAnsi="Century Gothic" w:cs="Arial"/>
          <w:b/>
          <w:lang w:val="es-ES"/>
        </w:rPr>
        <w:instrText xml:space="preserve"> AUTONUM  </w:instrText>
      </w:r>
      <w:r w:rsidRPr="00D42A17">
        <w:rPr>
          <w:rFonts w:ascii="Century Gothic" w:hAnsi="Century Gothic" w:cs="Arial"/>
          <w:lang w:val="es-ES"/>
        </w:rPr>
        <w:fldChar w:fldCharType="end"/>
      </w:r>
      <w:r w:rsidRPr="00D42A17">
        <w:rPr>
          <w:rFonts w:ascii="Century Gothic" w:hAnsi="Century Gothic" w:cs="Arial"/>
          <w:b/>
          <w:lang w:val="es-ES"/>
        </w:rPr>
        <w:t xml:space="preserve"> Favorecer el acompañamiento integral a la empresa en su proceso de internacionalización, </w:t>
      </w:r>
      <w:r w:rsidRPr="00D42A17">
        <w:rPr>
          <w:rFonts w:ascii="Century Gothic" w:hAnsi="Century Gothic" w:cs="Arial"/>
          <w:lang w:val="es-ES"/>
        </w:rPr>
        <w:t xml:space="preserve">mediante la diversificación de instrumentos en función de las necesidades de cada empresa y sus necesidades específicas,  estrechando la colaboración con el ICEX como de las Oficinas Económicas y Comerciales en el exterior. </w:t>
      </w:r>
    </w:p>
    <w:p w14:paraId="481269D7" w14:textId="687EFED0" w:rsidR="00D42A17" w:rsidRPr="00D42A17" w:rsidRDefault="00D42A17" w:rsidP="009463AE">
      <w:pPr>
        <w:numPr>
          <w:ilvl w:val="0"/>
          <w:numId w:val="32"/>
        </w:numPr>
        <w:spacing w:line="276" w:lineRule="auto"/>
        <w:rPr>
          <w:rFonts w:ascii="Century Gothic" w:hAnsi="Century Gothic" w:cs="Arial"/>
          <w:lang w:val="es-ES"/>
        </w:rPr>
      </w:pPr>
      <w:r w:rsidRPr="00D42A17">
        <w:rPr>
          <w:rFonts w:ascii="Century Gothic" w:hAnsi="Century Gothic" w:cs="Arial"/>
          <w:b/>
          <w:lang w:val="es-ES"/>
        </w:rPr>
        <w:t>LA</w:t>
      </w:r>
      <w:r w:rsidR="00D9140F" w:rsidRPr="00D42A17">
        <w:rPr>
          <w:rFonts w:ascii="Century Gothic" w:hAnsi="Century Gothic" w:cs="Arial"/>
          <w:b/>
          <w:lang w:val="es-ES"/>
        </w:rPr>
        <w:fldChar w:fldCharType="begin"/>
      </w:r>
      <w:r w:rsidR="00D9140F" w:rsidRPr="00D42A17">
        <w:rPr>
          <w:rFonts w:ascii="Century Gothic" w:hAnsi="Century Gothic" w:cs="Arial"/>
          <w:b/>
          <w:lang w:val="es-ES"/>
        </w:rPr>
        <w:instrText xml:space="preserve"> AUTONUM  </w:instrText>
      </w:r>
      <w:r w:rsidR="00D9140F" w:rsidRPr="00D42A17">
        <w:rPr>
          <w:rFonts w:ascii="Century Gothic" w:hAnsi="Century Gothic" w:cs="Arial"/>
          <w:lang w:val="es-ES"/>
        </w:rPr>
        <w:fldChar w:fldCharType="end"/>
      </w:r>
      <w:r w:rsidRPr="00D42A17">
        <w:rPr>
          <w:rFonts w:ascii="Century Gothic" w:hAnsi="Century Gothic" w:cs="Arial"/>
          <w:b/>
          <w:lang w:val="es-ES"/>
        </w:rPr>
        <w:t xml:space="preserve"> Facilitar la digitalización de la PYME como elemento dinamizador de su actividad exportadora, </w:t>
      </w:r>
      <w:r w:rsidRPr="00D42A17">
        <w:rPr>
          <w:rFonts w:ascii="Century Gothic" w:hAnsi="Century Gothic" w:cs="Arial"/>
          <w:lang w:val="es-ES"/>
        </w:rPr>
        <w:t xml:space="preserve">a través de la sinergia entre instituciones públicas de apoyo a la PYME y empresas tecnológicas (eMarket Services de Google enlazado con la web de ICEX) para fomentar el uso de herramientas digitales que proporciones nuevas opciones para que las PYME puedan aprovechar las ventajas del comercio electrónico. </w:t>
      </w:r>
    </w:p>
    <w:p w14:paraId="057341AA" w14:textId="21C8865E" w:rsidR="00D42A17" w:rsidRPr="00D42A17" w:rsidRDefault="00D42A17" w:rsidP="009463AE">
      <w:pPr>
        <w:numPr>
          <w:ilvl w:val="0"/>
          <w:numId w:val="32"/>
        </w:numPr>
        <w:spacing w:line="276" w:lineRule="auto"/>
        <w:rPr>
          <w:rFonts w:ascii="Century Gothic" w:hAnsi="Century Gothic" w:cs="Arial"/>
          <w:lang w:val="es-ES"/>
        </w:rPr>
      </w:pPr>
      <w:r w:rsidRPr="00D42A17">
        <w:rPr>
          <w:rFonts w:ascii="Century Gothic" w:hAnsi="Century Gothic" w:cs="Arial"/>
          <w:b/>
          <w:lang w:val="es-ES"/>
        </w:rPr>
        <w:t>LA</w:t>
      </w:r>
      <w:r w:rsidR="00D9140F" w:rsidRPr="00D42A17">
        <w:rPr>
          <w:rFonts w:ascii="Century Gothic" w:hAnsi="Century Gothic" w:cs="Arial"/>
          <w:b/>
          <w:lang w:val="es-ES"/>
        </w:rPr>
        <w:fldChar w:fldCharType="begin"/>
      </w:r>
      <w:r w:rsidR="00D9140F" w:rsidRPr="00D42A17">
        <w:rPr>
          <w:rFonts w:ascii="Century Gothic" w:hAnsi="Century Gothic" w:cs="Arial"/>
          <w:b/>
          <w:lang w:val="es-ES"/>
        </w:rPr>
        <w:instrText xml:space="preserve"> AUTONUM  </w:instrText>
      </w:r>
      <w:r w:rsidR="00D9140F" w:rsidRPr="00D42A17">
        <w:rPr>
          <w:rFonts w:ascii="Century Gothic" w:hAnsi="Century Gothic" w:cs="Arial"/>
          <w:lang w:val="es-ES"/>
        </w:rPr>
        <w:fldChar w:fldCharType="end"/>
      </w:r>
      <w:r w:rsidRPr="00D42A17">
        <w:rPr>
          <w:rFonts w:ascii="Century Gothic" w:hAnsi="Century Gothic" w:cs="Arial"/>
          <w:b/>
          <w:lang w:val="es-ES"/>
        </w:rPr>
        <w:t xml:space="preserve"> Ampliar y reforzar la presencia de Oficinas Económicas y Comerciales en la red exterior, </w:t>
      </w:r>
      <w:r w:rsidRPr="00D42A17">
        <w:rPr>
          <w:rFonts w:ascii="Century Gothic" w:hAnsi="Century Gothic" w:cs="Arial"/>
          <w:lang w:val="es-ES"/>
        </w:rPr>
        <w:t xml:space="preserve">desde el punto de vista de la diplomacia económica, especialmente en áreas con alto potencial de crecimiento donde la presencia de actividad por parte de las PYME españolas es más reducida (África subsahariana, Asia). </w:t>
      </w:r>
    </w:p>
    <w:p w14:paraId="5BB5432F" w14:textId="342631A8" w:rsidR="005D5401" w:rsidRPr="008A2408" w:rsidRDefault="005D5401" w:rsidP="009463AE">
      <w:pPr>
        <w:spacing w:line="276" w:lineRule="auto"/>
        <w:rPr>
          <w:rFonts w:ascii="Century Gothic" w:hAnsi="Century Gothic" w:cs="Arial"/>
          <w:lang w:val="es-ES"/>
        </w:rPr>
      </w:pPr>
      <w:r w:rsidRPr="008A2408">
        <w:rPr>
          <w:rFonts w:ascii="Century Gothic" w:hAnsi="Century Gothic" w:cs="Arial"/>
          <w:lang w:val="es-ES"/>
        </w:rPr>
        <w:br/>
      </w:r>
    </w:p>
    <w:p w14:paraId="37B0DEAB" w14:textId="60A0B8AD" w:rsidR="00792D5D" w:rsidRPr="0095784D" w:rsidRDefault="00792D5D" w:rsidP="00792D5D">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88" w:name="_Toc527630359"/>
      <w:r w:rsidRPr="0095784D">
        <w:rPr>
          <w:rFonts w:cs="Arial"/>
          <w:color w:val="003399"/>
          <w:sz w:val="28"/>
          <w:szCs w:val="22"/>
          <w:lang w:val="es-ES"/>
        </w:rPr>
        <w:lastRenderedPageBreak/>
        <w:t>Sistema de gobernanza</w:t>
      </w:r>
      <w:bookmarkEnd w:id="88"/>
    </w:p>
    <w:p w14:paraId="175B2788" w14:textId="609FC8C9" w:rsidR="00792D5D" w:rsidRPr="00436277" w:rsidRDefault="00792D5D" w:rsidP="00792D5D">
      <w:pPr>
        <w:pStyle w:val="Body"/>
        <w:rPr>
          <w:rFonts w:cs="Arial"/>
          <w:color w:val="000000" w:themeColor="text1"/>
        </w:rPr>
      </w:pPr>
      <w:r w:rsidRPr="00436277">
        <w:rPr>
          <w:rFonts w:cs="Arial"/>
          <w:color w:val="000000" w:themeColor="text1"/>
        </w:rPr>
        <w:t xml:space="preserve">El Sistema de Gobernanza supone una pieza fundamental en el desarrollo del Marco Estratégico, y tiene como objetivo principal </w:t>
      </w:r>
      <w:r w:rsidRPr="00436277">
        <w:rPr>
          <w:rFonts w:cs="Arial"/>
          <w:bCs/>
          <w:color w:val="000000" w:themeColor="text1"/>
        </w:rPr>
        <w:t xml:space="preserve">apoyar </w:t>
      </w:r>
      <w:r w:rsidR="00785AE3" w:rsidRPr="00436277">
        <w:rPr>
          <w:rFonts w:cs="Arial"/>
          <w:bCs/>
          <w:color w:val="000000" w:themeColor="text1"/>
        </w:rPr>
        <w:t>e</w:t>
      </w:r>
      <w:r w:rsidR="00392235" w:rsidRPr="00436277">
        <w:rPr>
          <w:rFonts w:cs="Arial"/>
          <w:bCs/>
          <w:color w:val="000000" w:themeColor="text1"/>
        </w:rPr>
        <w:t>l</w:t>
      </w:r>
      <w:r w:rsidRPr="00436277">
        <w:rPr>
          <w:rFonts w:cs="Arial"/>
          <w:bCs/>
          <w:color w:val="000000" w:themeColor="text1"/>
        </w:rPr>
        <w:t xml:space="preserve"> </w:t>
      </w:r>
      <w:r w:rsidR="00392235" w:rsidRPr="00436277">
        <w:rPr>
          <w:rFonts w:cs="Arial"/>
          <w:bCs/>
          <w:color w:val="000000" w:themeColor="text1"/>
        </w:rPr>
        <w:t>seguimiento y posterior consecución de las líneas de actuación recogidas en el mismo.</w:t>
      </w:r>
    </w:p>
    <w:p w14:paraId="1F0844FB" w14:textId="77777777" w:rsidR="00792D5D" w:rsidRPr="00436277" w:rsidRDefault="00792D5D" w:rsidP="00792D5D">
      <w:pPr>
        <w:pStyle w:val="Body"/>
        <w:rPr>
          <w:rFonts w:cs="Arial"/>
          <w:color w:val="000000" w:themeColor="text1"/>
        </w:rPr>
      </w:pPr>
      <w:r w:rsidRPr="00436277">
        <w:rPr>
          <w:rFonts w:cs="Arial"/>
          <w:color w:val="000000" w:themeColor="text1"/>
        </w:rPr>
        <w:t>En particular, sus objetivos específicos responden a la necesidad de:</w:t>
      </w:r>
    </w:p>
    <w:p w14:paraId="1B4B09FB" w14:textId="0F3BCDD8" w:rsidR="00792D5D" w:rsidRPr="00D42A17" w:rsidRDefault="00792D5D" w:rsidP="00D42A17">
      <w:pPr>
        <w:pStyle w:val="Body"/>
        <w:numPr>
          <w:ilvl w:val="0"/>
          <w:numId w:val="52"/>
        </w:numPr>
      </w:pPr>
      <w:r w:rsidRPr="00D42A17">
        <w:t>Establecer los instrumentos necesarios para realizar un seguimiento completo e integral de la evolución del Marco Estratégico de manera realista, oportuna y veraz, manteniendo los principios de coste</w:t>
      </w:r>
      <w:r w:rsidR="00D53D91" w:rsidRPr="00D42A17">
        <w:t>-</w:t>
      </w:r>
      <w:r w:rsidRPr="00D42A17">
        <w:t>beneficio y oportunidad.</w:t>
      </w:r>
    </w:p>
    <w:p w14:paraId="28CAAFE3" w14:textId="0260F944" w:rsidR="00792D5D" w:rsidRPr="00D42A17" w:rsidRDefault="00792D5D" w:rsidP="00D42A17">
      <w:pPr>
        <w:pStyle w:val="Body"/>
        <w:numPr>
          <w:ilvl w:val="0"/>
          <w:numId w:val="52"/>
        </w:numPr>
      </w:pPr>
      <w:r w:rsidRPr="00D42A17">
        <w:t>Identificar posibles desviaciones o situaciones de riesgo que puedan impactar en el cumplimiento de las metas definidas.</w:t>
      </w:r>
    </w:p>
    <w:p w14:paraId="69492F41" w14:textId="77777777" w:rsidR="008351BE" w:rsidRPr="00436277" w:rsidRDefault="008351BE" w:rsidP="008351BE">
      <w:pPr>
        <w:pStyle w:val="Body"/>
      </w:pPr>
      <w:r w:rsidRPr="00436277">
        <w:t>El sistema de gobernanza se basa en dos pilares:</w:t>
      </w:r>
    </w:p>
    <w:p w14:paraId="04AA0264" w14:textId="65128E34" w:rsidR="00785AE3" w:rsidRPr="00436277" w:rsidRDefault="00785AE3" w:rsidP="00757E55">
      <w:pPr>
        <w:pStyle w:val="Body"/>
        <w:numPr>
          <w:ilvl w:val="0"/>
          <w:numId w:val="52"/>
        </w:numPr>
      </w:pPr>
      <w:r w:rsidRPr="00436277">
        <w:t>Arquitectura organizativa. Definición de la estructura orgánica y funcional, responsables y relaciones necesarias para la gobernanza del marco estratégico.</w:t>
      </w:r>
    </w:p>
    <w:p w14:paraId="43C8BC14" w14:textId="4BC3A89B" w:rsidR="00785AE3" w:rsidRDefault="00785AE3" w:rsidP="00757E55">
      <w:pPr>
        <w:pStyle w:val="Body"/>
        <w:numPr>
          <w:ilvl w:val="0"/>
          <w:numId w:val="52"/>
        </w:numPr>
      </w:pPr>
      <w:r>
        <w:t>Modelo de seguimiento. Definición de indicadores (véase anexo I</w:t>
      </w:r>
      <w:r w:rsidR="00DF01EB">
        <w:t>V</w:t>
      </w:r>
      <w:r>
        <w:t>) para el seguimiento de la consecución del marco estratégico.</w:t>
      </w:r>
    </w:p>
    <w:p w14:paraId="3B174AD0" w14:textId="09BB6A29" w:rsidR="002E37B6" w:rsidRDefault="00785AE3" w:rsidP="00785AE3">
      <w:pPr>
        <w:pStyle w:val="Body"/>
      </w:pPr>
      <w:r>
        <w:t>S</w:t>
      </w:r>
      <w:r w:rsidR="00D74AEB">
        <w:t>e propone la siguiente estructura orgánica y funcional</w:t>
      </w:r>
      <w:r w:rsidR="00D42A17">
        <w:t>,</w:t>
      </w:r>
      <w:r w:rsidR="00EF5D1F">
        <w:t xml:space="preserve"> así como sus funciones</w:t>
      </w:r>
      <w:r w:rsidR="00073342">
        <w:t xml:space="preserve"> y</w:t>
      </w:r>
      <w:r w:rsidR="00EF5D1F">
        <w:t xml:space="preserve"> miembros. </w:t>
      </w:r>
    </w:p>
    <w:tbl>
      <w:tblPr>
        <w:tblStyle w:val="Listamedia2"/>
        <w:tblW w:w="5000" w:type="pct"/>
        <w:tblCellMar>
          <w:top w:w="108" w:type="dxa"/>
          <w:bottom w:w="108" w:type="dxa"/>
        </w:tblCellMar>
        <w:tblLook w:val="04A0" w:firstRow="1" w:lastRow="0" w:firstColumn="1" w:lastColumn="0" w:noHBand="0" w:noVBand="1"/>
      </w:tblPr>
      <w:tblGrid>
        <w:gridCol w:w="9051"/>
      </w:tblGrid>
      <w:tr w:rsidR="00CB72BC" w:rsidRPr="007916CD" w14:paraId="6A641132" w14:textId="77777777" w:rsidTr="00F16D09">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single" w:sz="12" w:space="0" w:color="FFCC00"/>
              <w:bottom w:val="single" w:sz="6" w:space="0" w:color="000000" w:themeColor="text1"/>
            </w:tcBorders>
            <w:shd w:val="clear" w:color="auto" w:fill="auto"/>
            <w:vAlign w:val="center"/>
            <w:hideMark/>
          </w:tcPr>
          <w:p w14:paraId="2F9B0D90" w14:textId="77777777" w:rsidR="00CB72BC" w:rsidRPr="00D42A17" w:rsidRDefault="00CB72BC" w:rsidP="00F16D09">
            <w:pPr>
              <w:spacing w:before="60" w:after="60"/>
              <w:ind w:right="150"/>
              <w:contextualSpacing/>
              <w:jc w:val="left"/>
              <w:rPr>
                <w:rFonts w:ascii="Century Gothic" w:hAnsi="Century Gothic" w:cs="Arial"/>
                <w:b/>
                <w:iCs/>
                <w:color w:val="000000"/>
                <w:sz w:val="20"/>
                <w:szCs w:val="20"/>
                <w:lang w:val="es-ES"/>
              </w:rPr>
            </w:pPr>
            <w:r w:rsidRPr="00D42A17">
              <w:rPr>
                <w:rFonts w:ascii="Century Gothic" w:hAnsi="Century Gothic" w:cs="Arial"/>
                <w:b/>
                <w:iCs/>
                <w:color w:val="000000"/>
                <w:sz w:val="20"/>
                <w:szCs w:val="20"/>
                <w:lang w:val="es-ES"/>
              </w:rPr>
              <w:t>EL CONSEJO ESTATAL DE LA PYME</w:t>
            </w:r>
          </w:p>
        </w:tc>
      </w:tr>
      <w:tr w:rsidR="00CB72BC" w:rsidRPr="007916CD" w14:paraId="0F4C44AD" w14:textId="77777777" w:rsidTr="00F16D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0000" w:themeColor="text1"/>
              <w:bottom w:val="single" w:sz="4" w:space="0" w:color="003399"/>
              <w:right w:val="nil"/>
            </w:tcBorders>
            <w:shd w:val="clear" w:color="auto" w:fill="auto"/>
            <w:vAlign w:val="center"/>
          </w:tcPr>
          <w:p w14:paraId="1BF49ABC" w14:textId="77777777" w:rsidR="00CB72BC" w:rsidRPr="00D42A17" w:rsidRDefault="00CB72BC" w:rsidP="00F16D09">
            <w:pPr>
              <w:pStyle w:val="Prrafodelista"/>
              <w:numPr>
                <w:ilvl w:val="0"/>
                <w:numId w:val="42"/>
              </w:numPr>
              <w:spacing w:before="60" w:after="60" w:line="240" w:lineRule="auto"/>
              <w:ind w:right="150"/>
              <w:rPr>
                <w:rFonts w:ascii="Century Gothic" w:hAnsi="Century Gothic"/>
                <w:szCs w:val="20"/>
                <w:lang w:val="es-ES"/>
              </w:rPr>
            </w:pPr>
            <w:r w:rsidRPr="00D42A17">
              <w:rPr>
                <w:rFonts w:ascii="Century Gothic" w:hAnsi="Century Gothic" w:cs="Arial"/>
                <w:b/>
                <w:color w:val="000000"/>
                <w:szCs w:val="20"/>
                <w:lang w:val="es-ES"/>
              </w:rPr>
              <w:t>Descripción:</w:t>
            </w:r>
            <w:r w:rsidRPr="00D42A17">
              <w:rPr>
                <w:rFonts w:ascii="Century Gothic" w:hAnsi="Century Gothic"/>
                <w:szCs w:val="20"/>
                <w:lang w:val="es-ES"/>
              </w:rPr>
              <w:t xml:space="preserve"> Órgano colegiado de carácter consultivo, asesor y de colaboración en las materias que afectan a las PYME para favorecer y facilitar su creación, crecimiento y desarrollo de ventajas competitivas. </w:t>
            </w:r>
          </w:p>
          <w:p w14:paraId="1BFAAF1A" w14:textId="557B36C6" w:rsidR="00CB72BC" w:rsidRPr="00CB72BC" w:rsidRDefault="00CB72BC" w:rsidP="00CB72BC">
            <w:pPr>
              <w:pStyle w:val="Prrafodelista"/>
              <w:numPr>
                <w:ilvl w:val="0"/>
                <w:numId w:val="42"/>
              </w:numPr>
              <w:spacing w:before="60" w:after="60" w:line="240" w:lineRule="auto"/>
              <w:ind w:right="150"/>
              <w:rPr>
                <w:rFonts w:ascii="Century Gothic" w:hAnsi="Century Gothic"/>
                <w:lang w:val="es-ES"/>
              </w:rPr>
            </w:pPr>
            <w:r w:rsidRPr="00CB72BC">
              <w:rPr>
                <w:rFonts w:ascii="Century Gothic" w:hAnsi="Century Gothic"/>
                <w:b/>
                <w:szCs w:val="20"/>
                <w:lang w:val="es-ES"/>
              </w:rPr>
              <w:t xml:space="preserve">Funciones. </w:t>
            </w:r>
            <w:r w:rsidRPr="00CB72BC">
              <w:rPr>
                <w:rFonts w:ascii="Century Gothic" w:hAnsi="Century Gothic"/>
                <w:lang w:val="es-ES"/>
              </w:rPr>
              <w:t>Hace el seguimiento, propone medidas de actuación, actualiza la información de las medidas y conforma los grupos de trabajo necesarios para el desarrollo de la Estrategia.</w:t>
            </w:r>
          </w:p>
          <w:p w14:paraId="7B85ABF3" w14:textId="77777777" w:rsidR="00CB72BC" w:rsidRPr="00D42A17" w:rsidRDefault="00CB72BC" w:rsidP="00F16D09">
            <w:pPr>
              <w:pStyle w:val="Prrafodelista"/>
              <w:numPr>
                <w:ilvl w:val="0"/>
                <w:numId w:val="42"/>
              </w:numPr>
              <w:spacing w:before="60" w:after="60" w:line="240" w:lineRule="auto"/>
              <w:ind w:right="150"/>
              <w:rPr>
                <w:rFonts w:ascii="Century Gothic" w:hAnsi="Century Gothic"/>
                <w:b/>
                <w:szCs w:val="20"/>
                <w:lang w:val="es-ES"/>
              </w:rPr>
            </w:pPr>
            <w:r w:rsidRPr="00D42A17">
              <w:rPr>
                <w:rFonts w:ascii="Century Gothic" w:hAnsi="Century Gothic"/>
                <w:b/>
                <w:szCs w:val="20"/>
                <w:lang w:val="es-ES"/>
              </w:rPr>
              <w:t>Miembros</w:t>
            </w:r>
            <w:r>
              <w:rPr>
                <w:rFonts w:ascii="Century Gothic" w:hAnsi="Century Gothic"/>
                <w:szCs w:val="20"/>
                <w:lang w:val="es-ES"/>
              </w:rPr>
              <w:t>.</w:t>
            </w:r>
            <w:r w:rsidRPr="00D42A17">
              <w:rPr>
                <w:rFonts w:ascii="Century Gothic" w:hAnsi="Century Gothic"/>
                <w:szCs w:val="20"/>
                <w:lang w:val="es-ES"/>
              </w:rPr>
              <w:t xml:space="preserve"> Está presidido por la Ministra de Industria, Comercio y Turismo y cuenta con dos vicepresidentes, representantes de los Departamento ministerial, de otras entidades de la AGE; de comunidades y ciudades autónomas, así como representantes de la Administración Local, organizaciones empresariales y sindicales de ámbito estatal e intersectorial representativas de la PYME, confederaciones empresariales de economía social y de la Cámara de España.</w:t>
            </w:r>
          </w:p>
          <w:p w14:paraId="5222776C" w14:textId="77777777" w:rsidR="00CB72BC" w:rsidRPr="00D42A17" w:rsidRDefault="00CB72BC" w:rsidP="00F16D09">
            <w:pPr>
              <w:pStyle w:val="Prrafodelista"/>
              <w:numPr>
                <w:ilvl w:val="0"/>
                <w:numId w:val="43"/>
              </w:numPr>
              <w:spacing w:before="60" w:after="60" w:line="240" w:lineRule="auto"/>
              <w:ind w:right="150"/>
              <w:rPr>
                <w:rFonts w:ascii="Century Gothic" w:hAnsi="Century Gothic" w:cs="Arial"/>
                <w:color w:val="000000"/>
                <w:szCs w:val="20"/>
                <w:lang w:val="es-ES"/>
              </w:rPr>
            </w:pPr>
            <w:r w:rsidRPr="00D42A17">
              <w:rPr>
                <w:rFonts w:ascii="Century Gothic" w:hAnsi="Century Gothic" w:cs="Arial"/>
                <w:b/>
                <w:color w:val="000000"/>
                <w:szCs w:val="20"/>
                <w:lang w:val="es-ES"/>
              </w:rPr>
              <w:t>Regulación.</w:t>
            </w:r>
            <w:r w:rsidRPr="00D42A17">
              <w:rPr>
                <w:rFonts w:ascii="Century Gothic" w:hAnsi="Century Gothic" w:cs="Arial"/>
                <w:color w:val="000000"/>
                <w:szCs w:val="20"/>
                <w:lang w:val="es-ES"/>
              </w:rPr>
              <w:t xml:space="preserve">  Real Decreto 962/2013, de 5 de diciembre, por el que se crea y regula el Consejo Estatal de la pequeña y la mediana empresa.</w:t>
            </w:r>
          </w:p>
        </w:tc>
      </w:tr>
    </w:tbl>
    <w:p w14:paraId="25BAF68E" w14:textId="01B1330F" w:rsidR="00CB72BC" w:rsidRDefault="00CB72BC" w:rsidP="00785AE3">
      <w:pPr>
        <w:pStyle w:val="Body"/>
        <w:rPr>
          <w:sz w:val="18"/>
          <w:szCs w:val="18"/>
        </w:rPr>
      </w:pPr>
    </w:p>
    <w:tbl>
      <w:tblPr>
        <w:tblStyle w:val="Listamedia2"/>
        <w:tblW w:w="5000" w:type="pct"/>
        <w:tblCellMar>
          <w:top w:w="108" w:type="dxa"/>
          <w:bottom w:w="108" w:type="dxa"/>
        </w:tblCellMar>
        <w:tblLook w:val="04A0" w:firstRow="1" w:lastRow="0" w:firstColumn="1" w:lastColumn="0" w:noHBand="0" w:noVBand="1"/>
      </w:tblPr>
      <w:tblGrid>
        <w:gridCol w:w="9051"/>
      </w:tblGrid>
      <w:tr w:rsidR="00792D5D" w:rsidRPr="00D42A17" w14:paraId="32D1A83F" w14:textId="77777777" w:rsidTr="00CB72BC">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single" w:sz="12" w:space="0" w:color="FFCC00"/>
              <w:bottom w:val="single" w:sz="6" w:space="0" w:color="000000" w:themeColor="text1"/>
            </w:tcBorders>
            <w:shd w:val="clear" w:color="auto" w:fill="auto"/>
            <w:vAlign w:val="center"/>
            <w:hideMark/>
          </w:tcPr>
          <w:p w14:paraId="07F09004" w14:textId="40386DA0" w:rsidR="00792D5D" w:rsidRPr="00D42A17" w:rsidRDefault="00CB72BC" w:rsidP="00E22D09">
            <w:pPr>
              <w:spacing w:before="60" w:after="60"/>
              <w:ind w:right="150"/>
              <w:contextualSpacing/>
              <w:jc w:val="left"/>
              <w:rPr>
                <w:rFonts w:ascii="Century Gothic" w:hAnsi="Century Gothic" w:cs="Arial"/>
                <w:b/>
                <w:iCs/>
                <w:color w:val="000000"/>
                <w:sz w:val="20"/>
                <w:szCs w:val="20"/>
                <w:lang w:val="es-ES"/>
              </w:rPr>
            </w:pPr>
            <w:r>
              <w:rPr>
                <w:rFonts w:ascii="Century Gothic" w:hAnsi="Century Gothic" w:cs="Arial"/>
                <w:b/>
                <w:iCs/>
                <w:color w:val="000000"/>
                <w:sz w:val="20"/>
                <w:szCs w:val="20"/>
                <w:lang w:val="es-ES"/>
              </w:rPr>
              <w:t>GRUPOS DEL CONSEJO ESTATAL DE LA PYME</w:t>
            </w:r>
          </w:p>
        </w:tc>
      </w:tr>
      <w:tr w:rsidR="00792D5D" w:rsidRPr="007916CD" w14:paraId="1B2C1275" w14:textId="77777777" w:rsidTr="00CB72B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0000" w:themeColor="text1"/>
              <w:bottom w:val="single" w:sz="4" w:space="0" w:color="003399"/>
              <w:right w:val="nil"/>
            </w:tcBorders>
            <w:shd w:val="clear" w:color="auto" w:fill="auto"/>
            <w:vAlign w:val="center"/>
          </w:tcPr>
          <w:p w14:paraId="3030349B" w14:textId="43AF1A97" w:rsidR="00792D5D" w:rsidRPr="00D42A17" w:rsidRDefault="00792D5D" w:rsidP="00CB72BC">
            <w:pPr>
              <w:numPr>
                <w:ilvl w:val="0"/>
                <w:numId w:val="34"/>
              </w:numPr>
              <w:spacing w:before="60" w:after="60"/>
              <w:ind w:right="150"/>
              <w:rPr>
                <w:rFonts w:ascii="Century Gothic" w:hAnsi="Century Gothic" w:cs="Arial"/>
                <w:color w:val="000000"/>
                <w:lang w:val="es-ES"/>
              </w:rPr>
            </w:pPr>
            <w:r w:rsidRPr="00D42A17">
              <w:rPr>
                <w:rFonts w:ascii="Century Gothic" w:hAnsi="Century Gothic" w:cs="Arial"/>
                <w:b/>
                <w:color w:val="000000"/>
                <w:lang w:val="es-ES"/>
              </w:rPr>
              <w:t>Descripción:</w:t>
            </w:r>
            <w:r w:rsidRPr="00D42A17">
              <w:rPr>
                <w:rFonts w:ascii="Century Gothic" w:hAnsi="Century Gothic" w:cs="Arial"/>
                <w:color w:val="000000"/>
                <w:lang w:val="es-ES"/>
              </w:rPr>
              <w:t xml:space="preserve"> </w:t>
            </w:r>
            <w:r w:rsidR="00CB72BC" w:rsidRPr="00CB72BC">
              <w:rPr>
                <w:rFonts w:ascii="Century Gothic" w:hAnsi="Century Gothic" w:cs="Arial"/>
                <w:color w:val="000000"/>
                <w:lang w:val="es-ES"/>
              </w:rPr>
              <w:t>Se formarán en función de las palancas y líneas de actuación de interés para el Consejo Estatal. Se apoya en la Oficina de Seguimiento de la estrategia de PYME.</w:t>
            </w:r>
          </w:p>
          <w:p w14:paraId="445EEF3B" w14:textId="5C672029" w:rsidR="00CB4754" w:rsidRPr="00D42A17" w:rsidRDefault="00CB4754" w:rsidP="00E22D09">
            <w:pPr>
              <w:spacing w:before="60" w:after="60"/>
              <w:ind w:left="714" w:right="150"/>
              <w:rPr>
                <w:rFonts w:ascii="Century Gothic" w:hAnsi="Century Gothic" w:cs="Arial"/>
                <w:color w:val="000000"/>
                <w:lang w:val="es-ES"/>
              </w:rPr>
            </w:pPr>
            <w:r w:rsidRPr="00D42A17">
              <w:rPr>
                <w:rFonts w:ascii="Century Gothic" w:hAnsi="Century Gothic" w:cs="Arial"/>
                <w:color w:val="000000"/>
                <w:lang w:val="es-ES"/>
              </w:rPr>
              <w:t xml:space="preserve">A su vez, es asesorado por </w:t>
            </w:r>
            <w:r w:rsidR="00A201AD" w:rsidRPr="00D42A17">
              <w:rPr>
                <w:rFonts w:ascii="Century Gothic" w:hAnsi="Century Gothic" w:cs="Arial"/>
                <w:color w:val="000000"/>
                <w:lang w:val="es-ES"/>
              </w:rPr>
              <w:t>el Consejo Asesor PYME</w:t>
            </w:r>
            <w:r w:rsidRPr="00D42A17">
              <w:rPr>
                <w:rFonts w:ascii="Century Gothic" w:hAnsi="Century Gothic" w:cs="Arial"/>
                <w:color w:val="000000"/>
                <w:lang w:val="es-ES"/>
              </w:rPr>
              <w:t>.</w:t>
            </w:r>
          </w:p>
          <w:p w14:paraId="090C8ADF" w14:textId="77777777" w:rsidR="00792D5D" w:rsidRPr="00D42A17" w:rsidRDefault="00792D5D" w:rsidP="00757E55">
            <w:pPr>
              <w:numPr>
                <w:ilvl w:val="0"/>
                <w:numId w:val="34"/>
              </w:numPr>
              <w:spacing w:before="60" w:after="60"/>
              <w:ind w:left="714" w:right="150" w:hanging="357"/>
              <w:rPr>
                <w:rFonts w:ascii="Century Gothic" w:hAnsi="Century Gothic" w:cs="Arial"/>
                <w:b/>
                <w:color w:val="000000"/>
                <w:lang w:val="es-ES"/>
              </w:rPr>
            </w:pPr>
            <w:r w:rsidRPr="00D42A17">
              <w:rPr>
                <w:rFonts w:ascii="Century Gothic" w:hAnsi="Century Gothic" w:cs="Arial"/>
                <w:b/>
                <w:color w:val="000000"/>
                <w:lang w:val="es-ES"/>
              </w:rPr>
              <w:lastRenderedPageBreak/>
              <w:t>Funciones:</w:t>
            </w:r>
          </w:p>
          <w:p w14:paraId="413837B9" w14:textId="7982B0BC" w:rsidR="00792D5D" w:rsidRPr="00D42A17" w:rsidRDefault="00392235" w:rsidP="00757E55">
            <w:pPr>
              <w:pStyle w:val="Prrafodelista"/>
              <w:numPr>
                <w:ilvl w:val="0"/>
                <w:numId w:val="35"/>
              </w:numPr>
              <w:spacing w:before="60" w:after="60" w:line="240" w:lineRule="auto"/>
              <w:ind w:left="1144" w:right="150" w:hanging="283"/>
              <w:rPr>
                <w:rFonts w:ascii="Century Gothic" w:hAnsi="Century Gothic" w:cs="Arial"/>
                <w:color w:val="000000"/>
                <w:szCs w:val="20"/>
                <w:lang w:val="es-ES"/>
              </w:rPr>
            </w:pPr>
            <w:r w:rsidRPr="00D42A17">
              <w:rPr>
                <w:rFonts w:ascii="Century Gothic" w:hAnsi="Century Gothic" w:cs="Arial"/>
                <w:color w:val="000000"/>
                <w:szCs w:val="20"/>
                <w:lang w:val="es-ES"/>
              </w:rPr>
              <w:t>Reportar periódicamente al Consejo Estatal de la PYME del avance del marco estratégico.</w:t>
            </w:r>
          </w:p>
          <w:p w14:paraId="24BE7C37" w14:textId="77777777" w:rsidR="00792D5D" w:rsidRPr="00D42A17" w:rsidRDefault="00792D5D" w:rsidP="00757E55">
            <w:pPr>
              <w:pStyle w:val="Prrafodelista"/>
              <w:numPr>
                <w:ilvl w:val="0"/>
                <w:numId w:val="35"/>
              </w:numPr>
              <w:spacing w:before="60" w:after="60" w:line="240" w:lineRule="auto"/>
              <w:ind w:left="1144" w:right="150" w:hanging="283"/>
              <w:rPr>
                <w:rFonts w:ascii="Century Gothic" w:hAnsi="Century Gothic" w:cs="Arial"/>
                <w:color w:val="000000"/>
                <w:szCs w:val="20"/>
                <w:lang w:val="es-ES"/>
              </w:rPr>
            </w:pPr>
            <w:r w:rsidRPr="00D42A17">
              <w:rPr>
                <w:rFonts w:ascii="Century Gothic" w:hAnsi="Century Gothic" w:cs="Arial"/>
                <w:color w:val="000000"/>
                <w:szCs w:val="20"/>
                <w:lang w:val="es-ES"/>
              </w:rPr>
              <w:t>Trasladar posibles riesgos que podrían impactar en el correcto desarrollo del Marco Estratégico</w:t>
            </w:r>
            <w:r w:rsidR="00EB64C8" w:rsidRPr="00D42A17">
              <w:rPr>
                <w:rFonts w:ascii="Century Gothic" w:hAnsi="Century Gothic" w:cs="Arial"/>
                <w:color w:val="000000"/>
                <w:szCs w:val="20"/>
                <w:lang w:val="es-ES"/>
              </w:rPr>
              <w:t>.</w:t>
            </w:r>
          </w:p>
          <w:p w14:paraId="6F93B2C7" w14:textId="1A4471AD" w:rsidR="000818B2" w:rsidRPr="00CB72BC" w:rsidRDefault="00CB72BC" w:rsidP="00757E55">
            <w:pPr>
              <w:pStyle w:val="Prrafodelista"/>
              <w:numPr>
                <w:ilvl w:val="0"/>
                <w:numId w:val="35"/>
              </w:numPr>
              <w:spacing w:before="60" w:after="60" w:line="240" w:lineRule="auto"/>
              <w:ind w:left="1144" w:right="150" w:hanging="283"/>
              <w:rPr>
                <w:rFonts w:ascii="Century Gothic" w:hAnsi="Century Gothic" w:cs="Arial"/>
                <w:color w:val="000000"/>
                <w:szCs w:val="20"/>
                <w:lang w:val="es-ES_tradnl"/>
              </w:rPr>
            </w:pPr>
            <w:r w:rsidRPr="00CB72BC">
              <w:rPr>
                <w:rFonts w:ascii="Century Gothic" w:hAnsi="Century Gothic" w:cs="Arial"/>
                <w:color w:val="000000"/>
                <w:szCs w:val="20"/>
                <w:lang w:val="es-ES_tradnl"/>
              </w:rPr>
              <w:t>Proponer al Consejo Estatal actuaciones a desarrollar en el seno del Marco Estratégico</w:t>
            </w:r>
            <w:r w:rsidR="000818B2" w:rsidRPr="00CB72BC">
              <w:rPr>
                <w:rFonts w:ascii="Century Gothic" w:hAnsi="Century Gothic" w:cs="Arial"/>
                <w:color w:val="000000"/>
                <w:szCs w:val="20"/>
                <w:lang w:val="es-ES_tradnl"/>
              </w:rPr>
              <w:t>.</w:t>
            </w:r>
          </w:p>
          <w:p w14:paraId="3AB012D0" w14:textId="77777777" w:rsidR="00792D5D" w:rsidRPr="00D42A17" w:rsidRDefault="00792D5D" w:rsidP="00757E55">
            <w:pPr>
              <w:numPr>
                <w:ilvl w:val="0"/>
                <w:numId w:val="34"/>
              </w:numPr>
              <w:spacing w:before="60" w:after="60"/>
              <w:ind w:left="714" w:right="150" w:hanging="357"/>
              <w:rPr>
                <w:rFonts w:ascii="Century Gothic" w:hAnsi="Century Gothic" w:cs="Arial"/>
                <w:b/>
                <w:color w:val="000000"/>
                <w:lang w:val="es-ES"/>
              </w:rPr>
            </w:pPr>
            <w:r w:rsidRPr="00D42A17">
              <w:rPr>
                <w:rFonts w:ascii="Century Gothic" w:hAnsi="Century Gothic" w:cs="Arial"/>
                <w:b/>
                <w:color w:val="000000"/>
                <w:lang w:val="es-ES"/>
              </w:rPr>
              <w:t xml:space="preserve">Miembros: </w:t>
            </w:r>
          </w:p>
          <w:p w14:paraId="0904E0AD" w14:textId="721AB512" w:rsidR="00E7125B" w:rsidRPr="00D42A17" w:rsidRDefault="00CB72BC" w:rsidP="00757E55">
            <w:pPr>
              <w:pStyle w:val="Prrafodelista"/>
              <w:numPr>
                <w:ilvl w:val="0"/>
                <w:numId w:val="35"/>
              </w:numPr>
              <w:spacing w:before="60" w:after="60" w:line="240" w:lineRule="auto"/>
              <w:ind w:left="1144" w:right="150" w:hanging="283"/>
              <w:rPr>
                <w:rFonts w:ascii="Century Gothic" w:hAnsi="Century Gothic" w:cs="Arial"/>
                <w:color w:val="000000"/>
                <w:szCs w:val="20"/>
                <w:lang w:val="es-ES"/>
              </w:rPr>
            </w:pPr>
            <w:r>
              <w:rPr>
                <w:rFonts w:ascii="Century Gothic" w:hAnsi="Century Gothic" w:cs="Arial"/>
                <w:color w:val="000000"/>
                <w:szCs w:val="20"/>
                <w:lang w:val="es-ES"/>
              </w:rPr>
              <w:t>Grupos del Consejo. Hasta un máximo de 15 miembros por grupo.</w:t>
            </w:r>
          </w:p>
        </w:tc>
      </w:tr>
    </w:tbl>
    <w:p w14:paraId="05885CA0" w14:textId="3BDC35CB" w:rsidR="005B4DF3" w:rsidRDefault="005B4DF3">
      <w:pPr>
        <w:spacing w:after="0"/>
        <w:jc w:val="left"/>
        <w:rPr>
          <w:rFonts w:ascii="Century Gothic" w:hAnsi="Century Gothic"/>
          <w:lang w:val="es-ES"/>
        </w:rPr>
      </w:pPr>
    </w:p>
    <w:tbl>
      <w:tblPr>
        <w:tblStyle w:val="Listamedia2"/>
        <w:tblW w:w="5011" w:type="pct"/>
        <w:tblInd w:w="-10" w:type="dxa"/>
        <w:tblCellMar>
          <w:top w:w="108" w:type="dxa"/>
          <w:bottom w:w="108" w:type="dxa"/>
        </w:tblCellMar>
        <w:tblLook w:val="04A0" w:firstRow="1" w:lastRow="0" w:firstColumn="1" w:lastColumn="0" w:noHBand="0" w:noVBand="1"/>
      </w:tblPr>
      <w:tblGrid>
        <w:gridCol w:w="9071"/>
      </w:tblGrid>
      <w:tr w:rsidR="00792D5D" w:rsidRPr="007A22FE" w14:paraId="04D6E64B" w14:textId="77777777" w:rsidTr="00DE08EA">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single" w:sz="12" w:space="0" w:color="FFCC00"/>
              <w:bottom w:val="single" w:sz="6" w:space="0" w:color="000000" w:themeColor="text1"/>
            </w:tcBorders>
            <w:shd w:val="clear" w:color="auto" w:fill="auto"/>
            <w:vAlign w:val="center"/>
            <w:hideMark/>
          </w:tcPr>
          <w:p w14:paraId="431B2E95" w14:textId="62DFD2E1" w:rsidR="00792D5D" w:rsidRPr="00D42A17" w:rsidRDefault="00EB64C8" w:rsidP="00E22D09">
            <w:pPr>
              <w:spacing w:before="60" w:after="60"/>
              <w:ind w:right="150"/>
              <w:contextualSpacing/>
              <w:jc w:val="left"/>
              <w:rPr>
                <w:rFonts w:ascii="Century Gothic" w:hAnsi="Century Gothic" w:cs="Arial"/>
                <w:b/>
                <w:iCs/>
                <w:color w:val="000000"/>
                <w:sz w:val="20"/>
                <w:szCs w:val="20"/>
                <w:lang w:val="es-ES"/>
              </w:rPr>
            </w:pPr>
            <w:r w:rsidRPr="00D42A17">
              <w:rPr>
                <w:rFonts w:ascii="Century Gothic" w:hAnsi="Century Gothic" w:cs="Arial"/>
                <w:b/>
                <w:iCs/>
                <w:color w:val="000000"/>
                <w:sz w:val="20"/>
                <w:szCs w:val="20"/>
                <w:lang w:val="es-ES"/>
              </w:rPr>
              <w:t xml:space="preserve">OFICINA DE </w:t>
            </w:r>
            <w:r w:rsidR="00184648" w:rsidRPr="00D42A17">
              <w:rPr>
                <w:rFonts w:ascii="Century Gothic" w:hAnsi="Century Gothic" w:cs="Arial"/>
                <w:b/>
                <w:iCs/>
                <w:color w:val="000000"/>
                <w:sz w:val="20"/>
                <w:szCs w:val="20"/>
                <w:lang w:val="es-ES"/>
              </w:rPr>
              <w:t>SEGUIMIENTO</w:t>
            </w:r>
          </w:p>
        </w:tc>
      </w:tr>
      <w:tr w:rsidR="00792D5D" w:rsidRPr="007916CD" w14:paraId="77ACA781" w14:textId="77777777" w:rsidTr="00DE08E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0000" w:themeColor="text1"/>
              <w:bottom w:val="single" w:sz="4" w:space="0" w:color="003399"/>
              <w:right w:val="nil"/>
            </w:tcBorders>
            <w:shd w:val="clear" w:color="auto" w:fill="auto"/>
            <w:vAlign w:val="center"/>
          </w:tcPr>
          <w:p w14:paraId="434D8EC2" w14:textId="77777777" w:rsidR="00792D5D" w:rsidRPr="00D42A17" w:rsidRDefault="00792D5D" w:rsidP="00757E55">
            <w:pPr>
              <w:numPr>
                <w:ilvl w:val="0"/>
                <w:numId w:val="34"/>
              </w:numPr>
              <w:spacing w:before="60" w:after="60"/>
              <w:ind w:right="150"/>
              <w:rPr>
                <w:rFonts w:ascii="Century Gothic" w:hAnsi="Century Gothic" w:cs="Arial"/>
                <w:color w:val="000000"/>
                <w:lang w:val="es-ES"/>
              </w:rPr>
            </w:pPr>
            <w:r w:rsidRPr="00D42A17">
              <w:rPr>
                <w:rFonts w:ascii="Century Gothic" w:hAnsi="Century Gothic" w:cs="Arial"/>
                <w:b/>
                <w:color w:val="000000"/>
                <w:lang w:val="es-ES"/>
              </w:rPr>
              <w:t>Descripción:</w:t>
            </w:r>
            <w:r w:rsidRPr="00D42A17">
              <w:rPr>
                <w:rFonts w:ascii="Century Gothic" w:hAnsi="Century Gothic" w:cs="Arial"/>
                <w:color w:val="000000"/>
                <w:lang w:val="es-ES"/>
              </w:rPr>
              <w:t xml:space="preserve"> órgano responsable de realizar un seguimiento periódico del estado y evolución del Marco </w:t>
            </w:r>
            <w:r w:rsidR="003B6C70" w:rsidRPr="00D42A17">
              <w:rPr>
                <w:rFonts w:ascii="Century Gothic" w:hAnsi="Century Gothic" w:cs="Arial"/>
                <w:color w:val="000000"/>
                <w:lang w:val="es-ES"/>
              </w:rPr>
              <w:t xml:space="preserve">Estratégico. </w:t>
            </w:r>
          </w:p>
          <w:p w14:paraId="116A7535" w14:textId="77777777" w:rsidR="00792D5D" w:rsidRPr="00D42A17" w:rsidRDefault="00792D5D" w:rsidP="00757E55">
            <w:pPr>
              <w:numPr>
                <w:ilvl w:val="0"/>
                <w:numId w:val="34"/>
              </w:numPr>
              <w:spacing w:before="60" w:after="60"/>
              <w:ind w:left="714" w:right="150" w:hanging="357"/>
              <w:rPr>
                <w:rFonts w:ascii="Century Gothic" w:hAnsi="Century Gothic" w:cs="Arial"/>
                <w:b/>
                <w:color w:val="000000"/>
                <w:lang w:val="es-ES"/>
              </w:rPr>
            </w:pPr>
            <w:r w:rsidRPr="00D42A17">
              <w:rPr>
                <w:rFonts w:ascii="Century Gothic" w:hAnsi="Century Gothic" w:cs="Arial"/>
                <w:b/>
                <w:color w:val="000000"/>
                <w:lang w:val="es-ES"/>
              </w:rPr>
              <w:t>Funciones:</w:t>
            </w:r>
          </w:p>
          <w:p w14:paraId="4F713BB6" w14:textId="77777777" w:rsidR="008A3D5E" w:rsidRPr="00CB72BC" w:rsidRDefault="00433DEB" w:rsidP="00CB72BC">
            <w:pPr>
              <w:pStyle w:val="Prrafodelista"/>
              <w:numPr>
                <w:ilvl w:val="0"/>
                <w:numId w:val="35"/>
              </w:numPr>
              <w:spacing w:before="60" w:after="60"/>
              <w:ind w:left="1144" w:right="150" w:hanging="283"/>
              <w:rPr>
                <w:rFonts w:ascii="Century Gothic" w:hAnsi="Century Gothic" w:cs="Arial"/>
                <w:color w:val="000000"/>
                <w:lang w:val="es-ES"/>
              </w:rPr>
            </w:pPr>
            <w:r w:rsidRPr="00CB72BC">
              <w:rPr>
                <w:rFonts w:ascii="Century Gothic" w:hAnsi="Century Gothic" w:cs="Arial"/>
                <w:color w:val="000000"/>
                <w:lang w:val="es-ES"/>
              </w:rPr>
              <w:t>Recopilar información de los resultados en el ámbito de cada línea de actuación.</w:t>
            </w:r>
          </w:p>
          <w:p w14:paraId="460C9CAB" w14:textId="77777777" w:rsidR="008A3D5E" w:rsidRPr="00CB72BC" w:rsidRDefault="00433DEB" w:rsidP="00CB72BC">
            <w:pPr>
              <w:pStyle w:val="Prrafodelista"/>
              <w:numPr>
                <w:ilvl w:val="0"/>
                <w:numId w:val="35"/>
              </w:numPr>
              <w:spacing w:before="60" w:after="60"/>
              <w:ind w:left="1144" w:right="150" w:hanging="283"/>
              <w:rPr>
                <w:rFonts w:ascii="Century Gothic" w:hAnsi="Century Gothic" w:cs="Arial"/>
                <w:color w:val="000000"/>
                <w:lang w:val="es-ES"/>
              </w:rPr>
            </w:pPr>
            <w:r w:rsidRPr="00CB72BC">
              <w:rPr>
                <w:rFonts w:ascii="Century Gothic" w:hAnsi="Century Gothic" w:cs="Arial"/>
                <w:color w:val="000000"/>
                <w:lang w:val="es-ES"/>
              </w:rPr>
              <w:t>Detectar riesgos o problemas en el desarrollo del Marco y trasladarlos posteriormente a los grupos de trabajo.</w:t>
            </w:r>
          </w:p>
          <w:p w14:paraId="6CE32702" w14:textId="77777777" w:rsidR="008A3D5E" w:rsidRPr="00CB72BC" w:rsidRDefault="00433DEB" w:rsidP="00CB72BC">
            <w:pPr>
              <w:pStyle w:val="Prrafodelista"/>
              <w:numPr>
                <w:ilvl w:val="0"/>
                <w:numId w:val="35"/>
              </w:numPr>
              <w:spacing w:before="60" w:after="60"/>
              <w:ind w:left="1144" w:right="150" w:hanging="283"/>
              <w:rPr>
                <w:rFonts w:ascii="Century Gothic" w:hAnsi="Century Gothic" w:cs="Arial"/>
                <w:color w:val="000000"/>
                <w:lang w:val="es-ES"/>
              </w:rPr>
            </w:pPr>
            <w:r w:rsidRPr="00CB72BC">
              <w:rPr>
                <w:rFonts w:ascii="Century Gothic" w:hAnsi="Century Gothic" w:cs="Arial"/>
                <w:color w:val="000000"/>
                <w:lang w:val="es-ES"/>
              </w:rPr>
              <w:t>Proponer la reorientación/rediseño de actuaciones del Marco Estratégico.</w:t>
            </w:r>
          </w:p>
          <w:p w14:paraId="35641041" w14:textId="5BEE174C" w:rsidR="007827ED" w:rsidRPr="00CB72BC" w:rsidRDefault="00433DEB" w:rsidP="00CB72BC">
            <w:pPr>
              <w:pStyle w:val="Prrafodelista"/>
              <w:numPr>
                <w:ilvl w:val="0"/>
                <w:numId w:val="35"/>
              </w:numPr>
              <w:spacing w:before="60" w:after="60"/>
              <w:ind w:left="1144" w:right="150" w:hanging="283"/>
              <w:rPr>
                <w:rFonts w:ascii="Century Gothic" w:hAnsi="Century Gothic" w:cs="Arial"/>
                <w:color w:val="000000"/>
                <w:lang w:val="es-ES"/>
              </w:rPr>
            </w:pPr>
            <w:r w:rsidRPr="00CB72BC">
              <w:rPr>
                <w:rFonts w:ascii="Century Gothic" w:hAnsi="Century Gothic" w:cs="Arial"/>
                <w:color w:val="000000"/>
                <w:lang w:val="es-ES"/>
              </w:rPr>
              <w:t>Trasladar posibles riesgos que podrían impactar en el correcto desarrollo del Marco Estratégico.</w:t>
            </w:r>
          </w:p>
          <w:p w14:paraId="06013721" w14:textId="10F4A34B" w:rsidR="00792D5D" w:rsidRPr="00D42A17" w:rsidRDefault="00792D5D" w:rsidP="00D42A17">
            <w:pPr>
              <w:numPr>
                <w:ilvl w:val="0"/>
                <w:numId w:val="34"/>
              </w:numPr>
              <w:spacing w:before="60" w:after="60"/>
              <w:ind w:left="714" w:right="150" w:hanging="357"/>
              <w:rPr>
                <w:rFonts w:ascii="Century Gothic" w:hAnsi="Century Gothic" w:cs="Arial"/>
                <w:color w:val="000000"/>
                <w:lang w:val="es-ES"/>
              </w:rPr>
            </w:pPr>
            <w:r w:rsidRPr="00D42A17">
              <w:rPr>
                <w:rFonts w:ascii="Century Gothic" w:hAnsi="Century Gothic" w:cs="Arial"/>
                <w:b/>
                <w:color w:val="000000"/>
                <w:lang w:val="es-ES"/>
              </w:rPr>
              <w:t>Miembros:</w:t>
            </w:r>
            <w:r w:rsidR="00D42A17">
              <w:rPr>
                <w:rFonts w:ascii="Century Gothic" w:hAnsi="Century Gothic" w:cs="Arial"/>
                <w:b/>
                <w:color w:val="000000"/>
                <w:lang w:val="es-ES"/>
              </w:rPr>
              <w:t xml:space="preserve"> </w:t>
            </w:r>
            <w:r w:rsidRPr="00D42A17">
              <w:rPr>
                <w:rFonts w:ascii="Century Gothic" w:hAnsi="Century Gothic" w:cs="Arial"/>
                <w:color w:val="000000"/>
                <w:lang w:val="es-ES"/>
              </w:rPr>
              <w:t>Subdirección General de Apoyo a la PYME</w:t>
            </w:r>
          </w:p>
        </w:tc>
      </w:tr>
    </w:tbl>
    <w:p w14:paraId="5F1FBF80" w14:textId="77777777" w:rsidR="00184648" w:rsidRDefault="00184648" w:rsidP="00785AE3">
      <w:pPr>
        <w:spacing w:after="0"/>
        <w:jc w:val="left"/>
        <w:rPr>
          <w:rFonts w:ascii="Century Gothic" w:hAnsi="Century Gothic"/>
          <w:lang w:val="es-ES"/>
        </w:rPr>
      </w:pPr>
    </w:p>
    <w:tbl>
      <w:tblPr>
        <w:tblStyle w:val="Listamedia2"/>
        <w:tblW w:w="5011" w:type="pct"/>
        <w:tblInd w:w="-10" w:type="dxa"/>
        <w:tblCellMar>
          <w:top w:w="108" w:type="dxa"/>
          <w:bottom w:w="108" w:type="dxa"/>
        </w:tblCellMar>
        <w:tblLook w:val="04A0" w:firstRow="1" w:lastRow="0" w:firstColumn="1" w:lastColumn="0" w:noHBand="0" w:noVBand="1"/>
      </w:tblPr>
      <w:tblGrid>
        <w:gridCol w:w="9071"/>
      </w:tblGrid>
      <w:tr w:rsidR="00A201AD" w:rsidRPr="007A22FE" w14:paraId="10A8297C" w14:textId="77777777" w:rsidTr="0063039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tcBorders>
              <w:top w:val="single" w:sz="12" w:space="0" w:color="FFCC00"/>
              <w:bottom w:val="single" w:sz="6" w:space="0" w:color="000000" w:themeColor="text1"/>
            </w:tcBorders>
            <w:shd w:val="clear" w:color="auto" w:fill="auto"/>
            <w:vAlign w:val="center"/>
            <w:hideMark/>
          </w:tcPr>
          <w:p w14:paraId="157A51FE" w14:textId="40A19CC7" w:rsidR="00A201AD" w:rsidRPr="00D42A17" w:rsidRDefault="00A201AD" w:rsidP="00E22D09">
            <w:pPr>
              <w:spacing w:before="60" w:after="60"/>
              <w:ind w:right="150"/>
              <w:contextualSpacing/>
              <w:jc w:val="left"/>
              <w:rPr>
                <w:rFonts w:ascii="Century Gothic" w:hAnsi="Century Gothic" w:cs="Arial"/>
                <w:b/>
                <w:iCs/>
                <w:color w:val="000000"/>
                <w:sz w:val="20"/>
                <w:szCs w:val="20"/>
                <w:lang w:val="es-ES"/>
              </w:rPr>
            </w:pPr>
            <w:r w:rsidRPr="00D42A17">
              <w:rPr>
                <w:rFonts w:ascii="Century Gothic" w:hAnsi="Century Gothic" w:cs="Arial"/>
                <w:b/>
                <w:iCs/>
                <w:color w:val="000000"/>
                <w:sz w:val="20"/>
                <w:szCs w:val="20"/>
                <w:lang w:val="es-ES"/>
              </w:rPr>
              <w:t>CONSEJO ASESOR PYME</w:t>
            </w:r>
          </w:p>
        </w:tc>
      </w:tr>
      <w:tr w:rsidR="00A201AD" w:rsidRPr="007916CD" w14:paraId="6C72743A" w14:textId="77777777" w:rsidTr="0063039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000000" w:themeColor="text1"/>
              <w:bottom w:val="single" w:sz="4" w:space="0" w:color="003399"/>
              <w:right w:val="nil"/>
            </w:tcBorders>
            <w:shd w:val="clear" w:color="auto" w:fill="auto"/>
            <w:vAlign w:val="center"/>
          </w:tcPr>
          <w:p w14:paraId="29D447E8" w14:textId="49C88F10" w:rsidR="00A201AD" w:rsidRPr="00D42A17" w:rsidRDefault="00A201AD" w:rsidP="00757E55">
            <w:pPr>
              <w:pStyle w:val="Prrafodelista"/>
              <w:numPr>
                <w:ilvl w:val="0"/>
                <w:numId w:val="44"/>
              </w:numPr>
              <w:spacing w:before="60" w:after="60" w:line="240" w:lineRule="auto"/>
              <w:ind w:right="150"/>
              <w:rPr>
                <w:rFonts w:ascii="Century Gothic" w:hAnsi="Century Gothic" w:cs="Arial"/>
                <w:color w:val="000000"/>
                <w:szCs w:val="20"/>
                <w:lang w:val="es-ES"/>
              </w:rPr>
            </w:pPr>
            <w:r w:rsidRPr="00D42A17">
              <w:rPr>
                <w:rFonts w:ascii="Century Gothic" w:hAnsi="Century Gothic" w:cs="Arial"/>
                <w:b/>
                <w:color w:val="000000"/>
                <w:szCs w:val="20"/>
                <w:lang w:val="es-ES"/>
              </w:rPr>
              <w:t>Descripción:</w:t>
            </w:r>
            <w:r w:rsidRPr="00D42A17">
              <w:rPr>
                <w:rFonts w:ascii="Century Gothic" w:hAnsi="Century Gothic"/>
                <w:szCs w:val="20"/>
                <w:lang w:val="es-ES"/>
              </w:rPr>
              <w:t xml:space="preserve"> </w:t>
            </w:r>
            <w:r w:rsidR="00271C4C" w:rsidRPr="00D42A17">
              <w:rPr>
                <w:rFonts w:ascii="Century Gothic" w:hAnsi="Century Gothic"/>
                <w:szCs w:val="20"/>
                <w:lang w:val="es-ES"/>
              </w:rPr>
              <w:t>Ó</w:t>
            </w:r>
            <w:r w:rsidRPr="00D42A17">
              <w:rPr>
                <w:rFonts w:ascii="Century Gothic" w:hAnsi="Century Gothic"/>
                <w:szCs w:val="20"/>
                <w:lang w:val="es-ES"/>
              </w:rPr>
              <w:t>rgano</w:t>
            </w:r>
            <w:r w:rsidR="00316D05" w:rsidRPr="00D42A17">
              <w:rPr>
                <w:rFonts w:ascii="Century Gothic" w:hAnsi="Century Gothic"/>
                <w:szCs w:val="20"/>
                <w:lang w:val="es-ES"/>
              </w:rPr>
              <w:t xml:space="preserve"> que recogerá otra opinión del mundo empresarial</w:t>
            </w:r>
            <w:r w:rsidRPr="00D42A17">
              <w:rPr>
                <w:rFonts w:ascii="Century Gothic" w:hAnsi="Century Gothic"/>
                <w:szCs w:val="20"/>
                <w:lang w:val="es-ES"/>
              </w:rPr>
              <w:t>.</w:t>
            </w:r>
          </w:p>
          <w:p w14:paraId="11223D43" w14:textId="77777777" w:rsidR="00A201AD" w:rsidRPr="00D42A17" w:rsidRDefault="00A201AD" w:rsidP="00757E55">
            <w:pPr>
              <w:pStyle w:val="Prrafodelista"/>
              <w:numPr>
                <w:ilvl w:val="0"/>
                <w:numId w:val="44"/>
              </w:numPr>
              <w:spacing w:line="240" w:lineRule="auto"/>
              <w:ind w:right="150"/>
              <w:rPr>
                <w:rFonts w:ascii="Century Gothic" w:hAnsi="Century Gothic" w:cs="Arial"/>
                <w:b/>
                <w:color w:val="000000"/>
                <w:szCs w:val="20"/>
                <w:lang w:val="es-ES"/>
              </w:rPr>
            </w:pPr>
            <w:r w:rsidRPr="00D42A17">
              <w:rPr>
                <w:rFonts w:ascii="Century Gothic" w:hAnsi="Century Gothic" w:cs="Arial"/>
                <w:b/>
                <w:color w:val="000000"/>
                <w:szCs w:val="20"/>
                <w:lang w:val="es-ES"/>
              </w:rPr>
              <w:t>Funciones:</w:t>
            </w:r>
          </w:p>
          <w:p w14:paraId="12F45C94" w14:textId="77777777" w:rsidR="008A3D5E" w:rsidRPr="00CB72BC" w:rsidRDefault="00433DEB" w:rsidP="00CB72BC">
            <w:pPr>
              <w:pStyle w:val="Prrafodelista"/>
              <w:numPr>
                <w:ilvl w:val="0"/>
                <w:numId w:val="35"/>
              </w:numPr>
              <w:spacing w:before="60" w:after="60"/>
              <w:ind w:left="1144" w:right="150" w:hanging="283"/>
              <w:rPr>
                <w:rFonts w:ascii="Century Gothic" w:hAnsi="Century Gothic" w:cs="Arial"/>
                <w:color w:val="000000"/>
                <w:lang w:val="es-ES"/>
              </w:rPr>
            </w:pPr>
            <w:r w:rsidRPr="00CB72BC">
              <w:rPr>
                <w:rFonts w:ascii="Century Gothic" w:hAnsi="Century Gothic" w:cs="Arial"/>
                <w:color w:val="000000"/>
                <w:lang w:val="es-ES"/>
              </w:rPr>
              <w:t>Formular recomendaciones sobre los problemas que se encuentran en el quehacer diario de las empresas.</w:t>
            </w:r>
          </w:p>
          <w:p w14:paraId="43904BF8" w14:textId="77777777" w:rsidR="008A3D5E" w:rsidRPr="00CB72BC" w:rsidRDefault="00433DEB" w:rsidP="00CB72BC">
            <w:pPr>
              <w:pStyle w:val="Prrafodelista"/>
              <w:numPr>
                <w:ilvl w:val="0"/>
                <w:numId w:val="35"/>
              </w:numPr>
              <w:spacing w:before="60" w:after="60"/>
              <w:ind w:left="1144" w:right="150" w:hanging="283"/>
              <w:rPr>
                <w:rFonts w:ascii="Century Gothic" w:hAnsi="Century Gothic" w:cs="Arial"/>
                <w:color w:val="000000"/>
                <w:lang w:val="es-ES"/>
              </w:rPr>
            </w:pPr>
            <w:r w:rsidRPr="00CB72BC">
              <w:rPr>
                <w:rFonts w:ascii="Century Gothic" w:hAnsi="Century Gothic" w:cs="Arial"/>
                <w:color w:val="000000"/>
                <w:lang w:val="es-ES"/>
              </w:rPr>
              <w:t>Informar sobre riesgos o problemas concretos que se encuentran.</w:t>
            </w:r>
          </w:p>
          <w:p w14:paraId="11BF3766" w14:textId="77777777" w:rsidR="008A3D5E" w:rsidRPr="00CB72BC" w:rsidRDefault="00433DEB" w:rsidP="00CB72BC">
            <w:pPr>
              <w:pStyle w:val="Prrafodelista"/>
              <w:numPr>
                <w:ilvl w:val="0"/>
                <w:numId w:val="35"/>
              </w:numPr>
              <w:spacing w:before="60" w:after="60"/>
              <w:ind w:left="1144" w:right="150" w:hanging="283"/>
              <w:rPr>
                <w:rFonts w:ascii="Century Gothic" w:hAnsi="Century Gothic" w:cs="Arial"/>
                <w:color w:val="000000"/>
                <w:lang w:val="es-ES"/>
              </w:rPr>
            </w:pPr>
            <w:r w:rsidRPr="00CB72BC">
              <w:rPr>
                <w:rFonts w:ascii="Century Gothic" w:hAnsi="Century Gothic" w:cs="Arial"/>
                <w:color w:val="000000"/>
                <w:lang w:val="es-ES"/>
              </w:rPr>
              <w:t>Trasladar posibles soluciones para su estudio por parte de los grupos de trabajo / Consejo.</w:t>
            </w:r>
          </w:p>
          <w:p w14:paraId="1E4C33F8" w14:textId="5F5383A6" w:rsidR="00A201AD" w:rsidRPr="00D42A17" w:rsidRDefault="00A201AD" w:rsidP="00D42A17">
            <w:pPr>
              <w:pStyle w:val="Prrafodelista"/>
              <w:numPr>
                <w:ilvl w:val="0"/>
                <w:numId w:val="44"/>
              </w:numPr>
              <w:spacing w:line="240" w:lineRule="auto"/>
              <w:ind w:right="150"/>
              <w:rPr>
                <w:rFonts w:ascii="Century Gothic" w:hAnsi="Century Gothic" w:cs="Arial"/>
                <w:color w:val="000000"/>
                <w:szCs w:val="20"/>
                <w:lang w:val="es-ES"/>
              </w:rPr>
            </w:pPr>
            <w:r w:rsidRPr="00D42A17">
              <w:rPr>
                <w:rFonts w:ascii="Century Gothic" w:hAnsi="Century Gothic" w:cs="Arial"/>
                <w:b/>
                <w:color w:val="000000"/>
                <w:szCs w:val="20"/>
                <w:lang w:val="es-ES"/>
              </w:rPr>
              <w:t>Miembros:</w:t>
            </w:r>
            <w:r w:rsidR="00D42A17">
              <w:rPr>
                <w:rFonts w:ascii="Century Gothic" w:hAnsi="Century Gothic" w:cs="Arial"/>
                <w:b/>
                <w:color w:val="000000"/>
                <w:szCs w:val="20"/>
                <w:lang w:val="es-ES"/>
              </w:rPr>
              <w:t xml:space="preserve"> </w:t>
            </w:r>
            <w:r w:rsidR="00271C4C" w:rsidRPr="00D42A17">
              <w:rPr>
                <w:rFonts w:ascii="Century Gothic" w:hAnsi="Century Gothic" w:cs="Arial"/>
                <w:color w:val="000000"/>
                <w:szCs w:val="20"/>
                <w:lang w:val="es-ES"/>
              </w:rPr>
              <w:t>Grandes e</w:t>
            </w:r>
            <w:r w:rsidRPr="00D42A17">
              <w:rPr>
                <w:rFonts w:ascii="Century Gothic" w:hAnsi="Century Gothic" w:cs="Arial"/>
                <w:color w:val="000000"/>
                <w:szCs w:val="20"/>
                <w:lang w:val="es-ES"/>
              </w:rPr>
              <w:t>mpresas</w:t>
            </w:r>
            <w:r w:rsidR="00271C4C" w:rsidRPr="00D42A17">
              <w:rPr>
                <w:rFonts w:ascii="Century Gothic" w:hAnsi="Century Gothic" w:cs="Arial"/>
                <w:color w:val="000000"/>
                <w:szCs w:val="20"/>
                <w:lang w:val="es-ES"/>
              </w:rPr>
              <w:t xml:space="preserve">, </w:t>
            </w:r>
            <w:r w:rsidRPr="00D42A17">
              <w:rPr>
                <w:rFonts w:ascii="Century Gothic" w:hAnsi="Century Gothic" w:cs="Arial"/>
                <w:color w:val="000000"/>
                <w:szCs w:val="20"/>
                <w:lang w:val="es-ES"/>
              </w:rPr>
              <w:t xml:space="preserve">PYMEs </w:t>
            </w:r>
            <w:r w:rsidR="006F6365" w:rsidRPr="00D42A17">
              <w:rPr>
                <w:rFonts w:ascii="Century Gothic" w:hAnsi="Century Gothic" w:cs="Arial"/>
                <w:color w:val="000000"/>
                <w:szCs w:val="20"/>
                <w:lang w:val="es-ES"/>
              </w:rPr>
              <w:t xml:space="preserve">y otros agentes económicos con responsabilidades en materia de PYME. </w:t>
            </w:r>
          </w:p>
        </w:tc>
      </w:tr>
    </w:tbl>
    <w:p w14:paraId="3CDA1592" w14:textId="77777777" w:rsidR="00A201AD" w:rsidRDefault="00A201AD" w:rsidP="00785AE3">
      <w:pPr>
        <w:spacing w:after="0"/>
        <w:jc w:val="left"/>
        <w:rPr>
          <w:rFonts w:ascii="Century Gothic" w:hAnsi="Century Gothic"/>
          <w:lang w:val="es-ES"/>
        </w:rPr>
      </w:pPr>
    </w:p>
    <w:p w14:paraId="487A4708" w14:textId="41D7BD62" w:rsidR="00F55F2C" w:rsidRDefault="00F55F2C" w:rsidP="00785AE3">
      <w:pPr>
        <w:rPr>
          <w:lang w:val="es-ES"/>
        </w:rPr>
      </w:pPr>
    </w:p>
    <w:sectPr w:rsidR="00F55F2C" w:rsidSect="001C59A3">
      <w:headerReference w:type="default" r:id="rId58"/>
      <w:endnotePr>
        <w:numFmt w:val="decimal"/>
      </w:endnotePr>
      <w:pgSz w:w="11907" w:h="16840" w:code="9"/>
      <w:pgMar w:top="1952" w:right="1418" w:bottom="1418" w:left="1418" w:header="720" w:footer="58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5FF96" w14:textId="77777777" w:rsidR="00F16D09" w:rsidRDefault="00F16D09">
      <w:r>
        <w:separator/>
      </w:r>
    </w:p>
  </w:endnote>
  <w:endnote w:type="continuationSeparator" w:id="0">
    <w:p w14:paraId="42A86FF2" w14:textId="77777777" w:rsidR="00F16D09" w:rsidRDefault="00F16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altName w:val="Segoe UI"/>
    <w:charset w:val="00"/>
    <w:family w:val="swiss"/>
    <w:pitch w:val="variable"/>
    <w:sig w:usb0="00000001"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1586C" w14:textId="77777777" w:rsidR="00F16D09" w:rsidRPr="00EB746E" w:rsidRDefault="00F16D09" w:rsidP="00EB746E">
    <w:pPr>
      <w:spacing w:after="0"/>
      <w:jc w:val="right"/>
      <w:rPr>
        <w:sz w:val="16"/>
        <w:szCs w:val="16"/>
      </w:rPr>
    </w:pPr>
    <w:r w:rsidRPr="00EB746E">
      <w:rPr>
        <w:sz w:val="16"/>
        <w:szCs w:val="16"/>
      </w:rPr>
      <w:fldChar w:fldCharType="begin"/>
    </w:r>
    <w:r w:rsidRPr="00EB746E">
      <w:rPr>
        <w:sz w:val="16"/>
        <w:szCs w:val="16"/>
      </w:rPr>
      <w:instrText xml:space="preserve"> PAGE   \* MERGEFORMAT </w:instrText>
    </w:r>
    <w:r w:rsidRPr="00EB746E">
      <w:rPr>
        <w:sz w:val="16"/>
        <w:szCs w:val="16"/>
      </w:rPr>
      <w:fldChar w:fldCharType="separate"/>
    </w:r>
    <w:r>
      <w:rPr>
        <w:noProof/>
        <w:sz w:val="16"/>
        <w:szCs w:val="16"/>
      </w:rPr>
      <w:t>4</w:t>
    </w:r>
    <w:r w:rsidRPr="00EB746E">
      <w:rPr>
        <w:sz w:val="16"/>
        <w:szCs w:val="16"/>
      </w:rPr>
      <w:fldChar w:fldCharType="end"/>
    </w:r>
  </w:p>
  <w:p w14:paraId="5B49EE0A" w14:textId="77777777" w:rsidR="00F16D09" w:rsidRPr="00EB746E" w:rsidRDefault="00F16D09" w:rsidP="00EB746E">
    <w:pPr>
      <w:spacing w:after="0"/>
      <w:jc w:val="center"/>
      <w:rPr>
        <w:sz w:val="16"/>
        <w:szCs w:val="16"/>
      </w:rPr>
    </w:pPr>
    <w:r w:rsidRPr="00EB746E">
      <w:rPr>
        <w:sz w:val="16"/>
        <w:szCs w:val="16"/>
      </w:rPr>
      <w:t>Consumers, Health, Agriculture and Food Executive Agency</w:t>
    </w:r>
  </w:p>
  <w:p w14:paraId="3E3DE86C" w14:textId="77777777" w:rsidR="00F16D09" w:rsidRPr="00EB746E" w:rsidRDefault="00F16D09" w:rsidP="00EB746E">
    <w:pPr>
      <w:spacing w:after="0"/>
      <w:jc w:val="center"/>
      <w:rPr>
        <w:sz w:val="16"/>
        <w:szCs w:val="16"/>
      </w:rPr>
    </w:pPr>
    <w:r w:rsidRPr="00EB746E">
      <w:rPr>
        <w:sz w:val="16"/>
        <w:szCs w:val="16"/>
      </w:rPr>
      <w:t>Health Programme</w:t>
    </w:r>
  </w:p>
  <w:p w14:paraId="680A5B90" w14:textId="77777777" w:rsidR="00F16D09" w:rsidRPr="00EB746E" w:rsidRDefault="00F16D09" w:rsidP="00EB746E">
    <w:pPr>
      <w:pStyle w:val="Piedepgina"/>
      <w:ind w:right="-1"/>
      <w:rPr>
        <w:szCs w:val="16"/>
      </w:rPr>
    </w:pPr>
    <w:r w:rsidRPr="00EB746E">
      <w:rPr>
        <w:rFonts w:ascii="Verdana" w:hAnsi="Verdana"/>
        <w:szCs w:val="16"/>
      </w:rPr>
      <w:t>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8247C" w14:textId="45C8C921" w:rsidR="00F16D09" w:rsidRPr="009160AC" w:rsidRDefault="00F16D09" w:rsidP="00402A5A">
    <w:pPr>
      <w:tabs>
        <w:tab w:val="center" w:pos="4252"/>
        <w:tab w:val="right" w:pos="9072"/>
      </w:tabs>
      <w:spacing w:before="120" w:after="0"/>
      <w:rPr>
        <w:rFonts w:ascii="Century Gothic" w:hAnsi="Century Gothic"/>
        <w:noProof/>
        <w:color w:val="505050"/>
        <w:sz w:val="18"/>
        <w:szCs w:val="18"/>
        <w:lang w:val="es-ES" w:eastAsia="es-ES"/>
      </w:rPr>
    </w:pPr>
    <w:r>
      <w:rPr>
        <w:rFonts w:ascii="Century Gothic" w:hAnsi="Century Gothic"/>
        <w:noProof/>
        <w:color w:val="505050"/>
        <w:sz w:val="18"/>
        <w:szCs w:val="18"/>
        <w:lang w:val="es-ES" w:eastAsia="es-ES"/>
      </w:rPr>
      <w:t>S</w:t>
    </w:r>
    <w:r w:rsidRPr="009160AC">
      <w:rPr>
        <w:rFonts w:ascii="Century Gothic" w:hAnsi="Century Gothic"/>
        <w:noProof/>
        <w:color w:val="505050"/>
        <w:sz w:val="18"/>
        <w:szCs w:val="18"/>
        <w:lang w:val="es-ES" w:eastAsia="es-ES"/>
      </w:rPr>
      <w:t>G de Industria y de la Pequeña y Mediana Empresa</w:t>
    </w:r>
    <w:r w:rsidRPr="009160AC">
      <w:rPr>
        <w:rFonts w:ascii="Century Gothic" w:hAnsi="Century Gothic"/>
        <w:noProof/>
        <w:color w:val="505050"/>
        <w:sz w:val="18"/>
        <w:szCs w:val="18"/>
        <w:lang w:val="es-ES" w:eastAsia="es-ES"/>
      </w:rPr>
      <w:tab/>
      <w:t xml:space="preserve">página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PAGE </w:instrText>
    </w:r>
    <w:r w:rsidRPr="009160AC">
      <w:rPr>
        <w:rFonts w:ascii="Century Gothic" w:hAnsi="Century Gothic"/>
        <w:noProof/>
        <w:color w:val="505050"/>
        <w:sz w:val="18"/>
        <w:szCs w:val="18"/>
        <w:lang w:val="es-ES" w:eastAsia="es-ES"/>
      </w:rPr>
      <w:fldChar w:fldCharType="separate"/>
    </w:r>
    <w:r w:rsidR="00576E76">
      <w:rPr>
        <w:rFonts w:ascii="Century Gothic" w:hAnsi="Century Gothic"/>
        <w:noProof/>
        <w:color w:val="505050"/>
        <w:sz w:val="18"/>
        <w:szCs w:val="18"/>
        <w:lang w:val="es-ES" w:eastAsia="es-ES"/>
      </w:rPr>
      <w:t>2</w:t>
    </w:r>
    <w:r w:rsidRPr="009160AC">
      <w:rPr>
        <w:rFonts w:ascii="Century Gothic" w:hAnsi="Century Gothic"/>
        <w:noProof/>
        <w:color w:val="505050"/>
        <w:sz w:val="18"/>
        <w:szCs w:val="18"/>
        <w:lang w:val="es-ES" w:eastAsia="es-ES"/>
      </w:rPr>
      <w:fldChar w:fldCharType="end"/>
    </w:r>
    <w:r w:rsidRPr="009160AC">
      <w:rPr>
        <w:rFonts w:ascii="Century Gothic" w:hAnsi="Century Gothic"/>
        <w:noProof/>
        <w:color w:val="505050"/>
        <w:sz w:val="18"/>
        <w:szCs w:val="18"/>
        <w:lang w:val="es-ES" w:eastAsia="es-ES"/>
      </w:rPr>
      <w:t xml:space="preserve"> de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NUMPAGES </w:instrText>
    </w:r>
    <w:r w:rsidRPr="009160AC">
      <w:rPr>
        <w:rFonts w:ascii="Century Gothic" w:hAnsi="Century Gothic"/>
        <w:noProof/>
        <w:color w:val="505050"/>
        <w:sz w:val="18"/>
        <w:szCs w:val="18"/>
        <w:lang w:val="es-ES" w:eastAsia="es-ES"/>
      </w:rPr>
      <w:fldChar w:fldCharType="separate"/>
    </w:r>
    <w:r w:rsidR="00576E76">
      <w:rPr>
        <w:rFonts w:ascii="Century Gothic" w:hAnsi="Century Gothic"/>
        <w:noProof/>
        <w:color w:val="505050"/>
        <w:sz w:val="18"/>
        <w:szCs w:val="18"/>
        <w:lang w:val="es-ES" w:eastAsia="es-ES"/>
      </w:rPr>
      <w:t>78</w:t>
    </w:r>
    <w:r w:rsidRPr="009160AC">
      <w:rPr>
        <w:rFonts w:ascii="Century Gothic" w:hAnsi="Century Gothic"/>
        <w:noProof/>
        <w:color w:val="505050"/>
        <w:sz w:val="18"/>
        <w:szCs w:val="18"/>
        <w:lang w:val="es-ES" w:eastAsia="es-ES"/>
      </w:rPr>
      <w:fldChar w:fldCharType="end"/>
    </w:r>
  </w:p>
  <w:p w14:paraId="721C856E" w14:textId="77777777" w:rsidR="00F16D09" w:rsidRPr="009160AC" w:rsidRDefault="00F16D09" w:rsidP="005846FD">
    <w:pPr>
      <w:pStyle w:val="Piedepgina"/>
      <w:rPr>
        <w:rFonts w:ascii="Century Gothic" w:hAnsi="Century Gothic"/>
        <w:sz w:val="18"/>
        <w:szCs w:val="18"/>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4C5AA" w14:textId="77777777" w:rsidR="00F16D09" w:rsidRPr="001D2A51" w:rsidRDefault="00F16D09" w:rsidP="00021471">
    <w:pPr>
      <w:pStyle w:val="FooterDate"/>
      <w:tabs>
        <w:tab w:val="clear" w:pos="9240"/>
        <w:tab w:val="right" w:pos="9072"/>
      </w:tabs>
      <w:ind w:right="-1"/>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5A9AF" w14:textId="77777777" w:rsidR="00F16D09" w:rsidRDefault="00F16D09">
      <w:r>
        <w:separator/>
      </w:r>
    </w:p>
  </w:footnote>
  <w:footnote w:type="continuationSeparator" w:id="0">
    <w:p w14:paraId="33F1100F" w14:textId="77777777" w:rsidR="00F16D09" w:rsidRDefault="00F16D09">
      <w:r>
        <w:continuationSeparator/>
      </w:r>
    </w:p>
  </w:footnote>
  <w:footnote w:id="1">
    <w:p w14:paraId="245B55B4" w14:textId="1CDAA954" w:rsidR="00F16D09" w:rsidRDefault="00F16D09">
      <w:pPr>
        <w:pStyle w:val="Textonotapie"/>
      </w:pPr>
      <w:r>
        <w:rPr>
          <w:rStyle w:val="Refdenotaalpie"/>
        </w:rPr>
        <w:footnoteRef/>
      </w:r>
      <w:r>
        <w:t xml:space="preserve"> Véase anexo VIII para su definición.</w:t>
      </w:r>
    </w:p>
  </w:footnote>
  <w:footnote w:id="2">
    <w:p w14:paraId="1946BBA0" w14:textId="2A449515" w:rsidR="00F16D09" w:rsidRDefault="00F16D09" w:rsidP="00A017E7">
      <w:pPr>
        <w:pStyle w:val="Textonotapie"/>
        <w:tabs>
          <w:tab w:val="left" w:pos="142"/>
        </w:tabs>
        <w:ind w:left="142" w:hanging="142"/>
      </w:pPr>
      <w:r>
        <w:rPr>
          <w:rStyle w:val="Refdenotaalpie"/>
        </w:rPr>
        <w:footnoteRef/>
      </w:r>
      <w:r>
        <w:t xml:space="preserve"> Aunque el marco de referencia de este documento es el ejercicio 2017, se han utilizado fuentes muy diferentes que corresponden, en algunas ocasiones, a distintos años. Se pretende interpretar la situación actual, pero priorizando la visión global del análisis, aunque intentando utilizar fuentes de datos lo más actuales posible. Puede ocurrir que los datos suministrados por las distintas fuentes no se refieran necesariamente al mismo ejercicio.</w:t>
      </w:r>
    </w:p>
  </w:footnote>
  <w:footnote w:id="3">
    <w:p w14:paraId="60A0019A" w14:textId="79023078" w:rsidR="00F16D09" w:rsidRPr="000F0EC0" w:rsidRDefault="00F16D09" w:rsidP="00611EC1">
      <w:pPr>
        <w:pStyle w:val="Textonotapie"/>
        <w:tabs>
          <w:tab w:val="left" w:pos="142"/>
        </w:tabs>
        <w:ind w:left="142" w:hanging="142"/>
        <w:rPr>
          <w:rStyle w:val="Refdenotaalpie"/>
        </w:rPr>
      </w:pPr>
      <w:r>
        <w:rPr>
          <w:rStyle w:val="Refdenotaalpie"/>
        </w:rPr>
        <w:footnoteRef/>
      </w:r>
      <w:r w:rsidRPr="000F0EC0">
        <w:rPr>
          <w:rStyle w:val="Refdenotaalpie"/>
        </w:rPr>
        <w:t xml:space="preserve"> </w:t>
      </w:r>
      <w:r w:rsidRPr="000F0EC0">
        <w:t>Se consideran como PYME sin asalariados los autónomos propiame</w:t>
      </w:r>
      <w:r>
        <w:t>nte dicho sin asalariados</w:t>
      </w:r>
      <w:r w:rsidRPr="000F0EC0">
        <w:t xml:space="preserve"> según los datos trimestrales de la Seguridad Social. Los autónomos propiamente dichos son aquellos trabajadores afiliados a alguno de los regímenes por cuenta propia de la Seguridad Social que no están integrados en sociedades mercantiles, cooperativas ni en otras entidades societarias. Tampoco se consideran autónomos propiamente dicho</w:t>
      </w:r>
      <w:r>
        <w:t>s</w:t>
      </w:r>
      <w:r w:rsidRPr="000F0EC0">
        <w:t xml:space="preserve"> los que figuran como colaboradores familiares y los que están registrados formando parte de algún colectivo especial de trabajadores.</w:t>
      </w:r>
    </w:p>
  </w:footnote>
  <w:footnote w:id="4">
    <w:p w14:paraId="756A6741" w14:textId="77777777" w:rsidR="00F16D09" w:rsidRDefault="00F16D09" w:rsidP="00611EC1">
      <w:pPr>
        <w:pStyle w:val="Textonotapie"/>
      </w:pPr>
      <w:r>
        <w:rPr>
          <w:rStyle w:val="Refdenotaalpie"/>
        </w:rPr>
        <w:footnoteRef/>
      </w:r>
      <w:r>
        <w:t xml:space="preserve"> Incluyen </w:t>
      </w:r>
      <w:r w:rsidRPr="000F0EC0">
        <w:t>511</w:t>
      </w:r>
      <w:r>
        <w:t>.</w:t>
      </w:r>
      <w:r w:rsidRPr="000F0EC0">
        <w:t>183</w:t>
      </w:r>
      <w:r>
        <w:t xml:space="preserve"> personas físicas con asalariados.</w:t>
      </w:r>
    </w:p>
  </w:footnote>
  <w:footnote w:id="5">
    <w:p w14:paraId="09E29FB5" w14:textId="4491A124" w:rsidR="00F16D09" w:rsidRDefault="00F16D09" w:rsidP="00611EC1">
      <w:pPr>
        <w:pStyle w:val="Textonotapie"/>
      </w:pPr>
      <w:r>
        <w:rPr>
          <w:rStyle w:val="Refdenotaalpie"/>
        </w:rPr>
        <w:footnoteRef/>
      </w:r>
      <w:r>
        <w:t xml:space="preserve"> Autónomos propiamente dichos sin asalariados. Ver también nota 3. </w:t>
      </w:r>
    </w:p>
  </w:footnote>
  <w:footnote w:id="6">
    <w:p w14:paraId="1069CAA4" w14:textId="77777777" w:rsidR="006B5618" w:rsidRPr="006B5618" w:rsidRDefault="006B5618" w:rsidP="006B5618">
      <w:pPr>
        <w:pStyle w:val="Textonotapie"/>
      </w:pPr>
      <w:r w:rsidRPr="006B5618">
        <w:rPr>
          <w:rStyle w:val="Refdenotaalpie"/>
        </w:rPr>
        <w:footnoteRef/>
      </w:r>
      <w:r w:rsidRPr="006B5618">
        <w:t xml:space="preserve"> </w:t>
      </w:r>
      <w:r w:rsidRPr="006B5618">
        <w:rPr>
          <w:iCs/>
          <w:lang w:val="en-GB"/>
        </w:rPr>
        <w:t>Comisión Europea, 2017 SME Performance Review</w:t>
      </w:r>
    </w:p>
  </w:footnote>
  <w:footnote w:id="7">
    <w:p w14:paraId="5806F8A7" w14:textId="631B806E" w:rsidR="00F16D09" w:rsidRDefault="00F16D09" w:rsidP="002A2DCD">
      <w:pPr>
        <w:pStyle w:val="Textonotapie"/>
        <w:spacing w:after="60"/>
      </w:pPr>
      <w:r>
        <w:rPr>
          <w:rStyle w:val="Refdenotaalpie"/>
        </w:rPr>
        <w:footnoteRef/>
      </w:r>
      <w:r>
        <w:t xml:space="preserve"> </w:t>
      </w:r>
      <w:r w:rsidRPr="00207684">
        <w:rPr>
          <w:rFonts w:cs="Arial"/>
        </w:rPr>
        <w:t>Porcentaje de población (18-64 años) que ven emprender como una buena opción en su área de residencia</w:t>
      </w:r>
      <w:r>
        <w:rPr>
          <w:rFonts w:cs="Arial"/>
        </w:rPr>
        <w:t>.</w:t>
      </w:r>
    </w:p>
  </w:footnote>
  <w:footnote w:id="8">
    <w:p w14:paraId="1E7DF729" w14:textId="166E5C0F" w:rsidR="00F16D09" w:rsidRPr="00207684" w:rsidRDefault="00F16D09" w:rsidP="002A2DCD">
      <w:pPr>
        <w:pStyle w:val="Textonotapie"/>
        <w:spacing w:after="60"/>
        <w:rPr>
          <w:rFonts w:cs="Arial"/>
        </w:rPr>
      </w:pPr>
      <w:r w:rsidRPr="00207684">
        <w:rPr>
          <w:rStyle w:val="Refdenotaalpie"/>
          <w:rFonts w:cs="Arial"/>
        </w:rPr>
        <w:footnoteRef/>
      </w:r>
      <w:r w:rsidRPr="00207684">
        <w:rPr>
          <w:rFonts w:cs="Arial"/>
        </w:rPr>
        <w:t xml:space="preserve"> </w:t>
      </w:r>
      <w:r>
        <w:rPr>
          <w:rFonts w:cs="Arial"/>
        </w:rPr>
        <w:t>P</w:t>
      </w:r>
      <w:r w:rsidRPr="00207684">
        <w:rPr>
          <w:rFonts w:cs="Arial"/>
        </w:rPr>
        <w:t xml:space="preserve">orcentaje de población (18-64 años) que son emprendedores latentes y </w:t>
      </w:r>
      <w:r>
        <w:rPr>
          <w:rFonts w:cs="Arial"/>
        </w:rPr>
        <w:t>cuya intención es</w:t>
      </w:r>
      <w:r w:rsidRPr="00207684">
        <w:rPr>
          <w:rFonts w:cs="Arial"/>
        </w:rPr>
        <w:t xml:space="preserve"> </w:t>
      </w:r>
      <w:r>
        <w:rPr>
          <w:rFonts w:cs="Arial"/>
        </w:rPr>
        <w:t>emprender</w:t>
      </w:r>
      <w:r w:rsidRPr="00207684">
        <w:rPr>
          <w:rFonts w:cs="Arial"/>
        </w:rPr>
        <w:t xml:space="preserve"> en los próximos 3 años</w:t>
      </w:r>
      <w:r>
        <w:rPr>
          <w:rFonts w:cs="Arial"/>
        </w:rPr>
        <w:t>.</w:t>
      </w:r>
    </w:p>
  </w:footnote>
  <w:footnote w:id="9">
    <w:p w14:paraId="617FA739" w14:textId="059CDD29" w:rsidR="00F16D09" w:rsidRDefault="00F16D09" w:rsidP="002A2DCD">
      <w:pPr>
        <w:pStyle w:val="Textonotapie"/>
        <w:spacing w:after="60"/>
      </w:pPr>
      <w:r>
        <w:rPr>
          <w:rStyle w:val="Refdenotaalpie"/>
        </w:rPr>
        <w:footnoteRef/>
      </w:r>
      <w:r>
        <w:t xml:space="preserve"> Porcentaje de población (18-64 años) que están de acuerdo con que emprender brinda estatus social y económico.</w:t>
      </w:r>
    </w:p>
  </w:footnote>
  <w:footnote w:id="10">
    <w:p w14:paraId="793F32E9" w14:textId="48FD7D82" w:rsidR="00F16D09" w:rsidRDefault="00F16D09" w:rsidP="00C5656B">
      <w:pPr>
        <w:pStyle w:val="Textonotapie"/>
        <w:spacing w:after="120"/>
      </w:pPr>
      <w:r>
        <w:rPr>
          <w:rStyle w:val="Refdenotaalpie"/>
        </w:rPr>
        <w:footnoteRef/>
      </w:r>
      <w:r>
        <w:t xml:space="preserve"> Porcentaje de población (18-64 años) que están de acuerdo con que emprender es una buena opción como carrera profesional.</w:t>
      </w:r>
    </w:p>
  </w:footnote>
  <w:footnote w:id="11">
    <w:p w14:paraId="2F160A46" w14:textId="6DE0BFAD" w:rsidR="00F16D09" w:rsidRDefault="00F16D09">
      <w:pPr>
        <w:pStyle w:val="Textonotapie"/>
      </w:pPr>
      <w:r>
        <w:rPr>
          <w:rStyle w:val="Refdenotaalpie"/>
        </w:rPr>
        <w:footnoteRef/>
      </w:r>
      <w:r>
        <w:t xml:space="preserve"> Suma del porcentaje de emprendedores nacientes y de emprendedores nuevos.</w:t>
      </w:r>
    </w:p>
  </w:footnote>
  <w:footnote w:id="12">
    <w:p w14:paraId="7A9C010B" w14:textId="77777777" w:rsidR="00F16D09" w:rsidRPr="00675511" w:rsidRDefault="00F16D09" w:rsidP="00F50FFA">
      <w:pPr>
        <w:pStyle w:val="Textonotapie"/>
        <w:spacing w:after="120"/>
      </w:pPr>
      <w:r>
        <w:rPr>
          <w:rStyle w:val="Refdenotaalpie"/>
        </w:rPr>
        <w:footnoteRef/>
      </w:r>
      <w:r>
        <w:t xml:space="preserve"> P</w:t>
      </w:r>
      <w:r w:rsidRPr="004C0E4E">
        <w:t>l</w:t>
      </w:r>
      <w:r>
        <w:t>an de Acción sobre Emprendimiento 2020 – COM (2012) 795 final</w:t>
      </w:r>
    </w:p>
  </w:footnote>
  <w:footnote w:id="13">
    <w:p w14:paraId="643FC30F" w14:textId="08764E17" w:rsidR="00F16D09" w:rsidRDefault="00F16D09" w:rsidP="00371E70">
      <w:pPr>
        <w:pStyle w:val="Textonotapie"/>
        <w:spacing w:after="0"/>
      </w:pPr>
      <w:r>
        <w:rPr>
          <w:rStyle w:val="Refdenotaalpie"/>
        </w:rPr>
        <w:footnoteRef/>
      </w:r>
      <w:r>
        <w:t xml:space="preserve"> Actualmente contabilizamos más de 4.000 Puntos de Atención al Emprendedor en España derivados de la firma de más de 300 convenios. De hecho, el informe del Observatorio de la PYME, “Servicios de apoyo a la persona emprendedora en España” de marzo de 2010 ya manifestaba que “resulta prácticamente imposible contabilizar todas las plataformas debido a su atomización, ya que comprenden desde iniciativas ministeriales hasta asociaciones empresariales sectoriales y/o locales”. Este estudio contabilizaba ya más de 2.800 plataformas.</w:t>
      </w:r>
    </w:p>
  </w:footnote>
  <w:footnote w:id="14">
    <w:p w14:paraId="721DD557" w14:textId="61374D82" w:rsidR="00F16D09" w:rsidRPr="00861EC5" w:rsidRDefault="00F16D09">
      <w:pPr>
        <w:pStyle w:val="Textonotapie"/>
      </w:pPr>
      <w:r>
        <w:rPr>
          <w:rStyle w:val="Refdenotaalpie"/>
        </w:rPr>
        <w:footnoteRef/>
      </w:r>
      <w:r w:rsidRPr="00861EC5">
        <w:t xml:space="preserve"> </w:t>
      </w:r>
      <w:r w:rsidRPr="00BB5008">
        <w:rPr>
          <w:szCs w:val="18"/>
        </w:rPr>
        <w:t>OECD Skills Strategy Informe de Diagnóstico España 2015</w:t>
      </w:r>
    </w:p>
  </w:footnote>
  <w:footnote w:id="15">
    <w:p w14:paraId="6DA5C90A" w14:textId="77777777" w:rsidR="00F16D09" w:rsidRPr="00861EC5" w:rsidRDefault="00F16D09" w:rsidP="00DE3703">
      <w:pPr>
        <w:pStyle w:val="Textonotapie"/>
        <w:spacing w:after="0"/>
        <w:rPr>
          <w:lang w:val="en-GB"/>
        </w:rPr>
      </w:pPr>
      <w:r>
        <w:rPr>
          <w:rStyle w:val="Refdenotaalpie"/>
        </w:rPr>
        <w:footnoteRef/>
      </w:r>
      <w:r w:rsidRPr="00861EC5">
        <w:rPr>
          <w:lang w:val="en-GB"/>
        </w:rPr>
        <w:t xml:space="preserve"> OCDE (2014), </w:t>
      </w:r>
      <w:r w:rsidRPr="00861EC5">
        <w:rPr>
          <w:i/>
          <w:lang w:val="en-GB"/>
        </w:rPr>
        <w:t>Education Policy Outlook for Spain</w:t>
      </w:r>
    </w:p>
  </w:footnote>
  <w:footnote w:id="16">
    <w:p w14:paraId="0C1E6A2A" w14:textId="77777777" w:rsidR="00F16D09" w:rsidRDefault="00F16D09" w:rsidP="00DE3703">
      <w:pPr>
        <w:pStyle w:val="Textonotapie"/>
        <w:spacing w:after="0"/>
      </w:pPr>
      <w:r>
        <w:rPr>
          <w:rStyle w:val="Refdenotaalpie"/>
        </w:rPr>
        <w:footnoteRef/>
      </w:r>
      <w:r>
        <w:t xml:space="preserve"> Instituto Valenciano de Investigaciones Económicas (2014), </w:t>
      </w:r>
      <w:r w:rsidRPr="0061375B">
        <w:rPr>
          <w:i/>
        </w:rPr>
        <w:t>El abandono educativo temprano: análisis del caso español</w:t>
      </w:r>
    </w:p>
  </w:footnote>
  <w:footnote w:id="17">
    <w:p w14:paraId="23448A8A" w14:textId="77777777" w:rsidR="00F16D09" w:rsidRDefault="00F16D09" w:rsidP="00E93182">
      <w:pPr>
        <w:pStyle w:val="Textonotapie"/>
        <w:spacing w:after="120"/>
      </w:pPr>
      <w:r>
        <w:rPr>
          <w:rStyle w:val="Refdenotaalpie"/>
        </w:rPr>
        <w:footnoteRef/>
      </w:r>
      <w:r>
        <w:t xml:space="preserve"> Círculo de Empresarios (2017), </w:t>
      </w:r>
      <w:r w:rsidRPr="00413CE2">
        <w:rPr>
          <w:i/>
        </w:rPr>
        <w:t>La imagen del empresario en los libros de texto</w:t>
      </w:r>
      <w:r>
        <w:rPr>
          <w:i/>
        </w:rPr>
        <w:t>.</w:t>
      </w:r>
    </w:p>
  </w:footnote>
  <w:footnote w:id="18">
    <w:p w14:paraId="5596E8C6" w14:textId="3478BABB" w:rsidR="00F16D09" w:rsidRDefault="00F16D09" w:rsidP="00B712C8">
      <w:pPr>
        <w:pStyle w:val="Textonotapie"/>
        <w:tabs>
          <w:tab w:val="left" w:pos="142"/>
        </w:tabs>
        <w:spacing w:after="120"/>
        <w:ind w:left="142" w:hanging="142"/>
      </w:pPr>
      <w:r>
        <w:rPr>
          <w:rStyle w:val="Refdenotaalpie"/>
        </w:rPr>
        <w:footnoteRef/>
      </w:r>
      <w:r>
        <w:t xml:space="preserve"> Véase el Informe subnacional del </w:t>
      </w:r>
      <w:r w:rsidRPr="00464863">
        <w:t>Doing Business en España 2015</w:t>
      </w:r>
      <w:r>
        <w:t>.</w:t>
      </w:r>
    </w:p>
  </w:footnote>
  <w:footnote w:id="19">
    <w:p w14:paraId="7709E3CB" w14:textId="789C907D" w:rsidR="00F16D09" w:rsidRPr="0036317E" w:rsidRDefault="00F16D09" w:rsidP="00B712C8">
      <w:pPr>
        <w:pStyle w:val="Textonotapie"/>
        <w:spacing w:after="120"/>
        <w:rPr>
          <w:lang w:val="en-US"/>
        </w:rPr>
      </w:pPr>
      <w:r>
        <w:rPr>
          <w:rStyle w:val="Refdenotaalpie"/>
        </w:rPr>
        <w:footnoteRef/>
      </w:r>
      <w:r w:rsidRPr="0036317E">
        <w:rPr>
          <w:lang w:val="en-US"/>
        </w:rPr>
        <w:t xml:space="preserve"> Business Dynamics:</w:t>
      </w:r>
      <w:r>
        <w:rPr>
          <w:lang w:val="en-US"/>
        </w:rPr>
        <w:t xml:space="preserve"> Start-Ups, Business Transfers a</w:t>
      </w:r>
      <w:r w:rsidRPr="0036317E">
        <w:rPr>
          <w:lang w:val="en-US"/>
        </w:rPr>
        <w:t>nd Bankruptcy 2011</w:t>
      </w:r>
      <w:r>
        <w:rPr>
          <w:lang w:val="en-US"/>
        </w:rPr>
        <w:t>.</w:t>
      </w:r>
    </w:p>
  </w:footnote>
  <w:footnote w:id="20">
    <w:p w14:paraId="5174ED10" w14:textId="01335A3F" w:rsidR="00F16D09" w:rsidRPr="00B47BB9" w:rsidRDefault="00F16D09" w:rsidP="00F56B69">
      <w:pPr>
        <w:pStyle w:val="Textonotapie"/>
        <w:tabs>
          <w:tab w:val="left" w:pos="284"/>
        </w:tabs>
        <w:spacing w:after="80"/>
        <w:ind w:left="284" w:hanging="284"/>
      </w:pPr>
      <w:r>
        <w:rPr>
          <w:rStyle w:val="Refdenotaalpie"/>
        </w:rPr>
        <w:footnoteRef/>
      </w:r>
      <w:r>
        <w:t xml:space="preserve"> </w:t>
      </w:r>
      <w:r>
        <w:tab/>
      </w:r>
      <w:r w:rsidRPr="00E20CEF">
        <w:t>EUROSTAT, Business demography statistics</w:t>
      </w:r>
      <w:r w:rsidRPr="00CC239B">
        <w:t xml:space="preserve"> (</w:t>
      </w:r>
      <w:r>
        <w:rPr>
          <w:i/>
        </w:rPr>
        <w:t>n</w:t>
      </w:r>
      <w:r w:rsidRPr="00413CE2">
        <w:t xml:space="preserve">o hay datos disponibles </w:t>
      </w:r>
      <w:r>
        <w:t>de</w:t>
      </w:r>
      <w:r w:rsidRPr="00413CE2">
        <w:t xml:space="preserve"> Ir</w:t>
      </w:r>
      <w:r>
        <w:t>landa, Croacia, Grecia y Malta)</w:t>
      </w:r>
    </w:p>
  </w:footnote>
  <w:footnote w:id="21">
    <w:p w14:paraId="2EDB993B" w14:textId="05EBC5DA" w:rsidR="00F16D09" w:rsidRDefault="00F16D09" w:rsidP="0015589B">
      <w:pPr>
        <w:pStyle w:val="Textonotapie"/>
      </w:pPr>
      <w:r>
        <w:rPr>
          <w:rStyle w:val="Refdenotaalpie"/>
        </w:rPr>
        <w:footnoteRef/>
      </w:r>
      <w:r>
        <w:t xml:space="preserve"> Un ejemplo es la </w:t>
      </w:r>
      <w:r w:rsidRPr="001A50AA">
        <w:rPr>
          <w:i/>
        </w:rPr>
        <w:t>student visa</w:t>
      </w:r>
      <w:r>
        <w:t xml:space="preserve"> en Australia.</w:t>
      </w:r>
    </w:p>
  </w:footnote>
  <w:footnote w:id="22">
    <w:p w14:paraId="512192BF" w14:textId="77777777" w:rsidR="00F16D09" w:rsidRPr="008A2A0A" w:rsidRDefault="00F16D09" w:rsidP="0012279F">
      <w:pPr>
        <w:pStyle w:val="Textonotapie"/>
        <w:spacing w:after="120"/>
      </w:pPr>
      <w:r>
        <w:rPr>
          <w:rStyle w:val="Refdenotaalpie"/>
        </w:rPr>
        <w:footnoteRef/>
      </w:r>
      <w:r>
        <w:t xml:space="preserve"> </w:t>
      </w:r>
      <w:r w:rsidRPr="00413CE2">
        <w:t xml:space="preserve">Comisión Europea (2016), </w:t>
      </w:r>
      <w:r w:rsidRPr="00413CE2">
        <w:rPr>
          <w:i/>
        </w:rPr>
        <w:t>Semestre Europeo - Informe sobre España 2016</w:t>
      </w:r>
    </w:p>
  </w:footnote>
  <w:footnote w:id="23">
    <w:p w14:paraId="10077FB5" w14:textId="77777777" w:rsidR="00F16D09" w:rsidRPr="0081646A" w:rsidRDefault="00F16D09" w:rsidP="0012279F">
      <w:pPr>
        <w:pStyle w:val="Textonotapie"/>
        <w:spacing w:after="120"/>
      </w:pPr>
      <w:r w:rsidRPr="0081646A">
        <w:rPr>
          <w:rStyle w:val="Refdenotaalpie"/>
        </w:rPr>
        <w:footnoteRef/>
      </w:r>
      <w:r w:rsidRPr="0081646A">
        <w:t xml:space="preserve"> </w:t>
      </w:r>
      <w:r w:rsidRPr="0081646A">
        <w:rPr>
          <w:bCs/>
        </w:rPr>
        <w:t>Estudios Económicos de la OCDE – España. Marzo 2017</w:t>
      </w:r>
    </w:p>
  </w:footnote>
  <w:footnote w:id="24">
    <w:p w14:paraId="0ABAFFD3" w14:textId="77777777" w:rsidR="00F16D09" w:rsidRPr="00907F71" w:rsidRDefault="00F16D09" w:rsidP="000B4FD4">
      <w:pPr>
        <w:pStyle w:val="Textonotapie"/>
      </w:pPr>
      <w:r>
        <w:rPr>
          <w:rStyle w:val="Refdenotaalpie"/>
        </w:rPr>
        <w:footnoteRef/>
      </w:r>
      <w:r w:rsidRPr="00907F71">
        <w:t xml:space="preserve"> OCDE (2015), Entrepreneurship at glance</w:t>
      </w:r>
    </w:p>
  </w:footnote>
  <w:footnote w:id="25">
    <w:p w14:paraId="4AA36234" w14:textId="77777777" w:rsidR="00F16D09" w:rsidRPr="00C62F3E" w:rsidRDefault="00F16D09" w:rsidP="007734C2">
      <w:pPr>
        <w:pStyle w:val="Textonotapie"/>
        <w:spacing w:after="120"/>
      </w:pPr>
      <w:r>
        <w:rPr>
          <w:rStyle w:val="Refdenotaalpie"/>
        </w:rPr>
        <w:footnoteRef/>
      </w:r>
      <w:r>
        <w:t xml:space="preserve"> </w:t>
      </w:r>
      <w:r w:rsidRPr="00C62F3E">
        <w:t>El mercado de trabajo se caracteriza por contar con una</w:t>
      </w:r>
      <w:r>
        <w:t xml:space="preserve"> </w:t>
      </w:r>
      <w:r w:rsidRPr="00C62F3E">
        <w:t>elevada proporción de trabajadores temporales (25,7% en 2015</w:t>
      </w:r>
      <w:r>
        <w:t xml:space="preserve">). Fuente: </w:t>
      </w:r>
      <w:r w:rsidRPr="00C62F3E">
        <w:rPr>
          <w:bCs/>
          <w:lang w:val="es-ES_tradnl"/>
        </w:rPr>
        <w:t>Estudios Económicos de la OCDE – España. Marzo 2017.</w:t>
      </w:r>
    </w:p>
  </w:footnote>
  <w:footnote w:id="26">
    <w:p w14:paraId="6EA18561" w14:textId="508BD4BB" w:rsidR="00F16D09" w:rsidRDefault="00F16D09">
      <w:pPr>
        <w:pStyle w:val="Textonotapie"/>
      </w:pPr>
      <w:r>
        <w:rPr>
          <w:rStyle w:val="Refdenotaalpie"/>
        </w:rPr>
        <w:footnoteRef/>
      </w:r>
      <w:r>
        <w:t xml:space="preserve"> La gestión del talento en las PYME. Randstad.</w:t>
      </w:r>
    </w:p>
  </w:footnote>
  <w:footnote w:id="27">
    <w:p w14:paraId="4C8458AB" w14:textId="5BB52750" w:rsidR="00F16D09" w:rsidRDefault="00F16D09" w:rsidP="005B1D1C">
      <w:pPr>
        <w:pStyle w:val="Textonotapie"/>
      </w:pPr>
      <w:r>
        <w:rPr>
          <w:rStyle w:val="Refdenotaalpie"/>
        </w:rPr>
        <w:footnoteRef/>
      </w:r>
      <w:r>
        <w:t xml:space="preserve"> Emprendimiento corporativo en España. Gacelas y elefantes bailan sin pisarse. </w:t>
      </w:r>
    </w:p>
  </w:footnote>
  <w:footnote w:id="28">
    <w:p w14:paraId="5954C119" w14:textId="77777777" w:rsidR="00F16D09" w:rsidRDefault="00F16D09" w:rsidP="007734C2">
      <w:pPr>
        <w:pStyle w:val="Textonotapie"/>
        <w:spacing w:after="120"/>
      </w:pPr>
      <w:r>
        <w:rPr>
          <w:rStyle w:val="Refdenotaalpie"/>
        </w:rPr>
        <w:footnoteRef/>
      </w:r>
      <w:r>
        <w:t xml:space="preserve"> Servicio Público de Empleo Estatal (2014), </w:t>
      </w:r>
      <w:r w:rsidRPr="006C2C5C">
        <w:rPr>
          <w:i/>
        </w:rPr>
        <w:t>Estrategia Española de Activación para el Empleo</w:t>
      </w:r>
      <w:r>
        <w:rPr>
          <w:i/>
        </w:rPr>
        <w:t xml:space="preserve"> </w:t>
      </w:r>
      <w:r w:rsidRPr="006C2C5C">
        <w:rPr>
          <w:i/>
        </w:rPr>
        <w:t>2014-2016</w:t>
      </w:r>
    </w:p>
  </w:footnote>
  <w:footnote w:id="29">
    <w:p w14:paraId="2380B1BA" w14:textId="77777777" w:rsidR="00F16D09" w:rsidRDefault="00F16D09" w:rsidP="007734C2">
      <w:pPr>
        <w:pStyle w:val="Textonotapie"/>
        <w:spacing w:after="120"/>
      </w:pPr>
      <w:r>
        <w:rPr>
          <w:rStyle w:val="Refdenotaalpie"/>
        </w:rPr>
        <w:footnoteRef/>
      </w:r>
      <w:r>
        <w:t xml:space="preserve"> </w:t>
      </w:r>
      <w:r w:rsidRPr="00E76E32">
        <w:rPr>
          <w:bCs/>
        </w:rPr>
        <w:t xml:space="preserve">Estudios Económicos de la OCDE – España. </w:t>
      </w:r>
      <w:r w:rsidRPr="00444A0F">
        <w:rPr>
          <w:bCs/>
        </w:rPr>
        <w:t>Marzo 2017</w:t>
      </w:r>
    </w:p>
  </w:footnote>
  <w:footnote w:id="30">
    <w:p w14:paraId="1B2EF7A7" w14:textId="77777777" w:rsidR="00F16D09" w:rsidRDefault="00F16D09" w:rsidP="007734C2">
      <w:pPr>
        <w:pStyle w:val="Textonotapie"/>
        <w:spacing w:after="120"/>
      </w:pPr>
      <w:r>
        <w:rPr>
          <w:rStyle w:val="Refdenotaalpie"/>
        </w:rPr>
        <w:footnoteRef/>
      </w:r>
      <w:r>
        <w:t xml:space="preserve"> Es un conjunto de datos obtenidos de varios países (con carácter interprofesional), el cual ha sido construido con el objetivo de medir las prácticas de gestión de algunas empresas representativas en distintos sectores.</w:t>
      </w:r>
    </w:p>
  </w:footnote>
  <w:footnote w:id="31">
    <w:p w14:paraId="0C21BF3A" w14:textId="77777777" w:rsidR="00F16D09" w:rsidRDefault="00F16D09" w:rsidP="007734C2">
      <w:pPr>
        <w:pStyle w:val="Textonotapie"/>
        <w:spacing w:after="120"/>
      </w:pPr>
      <w:r>
        <w:rPr>
          <w:rStyle w:val="Refdenotaalpie"/>
        </w:rPr>
        <w:footnoteRef/>
      </w:r>
      <w:r>
        <w:t xml:space="preserve"> El I</w:t>
      </w:r>
      <w:r w:rsidRPr="00197E47">
        <w:t>nterim manage</w:t>
      </w:r>
      <w:r>
        <w:t>ment</w:t>
      </w:r>
      <w:r w:rsidRPr="00197E47">
        <w:t xml:space="preserve"> identifica a profesionales con dilatada experiencia en dirección y gestión que se incorporan de forma externa a una empresa para llevar a cabo </w:t>
      </w:r>
      <w:r>
        <w:t>un proyecto</w:t>
      </w:r>
      <w:r w:rsidRPr="00197E47">
        <w:t xml:space="preserve"> muy concret</w:t>
      </w:r>
      <w:r>
        <w:t>o</w:t>
      </w:r>
      <w:r w:rsidRPr="00197E47">
        <w:t xml:space="preserve"> durante un plazo de tiempo determinado y con unos objetivos previamente definidos.</w:t>
      </w:r>
    </w:p>
  </w:footnote>
  <w:footnote w:id="32">
    <w:p w14:paraId="29DF417A" w14:textId="77777777" w:rsidR="00F16D09" w:rsidRPr="00F32AF5" w:rsidRDefault="00F16D09" w:rsidP="00BB6C80">
      <w:pPr>
        <w:pStyle w:val="Textonotapie"/>
        <w:rPr>
          <w:lang w:val="en-US"/>
        </w:rPr>
      </w:pPr>
      <w:r>
        <w:rPr>
          <w:rStyle w:val="Refdenotaalpie"/>
        </w:rPr>
        <w:footnoteRef/>
      </w:r>
      <w:r w:rsidRPr="00F32AF5">
        <w:rPr>
          <w:lang w:val="en-US"/>
        </w:rPr>
        <w:t xml:space="preserve"> Comisión Europea (2017), SBA Fact Sheet</w:t>
      </w:r>
      <w:r>
        <w:rPr>
          <w:lang w:val="en-US"/>
        </w:rPr>
        <w:t xml:space="preserve"> for Spain</w:t>
      </w:r>
    </w:p>
  </w:footnote>
  <w:footnote w:id="33">
    <w:p w14:paraId="3859CABD" w14:textId="58C3B7E2" w:rsidR="00F16D09" w:rsidRPr="00212E36" w:rsidRDefault="00F16D09" w:rsidP="00EE6493">
      <w:pPr>
        <w:pStyle w:val="Textonotapie"/>
        <w:spacing w:after="120"/>
      </w:pPr>
      <w:r>
        <w:rPr>
          <w:rStyle w:val="Refdenotaalpie"/>
        </w:rPr>
        <w:footnoteRef/>
      </w:r>
      <w:r w:rsidRPr="003F344B">
        <w:t xml:space="preserve"> Almunia. </w:t>
      </w:r>
      <w:r w:rsidRPr="006D0B14">
        <w:t xml:space="preserve">M., López Rodríguez, D., (2014). </w:t>
      </w:r>
      <w:r w:rsidRPr="0069673D">
        <w:rPr>
          <w:i/>
          <w:lang w:val="en-US"/>
        </w:rPr>
        <w:t xml:space="preserve">Heterogeneous responses to effective tax enforcement: evidence from Spanish firms. </w:t>
      </w:r>
      <w:r w:rsidRPr="00212E36">
        <w:rPr>
          <w:i/>
        </w:rPr>
        <w:t>Oxford University Center for business taxation</w:t>
      </w:r>
      <w:r w:rsidRPr="00212E36">
        <w:t>. Working paper series/2014.</w:t>
      </w:r>
    </w:p>
  </w:footnote>
  <w:footnote w:id="34">
    <w:p w14:paraId="67C395FD" w14:textId="77777777" w:rsidR="00F16D09" w:rsidRPr="00212E36" w:rsidRDefault="00F16D09" w:rsidP="00EE6493">
      <w:pPr>
        <w:pStyle w:val="Textonotapie"/>
        <w:spacing w:after="120"/>
      </w:pPr>
      <w:r>
        <w:rPr>
          <w:rStyle w:val="Refdenotaalpie"/>
        </w:rPr>
        <w:footnoteRef/>
      </w:r>
      <w:r w:rsidRPr="00212E36">
        <w:t xml:space="preserve"> Comisión Europea (2016), </w:t>
      </w:r>
      <w:r w:rsidRPr="00212E36">
        <w:rPr>
          <w:i/>
        </w:rPr>
        <w:t>Semestre Europeo - Informe sobre España 2016</w:t>
      </w:r>
    </w:p>
  </w:footnote>
  <w:footnote w:id="35">
    <w:p w14:paraId="00FD84F0" w14:textId="77777777" w:rsidR="00F16D09" w:rsidRPr="0085074D" w:rsidRDefault="00F16D09" w:rsidP="00EE6493">
      <w:pPr>
        <w:pStyle w:val="Textonotapie"/>
        <w:spacing w:after="120"/>
      </w:pPr>
      <w:r>
        <w:rPr>
          <w:rStyle w:val="Refdenotaalpie"/>
        </w:rPr>
        <w:footnoteRef/>
      </w:r>
      <w:r w:rsidRPr="0085074D">
        <w:t xml:space="preserve"> Instituto Empresa Familiar (2017). La dimensión</w:t>
      </w:r>
      <w:r>
        <w:t xml:space="preserve"> </w:t>
      </w:r>
      <w:r w:rsidRPr="0085074D">
        <w:t>empresarial</w:t>
      </w:r>
      <w:r>
        <w:t xml:space="preserve"> </w:t>
      </w:r>
      <w:r w:rsidRPr="0085074D">
        <w:t>como factor de competitividad</w:t>
      </w:r>
      <w:r>
        <w:t>.</w:t>
      </w:r>
    </w:p>
  </w:footnote>
  <w:footnote w:id="36">
    <w:p w14:paraId="447D4AF8" w14:textId="77777777" w:rsidR="00F16D09" w:rsidRPr="00EE6493" w:rsidRDefault="00F16D09" w:rsidP="00EE6493">
      <w:pPr>
        <w:pStyle w:val="Textonotapie"/>
        <w:spacing w:after="120"/>
      </w:pPr>
      <w:r>
        <w:rPr>
          <w:rStyle w:val="Refdenotaalpie"/>
        </w:rPr>
        <w:footnoteRef/>
      </w:r>
      <w:r w:rsidRPr="00EE6493">
        <w:t xml:space="preserve"> CEOE (201</w:t>
      </w:r>
      <w:r>
        <w:t>8</w:t>
      </w:r>
      <w:r w:rsidRPr="00EE6493">
        <w:t>). La producción normativ</w:t>
      </w:r>
      <w:r>
        <w:t>a</w:t>
      </w:r>
      <w:r w:rsidRPr="00EE6493">
        <w:t xml:space="preserve"> en 2017</w:t>
      </w:r>
    </w:p>
  </w:footnote>
  <w:footnote w:id="37">
    <w:p w14:paraId="741AFB55" w14:textId="5C929160" w:rsidR="00F16D09" w:rsidRPr="00651CCB" w:rsidRDefault="00F16D09" w:rsidP="005470EB">
      <w:pPr>
        <w:pStyle w:val="Textonotapie"/>
        <w:spacing w:after="120"/>
        <w:ind w:left="0" w:firstLine="0"/>
      </w:pPr>
      <w:r>
        <w:rPr>
          <w:rStyle w:val="Refdenotaalpie"/>
        </w:rPr>
        <w:footnoteRef/>
      </w:r>
      <w:r w:rsidRPr="00651CCB">
        <w:t xml:space="preserve"> </w:t>
      </w:r>
      <w:r>
        <w:t>S</w:t>
      </w:r>
      <w:r w:rsidRPr="00651CCB">
        <w:t>tart-ups</w:t>
      </w:r>
      <w:r>
        <w:t xml:space="preserve"> (empresas emergentes)</w:t>
      </w:r>
      <w:r w:rsidRPr="00651CCB">
        <w:t xml:space="preserve">: empresas de muy reciente creación (inferior a 3 años) y que están afrontando los retos derivados de la consolidación de sus modelos de negocio y la apertura de sus mercados. </w:t>
      </w:r>
      <w:r>
        <w:t>Sus</w:t>
      </w:r>
      <w:r w:rsidRPr="00651CCB">
        <w:t xml:space="preserve"> problemas principales son los derivados del acceso a la financiación adecuada para su consolidación. Una vez que ésta se produce, están preparadas para dar el salto a scale-up.</w:t>
      </w:r>
    </w:p>
    <w:p w14:paraId="0E122B56" w14:textId="3EE8BC59" w:rsidR="00F16D09" w:rsidRPr="00651CCB" w:rsidRDefault="00F16D09" w:rsidP="005470EB">
      <w:pPr>
        <w:pStyle w:val="Textonotapie"/>
        <w:spacing w:after="120"/>
        <w:ind w:left="0" w:firstLine="0"/>
      </w:pPr>
      <w:r w:rsidRPr="00651CCB">
        <w:t>Scale</w:t>
      </w:r>
      <w:r>
        <w:t>-u</w:t>
      </w:r>
      <w:r w:rsidRPr="00651CCB">
        <w:t>ps</w:t>
      </w:r>
      <w:r>
        <w:t xml:space="preserve"> (empresas en expansión)</w:t>
      </w:r>
      <w:r w:rsidRPr="00651CCB">
        <w:t>: empresas medianas (&gt;50 empleados) de rápido crecimiento, que han superado las etapas iniciales de consolidación y presentan tasas de creación de empleo superiores al 20% interanual durante, al menos, tres ejercicios consecutivos. Se caracterizan, además, por ser más productivas que sus homólogas en tamaño. Requieren encontrar personal adecuadamente formado y tienen necesidades relacionadas con la salida a nuevos mercados o de financiación de sus planes de crecimiento.</w:t>
      </w:r>
    </w:p>
  </w:footnote>
  <w:footnote w:id="38">
    <w:p w14:paraId="555E093D" w14:textId="582C4C38" w:rsidR="00F16D09" w:rsidRPr="00EA5ACC" w:rsidRDefault="00F16D09" w:rsidP="00651CCB">
      <w:pPr>
        <w:pStyle w:val="Textonotapie"/>
        <w:spacing w:after="120"/>
        <w:rPr>
          <w:lang w:val="en-US"/>
        </w:rPr>
      </w:pPr>
      <w:r>
        <w:rPr>
          <w:rStyle w:val="Refdenotaalpie"/>
        </w:rPr>
        <w:footnoteRef/>
      </w:r>
      <w:r w:rsidRPr="00EA5ACC">
        <w:rPr>
          <w:lang w:val="en-US"/>
        </w:rPr>
        <w:t xml:space="preserve"> Comisión Europea (2017), SBA Fact Sheet for Spain</w:t>
      </w:r>
    </w:p>
  </w:footnote>
  <w:footnote w:id="39">
    <w:p w14:paraId="73BBE0B6" w14:textId="3C4FC692" w:rsidR="00F16D09" w:rsidRDefault="00F16D09" w:rsidP="00651CCB">
      <w:pPr>
        <w:pStyle w:val="Textonotapie"/>
        <w:spacing w:after="120"/>
      </w:pPr>
      <w:r>
        <w:rPr>
          <w:rStyle w:val="Refdenotaalpie"/>
        </w:rPr>
        <w:footnoteRef/>
      </w:r>
      <w:r>
        <w:t xml:space="preserve"> </w:t>
      </w:r>
      <w:r w:rsidRPr="00C27BC5">
        <w:rPr>
          <w:bCs/>
        </w:rPr>
        <w:t>SEC (2008) 2193 de 25 de junio de 2008</w:t>
      </w:r>
    </w:p>
  </w:footnote>
  <w:footnote w:id="40">
    <w:p w14:paraId="555C96D7" w14:textId="3ED3DE33" w:rsidR="00F16D09" w:rsidRDefault="00F16D09" w:rsidP="00625098">
      <w:pPr>
        <w:pStyle w:val="Textonotapie"/>
        <w:spacing w:after="120"/>
      </w:pPr>
      <w:r>
        <w:rPr>
          <w:rStyle w:val="Refdenotaalpie"/>
        </w:rPr>
        <w:footnoteRef/>
      </w:r>
      <w:r>
        <w:t xml:space="preserve"> Datos correspondientes al período comprendido entre octubre de 2017 y marzo de 2018.</w:t>
      </w:r>
    </w:p>
    <w:p w14:paraId="68C7966E" w14:textId="628B2163" w:rsidR="00F16D09" w:rsidRDefault="00F16D09" w:rsidP="00E70B1F">
      <w:pPr>
        <w:pStyle w:val="Textonotapie"/>
        <w:spacing w:after="120"/>
        <w:ind w:left="0" w:firstLine="0"/>
      </w:pPr>
    </w:p>
  </w:footnote>
  <w:footnote w:id="41">
    <w:p w14:paraId="26AECA21" w14:textId="77777777" w:rsidR="00F16D09" w:rsidRPr="003F344B" w:rsidRDefault="00F16D09" w:rsidP="00AB6546">
      <w:pPr>
        <w:pStyle w:val="Textonotapie"/>
        <w:spacing w:after="120"/>
      </w:pPr>
      <w:r>
        <w:rPr>
          <w:rStyle w:val="Refdenotaalpie"/>
        </w:rPr>
        <w:footnoteRef/>
      </w:r>
      <w:r w:rsidRPr="003F344B">
        <w:t xml:space="preserve"> BCE. Datos de octubre de 2015. Tipos de interés bancario: préstamos a empresas de hasta 1 millón EUR</w:t>
      </w:r>
    </w:p>
  </w:footnote>
  <w:footnote w:id="42">
    <w:p w14:paraId="2DB46FD4" w14:textId="0EAFE623" w:rsidR="00F16D09" w:rsidRPr="002506CD" w:rsidRDefault="00F16D09" w:rsidP="00392228">
      <w:pPr>
        <w:pStyle w:val="Textonotapie"/>
        <w:rPr>
          <w:lang w:val="en-GB"/>
        </w:rPr>
      </w:pPr>
      <w:r>
        <w:rPr>
          <w:rStyle w:val="Refdenotaalpie"/>
        </w:rPr>
        <w:footnoteRef/>
      </w:r>
      <w:r w:rsidRPr="002506CD">
        <w:rPr>
          <w:lang w:val="en-GB"/>
        </w:rPr>
        <w:t xml:space="preserve"> Survey on the Access to Finance of Enterprises in the euro área October 2017 to March 2018</w:t>
      </w:r>
    </w:p>
  </w:footnote>
  <w:footnote w:id="43">
    <w:p w14:paraId="7FEEC240" w14:textId="77777777" w:rsidR="00F16D09" w:rsidRDefault="00F16D09" w:rsidP="00AB6546">
      <w:pPr>
        <w:pStyle w:val="Textonotapie"/>
        <w:spacing w:after="120"/>
      </w:pPr>
      <w:r>
        <w:rPr>
          <w:rStyle w:val="Refdenotaalpie"/>
        </w:rPr>
        <w:footnoteRef/>
      </w:r>
      <w:r>
        <w:t xml:space="preserve"> </w:t>
      </w:r>
      <w:r w:rsidRPr="00EE76B7">
        <w:t>COM(2016) 733 final</w:t>
      </w:r>
      <w:r>
        <w:t>. Iniciativa sobre las empresas emergentes y en expansión</w:t>
      </w:r>
    </w:p>
  </w:footnote>
  <w:footnote w:id="44">
    <w:p w14:paraId="0998B93F" w14:textId="0B5FC218" w:rsidR="00F16D09" w:rsidRPr="002506CD" w:rsidRDefault="00F16D09" w:rsidP="00AB6546">
      <w:pPr>
        <w:pStyle w:val="Textonotapie"/>
        <w:spacing w:after="120"/>
        <w:rPr>
          <w:lang w:val="en-GB"/>
        </w:rPr>
      </w:pPr>
      <w:r>
        <w:rPr>
          <w:rStyle w:val="Refdenotaalpie"/>
        </w:rPr>
        <w:footnoteRef/>
      </w:r>
      <w:r w:rsidRPr="002506CD">
        <w:rPr>
          <w:lang w:val="en-GB"/>
        </w:rPr>
        <w:t xml:space="preserve"> 2017 European Private Equity Activity. Invest Europe.</w:t>
      </w:r>
    </w:p>
  </w:footnote>
  <w:footnote w:id="45">
    <w:p w14:paraId="3593153D" w14:textId="2585903C" w:rsidR="00F16D09" w:rsidRDefault="00F16D09" w:rsidP="00AB6546">
      <w:pPr>
        <w:pStyle w:val="Textonotapie"/>
        <w:spacing w:after="120"/>
      </w:pPr>
      <w:r>
        <w:rPr>
          <w:rStyle w:val="Refdenotaalpie"/>
        </w:rPr>
        <w:footnoteRef/>
      </w:r>
      <w:r>
        <w:t xml:space="preserve"> Statista. </w:t>
      </w:r>
      <w:hyperlink r:id="rId1" w:history="1">
        <w:r w:rsidRPr="0040552D">
          <w:rPr>
            <w:rStyle w:val="Hipervnculo"/>
          </w:rPr>
          <w:t>https://www.statista.com/statistics/319684/venture-capital-fundraising-usa/</w:t>
        </w:r>
      </w:hyperlink>
      <w:r>
        <w:t xml:space="preserve"> </w:t>
      </w:r>
    </w:p>
  </w:footnote>
  <w:footnote w:id="46">
    <w:p w14:paraId="347F7D08" w14:textId="77777777" w:rsidR="00F16D09" w:rsidRDefault="00F16D09" w:rsidP="00AB6546">
      <w:pPr>
        <w:pStyle w:val="Textonotapie"/>
        <w:spacing w:after="120"/>
      </w:pPr>
      <w:r>
        <w:rPr>
          <w:rStyle w:val="Refdenotaalpie"/>
        </w:rPr>
        <w:footnoteRef/>
      </w:r>
      <w:r>
        <w:t xml:space="preserve"> </w:t>
      </w:r>
      <w:r w:rsidRPr="00EE76B7">
        <w:t>COM(2016) 733 final</w:t>
      </w:r>
      <w:r>
        <w:t>. Iniciativa sobre las empresas emergentes y en expansión</w:t>
      </w:r>
    </w:p>
  </w:footnote>
  <w:footnote w:id="47">
    <w:p w14:paraId="3F0D26B5" w14:textId="77777777" w:rsidR="00F16D09" w:rsidRPr="00DD5060" w:rsidRDefault="00F16D09" w:rsidP="00DD5060">
      <w:pPr>
        <w:pStyle w:val="Textonotapie"/>
      </w:pPr>
      <w:r>
        <w:rPr>
          <w:rStyle w:val="Refdenotaalpie"/>
        </w:rPr>
        <w:footnoteRef/>
      </w:r>
      <w:r w:rsidRPr="00B54DB4">
        <w:rPr>
          <w:lang w:val="en-US"/>
        </w:rPr>
        <w:t xml:space="preserve"> </w:t>
      </w:r>
      <w:r w:rsidRPr="00B54DB4">
        <w:rPr>
          <w:i/>
          <w:lang w:val="en-US"/>
        </w:rPr>
        <w:t>Patent statistics at Eurostat: Mapping the contribution of SMEs in EU patenting - 2014 edition.</w:t>
      </w:r>
      <w:r w:rsidRPr="00B54DB4">
        <w:rPr>
          <w:lang w:val="en-US"/>
        </w:rPr>
        <w:t xml:space="preserve"> </w:t>
      </w:r>
      <w:r w:rsidRPr="00DD5060">
        <w:t>Tabla 11.</w:t>
      </w:r>
    </w:p>
  </w:footnote>
  <w:footnote w:id="48">
    <w:p w14:paraId="7692C8B7" w14:textId="3FBFE242" w:rsidR="00F16D09" w:rsidRPr="0002318D" w:rsidRDefault="00F16D09" w:rsidP="00DD5060">
      <w:pPr>
        <w:pStyle w:val="Textonotapie"/>
        <w:jc w:val="left"/>
      </w:pPr>
      <w:r>
        <w:rPr>
          <w:rStyle w:val="Refdenotaalpie"/>
        </w:rPr>
        <w:footnoteRef/>
      </w:r>
      <w:r w:rsidRPr="004C60CC">
        <w:t xml:space="preserve"> European Innovation Scoreboard 201</w:t>
      </w:r>
      <w:r>
        <w:t>7</w:t>
      </w:r>
      <w:r w:rsidRPr="004C60CC">
        <w:t xml:space="preserve"> para España </w:t>
      </w:r>
      <w:r w:rsidRPr="00065DBD">
        <w:t>https://ec.europa.eu/docsroom/documents/23939/attachments/1/translations/en/renditions/nativ</w:t>
      </w:r>
    </w:p>
  </w:footnote>
  <w:footnote w:id="49">
    <w:p w14:paraId="48BABE16" w14:textId="77777777" w:rsidR="00F16D09" w:rsidRDefault="00F16D09" w:rsidP="00F17B41">
      <w:pPr>
        <w:pStyle w:val="Textonotapie"/>
        <w:spacing w:after="120"/>
      </w:pPr>
      <w:r>
        <w:rPr>
          <w:rStyle w:val="Refdenotaalpie"/>
        </w:rPr>
        <w:footnoteRef/>
      </w:r>
      <w:r>
        <w:t xml:space="preserve"> Estudios Económicos de la OCDE – España, marzo 2017.</w:t>
      </w:r>
    </w:p>
  </w:footnote>
  <w:footnote w:id="50">
    <w:p w14:paraId="574F31D7" w14:textId="77777777" w:rsidR="00F16D09" w:rsidRDefault="00F16D09" w:rsidP="00F17B41">
      <w:pPr>
        <w:pStyle w:val="Textonotapie"/>
        <w:spacing w:after="120"/>
      </w:pPr>
      <w:r>
        <w:rPr>
          <w:rStyle w:val="Refdenotaalpie"/>
        </w:rPr>
        <w:footnoteRef/>
      </w:r>
      <w:r>
        <w:t xml:space="preserve"> Estudios Económicos de la OCDE – España, marzo 2017.</w:t>
      </w:r>
    </w:p>
  </w:footnote>
  <w:footnote w:id="51">
    <w:p w14:paraId="467922C8" w14:textId="77777777" w:rsidR="00F16D09" w:rsidRPr="0001640B" w:rsidRDefault="00F16D09" w:rsidP="00F17B41">
      <w:pPr>
        <w:pStyle w:val="Textonotapie"/>
        <w:spacing w:after="120"/>
        <w:rPr>
          <w:lang w:val="en-US"/>
        </w:rPr>
      </w:pPr>
      <w:r>
        <w:rPr>
          <w:rStyle w:val="Refdenotaalpie"/>
        </w:rPr>
        <w:footnoteRef/>
      </w:r>
      <w:r w:rsidRPr="0001640B">
        <w:rPr>
          <w:lang w:val="en-US"/>
        </w:rPr>
        <w:t xml:space="preserve"> </w:t>
      </w:r>
      <w:r w:rsidRPr="0001640B">
        <w:rPr>
          <w:i/>
          <w:iCs/>
          <w:lang w:val="en-GB"/>
        </w:rPr>
        <w:t>Research and Innovation Strategy for Smart Specialisation</w:t>
      </w:r>
    </w:p>
  </w:footnote>
  <w:footnote w:id="52">
    <w:p w14:paraId="782B01F3" w14:textId="6D670B90" w:rsidR="00F16D09" w:rsidRPr="00514A15" w:rsidRDefault="00F16D09" w:rsidP="00DD5060">
      <w:pPr>
        <w:pStyle w:val="Textonotapie"/>
      </w:pPr>
      <w:r>
        <w:rPr>
          <w:rStyle w:val="Refdenotaalpie"/>
        </w:rPr>
        <w:footnoteRef/>
      </w:r>
      <w:r w:rsidRPr="003F344B">
        <w:t xml:space="preserve"> </w:t>
      </w:r>
      <w:r w:rsidRPr="008B26C6">
        <w:t>Comisión Europea (2017), Informe sobre el progreso digital en Europa (EDPR): Perfil de España</w:t>
      </w:r>
      <w:r>
        <w:t>.</w:t>
      </w:r>
    </w:p>
  </w:footnote>
  <w:footnote w:id="53">
    <w:p w14:paraId="7EDF0236" w14:textId="5250145F" w:rsidR="00F16D09" w:rsidRDefault="00F16D09">
      <w:pPr>
        <w:pStyle w:val="Textonotapie"/>
      </w:pPr>
      <w:r>
        <w:rPr>
          <w:rStyle w:val="Refdenotaalpie"/>
        </w:rPr>
        <w:footnoteRef/>
      </w:r>
      <w:r>
        <w:t xml:space="preserve"> Observatorio Nacional de las telecomunicaciones y de la sociedad de la información (ONTSI) – Red.es</w:t>
      </w:r>
    </w:p>
  </w:footnote>
  <w:footnote w:id="54">
    <w:p w14:paraId="636C5EE9" w14:textId="63AD0BB1" w:rsidR="00F16D09" w:rsidRDefault="00F16D09">
      <w:pPr>
        <w:pStyle w:val="Textonotapie"/>
      </w:pPr>
      <w:r>
        <w:rPr>
          <w:rStyle w:val="Refdenotaalpie"/>
        </w:rPr>
        <w:footnoteRef/>
      </w:r>
      <w:r>
        <w:t xml:space="preserve"> </w:t>
      </w:r>
      <w:r w:rsidRPr="00F16D09">
        <w:t>La IA se aplica a los sistemas que manifiestan un comportamiento inteligente, pues son capaces de analizar su entorno y pasar a la acción –con cierto grado de autonomía– con el fin de alcanzar objetivos específicos</w:t>
      </w:r>
      <w:r>
        <w:t xml:space="preserve"> (defini</w:t>
      </w:r>
      <w:r w:rsidRPr="00F16D09">
        <w:t xml:space="preserve">ción </w:t>
      </w:r>
      <w:r>
        <w:t>de</w:t>
      </w:r>
      <w:r w:rsidRPr="00F16D09">
        <w:t xml:space="preserve"> la Comunicación de la Comisión Europea sobre I</w:t>
      </w:r>
      <w:r>
        <w:t>A (COM(2018) 237 final).</w:t>
      </w:r>
    </w:p>
  </w:footnote>
  <w:footnote w:id="55">
    <w:p w14:paraId="0230B0D5" w14:textId="77777777" w:rsidR="006B35BF" w:rsidRPr="007927E5" w:rsidRDefault="006B35BF" w:rsidP="006B35BF">
      <w:pPr>
        <w:pStyle w:val="Textonotapie"/>
      </w:pPr>
      <w:r>
        <w:rPr>
          <w:rStyle w:val="Refdenotaalpie"/>
        </w:rPr>
        <w:footnoteRef/>
      </w:r>
      <w:r>
        <w:t xml:space="preserve"> </w:t>
      </w:r>
      <w:r w:rsidRPr="007927E5">
        <w:t>COM(2018) 237 final</w:t>
      </w:r>
      <w:r>
        <w:t>.</w:t>
      </w:r>
    </w:p>
  </w:footnote>
  <w:footnote w:id="56">
    <w:p w14:paraId="3532CDC2" w14:textId="77777777" w:rsidR="007B1F38" w:rsidRPr="00CB6E8C" w:rsidRDefault="007B1F38" w:rsidP="007B1F38">
      <w:pPr>
        <w:pStyle w:val="Textonotapie"/>
        <w:spacing w:after="120"/>
      </w:pPr>
      <w:r>
        <w:rPr>
          <w:rStyle w:val="Refdenotaalpie"/>
        </w:rPr>
        <w:footnoteRef/>
      </w:r>
      <w:r>
        <w:t xml:space="preserve"> “</w:t>
      </w:r>
      <w:r w:rsidRPr="00CB6E8C">
        <w:t>Bots, Machine Learning, Servicios Cognitivos Realidad y perspectivas de la Inteligencia Artificial en España, 2018. PwC y Microsoft</w:t>
      </w:r>
      <w:r>
        <w:t>”.</w:t>
      </w:r>
    </w:p>
  </w:footnote>
  <w:footnote w:id="57">
    <w:p w14:paraId="20274640" w14:textId="77777777" w:rsidR="00006876" w:rsidRPr="007927E5" w:rsidRDefault="00006876" w:rsidP="007B1F38">
      <w:pPr>
        <w:pStyle w:val="Textonotapie"/>
        <w:spacing w:after="120"/>
      </w:pPr>
      <w:r>
        <w:rPr>
          <w:rStyle w:val="Refdenotaalpie"/>
        </w:rPr>
        <w:footnoteRef/>
      </w:r>
      <w:r>
        <w:t xml:space="preserve"> </w:t>
      </w:r>
      <w:r w:rsidRPr="007927E5">
        <w:t>COM(2018) 237 final</w:t>
      </w:r>
      <w:r>
        <w:t>.</w:t>
      </w:r>
    </w:p>
  </w:footnote>
  <w:footnote w:id="58">
    <w:p w14:paraId="3BCF02C5" w14:textId="77777777" w:rsidR="007B1F38" w:rsidRPr="00CB6E8C" w:rsidRDefault="007B1F38" w:rsidP="007B1F38">
      <w:pPr>
        <w:pStyle w:val="Textonotapie"/>
        <w:spacing w:after="120"/>
      </w:pPr>
      <w:r>
        <w:rPr>
          <w:rStyle w:val="Refdenotaalpie"/>
        </w:rPr>
        <w:footnoteRef/>
      </w:r>
      <w:r>
        <w:t xml:space="preserve"> “</w:t>
      </w:r>
      <w:r w:rsidRPr="00CB6E8C">
        <w:t>Bots, Machine Learning, Servicios Cognitivos Realidad y perspectivas de la Inteligencia Artificial en España, 2018. PwC y Microsoft</w:t>
      </w:r>
      <w:r>
        <w:t>”.</w:t>
      </w:r>
    </w:p>
  </w:footnote>
  <w:footnote w:id="59">
    <w:p w14:paraId="39F8ECBC" w14:textId="77777777" w:rsidR="007B1F38" w:rsidRPr="0058124E" w:rsidRDefault="007B1F38" w:rsidP="007B1F38">
      <w:pPr>
        <w:pStyle w:val="Textonotapie"/>
      </w:pPr>
      <w:r>
        <w:rPr>
          <w:rStyle w:val="Refdenotaalpie"/>
        </w:rPr>
        <w:footnoteRef/>
      </w:r>
      <w:r>
        <w:t xml:space="preserve"> </w:t>
      </w:r>
      <w:r w:rsidRPr="0058124E">
        <w:t>https://www.ebankingnews.com/noticias/el-poder-de-la-ia-y-big-data-para-las-pymes-0041971</w:t>
      </w:r>
    </w:p>
  </w:footnote>
  <w:footnote w:id="60">
    <w:p w14:paraId="1D9EB28E" w14:textId="77777777" w:rsidR="007B1F38" w:rsidRPr="00F8587A" w:rsidRDefault="007B1F38" w:rsidP="007B1F38">
      <w:pPr>
        <w:pStyle w:val="Textonotapie"/>
      </w:pPr>
      <w:r>
        <w:rPr>
          <w:rStyle w:val="Refdenotaalpie"/>
        </w:rPr>
        <w:footnoteRef/>
      </w:r>
      <w:r>
        <w:t xml:space="preserve"> </w:t>
      </w:r>
      <w:r w:rsidRPr="00F8587A">
        <w:t>Un chatbot es un programa informático con el que es posible mantener una conversación, tanto si queremos pedirle algún tipo de información o que lleve a cabo una acción</w:t>
      </w:r>
      <w:r>
        <w:t>.</w:t>
      </w:r>
    </w:p>
  </w:footnote>
  <w:footnote w:id="61">
    <w:p w14:paraId="6B553F36" w14:textId="77777777" w:rsidR="00F16D09" w:rsidRPr="00322B27" w:rsidRDefault="00F16D09" w:rsidP="00F957C8">
      <w:pPr>
        <w:pStyle w:val="Textonotapie"/>
        <w:rPr>
          <w:lang w:val="en-GB"/>
        </w:rPr>
      </w:pPr>
      <w:r>
        <w:rPr>
          <w:rStyle w:val="Refdenotaalpie"/>
        </w:rPr>
        <w:footnoteRef/>
      </w:r>
      <w:r w:rsidRPr="0033393E">
        <w:rPr>
          <w:lang w:val="en-GB"/>
        </w:rPr>
        <w:t xml:space="preserve"> Flash Eurobarometer 441. European SMEs and the Circular Economy. </w:t>
      </w:r>
      <w:r w:rsidRPr="00322B27">
        <w:rPr>
          <w:lang w:val="en-GB"/>
        </w:rPr>
        <w:t>June 2016.</w:t>
      </w:r>
    </w:p>
  </w:footnote>
  <w:footnote w:id="62">
    <w:p w14:paraId="6608499D" w14:textId="3A70F20C" w:rsidR="00F16D09" w:rsidRPr="00E145DD" w:rsidRDefault="00F16D09" w:rsidP="00E145DD">
      <w:pPr>
        <w:pStyle w:val="Textonotapie"/>
        <w:rPr>
          <w:lang w:val="en-GB"/>
        </w:rPr>
      </w:pPr>
      <w:r>
        <w:rPr>
          <w:rStyle w:val="Refdenotaalpie"/>
        </w:rPr>
        <w:footnoteRef/>
      </w:r>
      <w:r w:rsidRPr="00E145DD">
        <w:rPr>
          <w:lang w:val="en-GB"/>
        </w:rPr>
        <w:t xml:space="preserve"> </w:t>
      </w:r>
      <w:r w:rsidRPr="00682D82">
        <w:rPr>
          <w:lang w:val="en-GB"/>
        </w:rPr>
        <w:t>CEPS Working Document Nº 412 / September 2015 “</w:t>
      </w:r>
      <w:r w:rsidRPr="00E145DD">
        <w:rPr>
          <w:lang w:val="en-GB"/>
        </w:rPr>
        <w:t xml:space="preserve">The Circular Economy: Barriers and Opportunities for SMEs. </w:t>
      </w:r>
    </w:p>
  </w:footnote>
  <w:footnote w:id="63">
    <w:p w14:paraId="49F798C7" w14:textId="347DDF54" w:rsidR="00F16D09" w:rsidRPr="00EE5AD4" w:rsidRDefault="00F16D09" w:rsidP="00EE5AD4">
      <w:pPr>
        <w:pStyle w:val="Textonotapie"/>
      </w:pPr>
      <w:r>
        <w:rPr>
          <w:rStyle w:val="Refdenotaalpie"/>
        </w:rPr>
        <w:footnoteRef/>
      </w:r>
      <w:r w:rsidRPr="00322B27">
        <w:t xml:space="preserve"> </w:t>
      </w:r>
      <w:r w:rsidRPr="001C2CA9">
        <w:rPr>
          <w:lang w:val="es-ES_tradnl"/>
        </w:rPr>
        <w:t>Algunas de las propuestas se han obtenido del documento</w:t>
      </w:r>
      <w:r>
        <w:rPr>
          <w:lang w:val="es-ES_tradnl"/>
        </w:rPr>
        <w:t xml:space="preserve"> anterior.</w:t>
      </w:r>
    </w:p>
  </w:footnote>
  <w:footnote w:id="64">
    <w:p w14:paraId="4D2D5216" w14:textId="77777777" w:rsidR="00F16D09" w:rsidRPr="00600B02" w:rsidRDefault="00F16D09" w:rsidP="00F75095">
      <w:pPr>
        <w:pStyle w:val="Textonotapie"/>
        <w:spacing w:after="0"/>
      </w:pPr>
      <w:r>
        <w:rPr>
          <w:rStyle w:val="Refdenotaalpie"/>
        </w:rPr>
        <w:footnoteRef/>
      </w:r>
      <w:r>
        <w:t xml:space="preserve"> </w:t>
      </w:r>
      <w:r w:rsidRPr="00600B02">
        <w:rPr>
          <w:rFonts w:cstheme="minorHAnsi"/>
          <w:color w:val="000000"/>
        </w:rPr>
        <w:t>A través de la Red Entreprise Europe se transferirán conocimientos sobre las más recientes evoluciones tecnológicas, metodologías y mejores prácticas de las regiones con mayor experiencia a las menos avanzadas; la red Enterprise Europe ayudará a las PYME a comercializar productos y servicios para los que se hayan tenido en cuenta las mejores prácticas, en particular las tecnologías con baja emisión de carbono; Los grupos de expertos sobre las PYME y la base de datos de información sobre las PYME de la red Enterprise Europe se utilizarán para mejorar la calidad de la legislación medioambiental, incluida su aplicación.</w:t>
      </w:r>
    </w:p>
  </w:footnote>
  <w:footnote w:id="65">
    <w:p w14:paraId="6D712B52" w14:textId="77777777" w:rsidR="00F16D09" w:rsidRDefault="00F16D09" w:rsidP="00D42A17">
      <w:pPr>
        <w:pStyle w:val="Textonotapie"/>
      </w:pPr>
      <w:r>
        <w:rPr>
          <w:rStyle w:val="Refdenotaalpie"/>
        </w:rPr>
        <w:footnoteRef/>
      </w:r>
      <w:r>
        <w:t xml:space="preserve"> “La internacionalización de las PYME españolas: principales desarrollos y determinantes”. Banco de España. 2015</w:t>
      </w:r>
    </w:p>
  </w:footnote>
  <w:footnote w:id="66">
    <w:p w14:paraId="2997D61C" w14:textId="77777777" w:rsidR="00F16D09" w:rsidRPr="003F344B" w:rsidRDefault="00F16D09" w:rsidP="00D42A17">
      <w:pPr>
        <w:pStyle w:val="Textonotapie"/>
        <w:spacing w:after="120"/>
        <w:rPr>
          <w:i/>
        </w:rPr>
      </w:pPr>
      <w:r>
        <w:rPr>
          <w:rStyle w:val="Refdenotaalpie"/>
        </w:rPr>
        <w:footnoteRef/>
      </w:r>
      <w:r w:rsidRPr="003F344B">
        <w:t xml:space="preserve"> Comisión Europea (2016), </w:t>
      </w:r>
      <w:r w:rsidRPr="003F344B">
        <w:rPr>
          <w:i/>
        </w:rPr>
        <w:t>Semestre Europeo - Informe sobre España 2016</w:t>
      </w:r>
    </w:p>
  </w:footnote>
  <w:footnote w:id="67">
    <w:p w14:paraId="40FDCA9C" w14:textId="77572975" w:rsidR="00F16D09" w:rsidRPr="003F344B" w:rsidRDefault="00F16D09" w:rsidP="00D42A17">
      <w:pPr>
        <w:pStyle w:val="Textonotapie"/>
        <w:spacing w:after="120"/>
      </w:pPr>
      <w:r>
        <w:rPr>
          <w:rStyle w:val="Refdenotaalpie"/>
        </w:rPr>
        <w:footnoteRef/>
      </w:r>
      <w:r w:rsidRPr="003F344B">
        <w:t xml:space="preserve"> Ministerio de Economía (2016), </w:t>
      </w:r>
      <w:r w:rsidRPr="003F344B">
        <w:rPr>
          <w:i/>
        </w:rPr>
        <w:t>Informe Mensual de Comercio Exterior noviembre 2016</w:t>
      </w:r>
    </w:p>
  </w:footnote>
  <w:footnote w:id="68">
    <w:p w14:paraId="6352A5BA" w14:textId="77777777" w:rsidR="00F16D09" w:rsidRPr="0069673D" w:rsidRDefault="00F16D09" w:rsidP="00D42A17">
      <w:pPr>
        <w:pStyle w:val="Textonotapie"/>
        <w:spacing w:after="120"/>
        <w:rPr>
          <w:lang w:val="en-US"/>
        </w:rPr>
      </w:pPr>
      <w:r>
        <w:rPr>
          <w:rStyle w:val="Refdenotaalpie"/>
        </w:rPr>
        <w:footnoteRef/>
      </w:r>
      <w:r w:rsidRPr="0069673D">
        <w:rPr>
          <w:lang w:val="en-US"/>
        </w:rPr>
        <w:t xml:space="preserve"> OCDE (2017), </w:t>
      </w:r>
      <w:r w:rsidRPr="0069673D">
        <w:rPr>
          <w:i/>
          <w:lang w:val="en-US"/>
        </w:rPr>
        <w:t>Small, Medium, Strong. Trends in SME Performance and Business Conditions</w:t>
      </w:r>
    </w:p>
  </w:footnote>
  <w:footnote w:id="69">
    <w:p w14:paraId="74ACAF5A" w14:textId="77777777" w:rsidR="00F16D09" w:rsidRPr="00413CE2" w:rsidRDefault="00F16D09" w:rsidP="00D42A17">
      <w:pPr>
        <w:pStyle w:val="Textonotapie"/>
        <w:spacing w:after="120"/>
      </w:pPr>
      <w:r>
        <w:rPr>
          <w:rStyle w:val="Refdenotaalpie"/>
        </w:rPr>
        <w:footnoteRef/>
      </w:r>
      <w:r w:rsidRPr="00413CE2">
        <w:t xml:space="preserve"> Mercado </w:t>
      </w:r>
      <w:r>
        <w:t xml:space="preserve">Único Digital para la UE: </w:t>
      </w:r>
      <w:r w:rsidRPr="00413CE2">
        <w:t>https://ec.europa.eu/commission/priorities/digital-single-market_es</w:t>
      </w:r>
    </w:p>
  </w:footnote>
  <w:footnote w:id="70">
    <w:p w14:paraId="06DAA243" w14:textId="77777777" w:rsidR="00F16D09" w:rsidRPr="00633AA3" w:rsidRDefault="00F16D09" w:rsidP="00D42A17">
      <w:pPr>
        <w:spacing w:after="0"/>
        <w:rPr>
          <w:rFonts w:ascii="Century Gothic" w:hAnsi="Century Gothic" w:cs="Arial"/>
          <w:color w:val="660099"/>
          <w:sz w:val="18"/>
          <w:szCs w:val="18"/>
          <w:u w:val="single"/>
          <w:shd w:val="clear" w:color="auto" w:fill="FFFFFF"/>
          <w:lang w:eastAsia="es-ES"/>
        </w:rPr>
      </w:pPr>
      <w:r w:rsidRPr="00633AA3">
        <w:rPr>
          <w:rStyle w:val="Refdenotaalpie"/>
          <w:rFonts w:ascii="Century Gothic" w:hAnsi="Century Gothic"/>
        </w:rPr>
        <w:footnoteRef/>
      </w:r>
      <w:r w:rsidRPr="00633AA3">
        <w:rPr>
          <w:rFonts w:ascii="Century Gothic" w:hAnsi="Century Gothic"/>
        </w:rPr>
        <w:t xml:space="preserve"> </w:t>
      </w:r>
      <w:r w:rsidRPr="00633AA3">
        <w:rPr>
          <w:rFonts w:ascii="Century Gothic" w:hAnsi="Century Gothic"/>
          <w:sz w:val="18"/>
          <w:szCs w:val="18"/>
        </w:rPr>
        <w:t xml:space="preserve">Internationalisation of European SMEs: </w:t>
      </w:r>
      <w:r>
        <w:rPr>
          <w:rFonts w:ascii="Century Gothic" w:hAnsi="Century Gothic" w:cs="Arial"/>
          <w:color w:val="660099"/>
          <w:sz w:val="18"/>
          <w:szCs w:val="18"/>
          <w:u w:val="single"/>
          <w:shd w:val="clear" w:color="auto" w:fill="FFFFFF"/>
          <w:lang w:eastAsia="es-ES"/>
        </w:rPr>
        <w:fldChar w:fldCharType="begin"/>
      </w:r>
      <w:r>
        <w:rPr>
          <w:rFonts w:ascii="Century Gothic" w:hAnsi="Century Gothic" w:cs="Arial"/>
          <w:color w:val="660099"/>
          <w:sz w:val="18"/>
          <w:szCs w:val="18"/>
          <w:u w:val="single"/>
          <w:shd w:val="clear" w:color="auto" w:fill="FFFFFF"/>
          <w:lang w:eastAsia="es-ES"/>
        </w:rPr>
        <w:instrText xml:space="preserve"> HYPERLINK "</w:instrText>
      </w:r>
    </w:p>
    <w:p w14:paraId="0C8F968C" w14:textId="77777777" w:rsidR="00F16D09" w:rsidRPr="00633AA3" w:rsidRDefault="00F16D09" w:rsidP="00D42A17">
      <w:pPr>
        <w:spacing w:after="0"/>
        <w:rPr>
          <w:rFonts w:ascii="Century Gothic" w:hAnsi="Century Gothic"/>
          <w:color w:val="660099"/>
          <w:sz w:val="18"/>
          <w:szCs w:val="18"/>
          <w:u w:val="single"/>
        </w:rPr>
      </w:pPr>
      <w:r w:rsidRPr="00633AA3">
        <w:rPr>
          <w:rFonts w:ascii="Century Gothic" w:hAnsi="Century Gothic"/>
          <w:color w:val="660099"/>
          <w:sz w:val="18"/>
          <w:szCs w:val="18"/>
          <w:u w:val="single"/>
        </w:rPr>
        <w:instrText>https://ec.europa.eu/docsroom/documents/10008/.../1/.../pdf</w:instrText>
      </w:r>
    </w:p>
    <w:p w14:paraId="7B8F20CB" w14:textId="77777777" w:rsidR="00F16D09" w:rsidRPr="00044BD7" w:rsidRDefault="00F16D09" w:rsidP="00D42A17">
      <w:pPr>
        <w:spacing w:after="0"/>
        <w:rPr>
          <w:rStyle w:val="Hipervnculo"/>
          <w:rFonts w:ascii="Century Gothic" w:hAnsi="Century Gothic" w:cs="Arial"/>
          <w:sz w:val="18"/>
          <w:szCs w:val="18"/>
          <w:shd w:val="clear" w:color="auto" w:fill="FFFFFF"/>
          <w:lang w:eastAsia="es-ES"/>
        </w:rPr>
      </w:pPr>
      <w:r>
        <w:rPr>
          <w:rFonts w:ascii="Century Gothic" w:hAnsi="Century Gothic" w:cs="Arial"/>
          <w:color w:val="660099"/>
          <w:sz w:val="18"/>
          <w:szCs w:val="18"/>
          <w:u w:val="single"/>
          <w:shd w:val="clear" w:color="auto" w:fill="FFFFFF"/>
          <w:lang w:eastAsia="es-ES"/>
        </w:rPr>
        <w:instrText xml:space="preserve">" </w:instrText>
      </w:r>
      <w:r>
        <w:rPr>
          <w:rFonts w:ascii="Century Gothic" w:hAnsi="Century Gothic" w:cs="Arial"/>
          <w:color w:val="660099"/>
          <w:sz w:val="18"/>
          <w:szCs w:val="18"/>
          <w:u w:val="single"/>
          <w:shd w:val="clear" w:color="auto" w:fill="FFFFFF"/>
          <w:lang w:eastAsia="es-ES"/>
        </w:rPr>
        <w:fldChar w:fldCharType="separate"/>
      </w:r>
    </w:p>
    <w:p w14:paraId="3CEA04D5" w14:textId="77777777" w:rsidR="00F16D09" w:rsidRPr="00044BD7" w:rsidRDefault="00F16D09" w:rsidP="00D42A17">
      <w:pPr>
        <w:spacing w:after="0"/>
        <w:rPr>
          <w:rStyle w:val="Hipervnculo"/>
          <w:rFonts w:ascii="Century Gothic" w:hAnsi="Century Gothic"/>
          <w:sz w:val="18"/>
          <w:szCs w:val="18"/>
        </w:rPr>
      </w:pPr>
      <w:r w:rsidRPr="00044BD7">
        <w:rPr>
          <w:rStyle w:val="Hipervnculo"/>
          <w:rFonts w:ascii="Century Gothic" w:hAnsi="Century Gothic"/>
          <w:sz w:val="18"/>
          <w:szCs w:val="18"/>
        </w:rPr>
        <w:t>https://ec.europa.eu/docsroom/documents/10008/.../1/.../pdf</w:t>
      </w:r>
    </w:p>
    <w:p w14:paraId="55161409" w14:textId="78C8273B" w:rsidR="00F16D09" w:rsidRPr="00322B27" w:rsidRDefault="00F16D09" w:rsidP="00D42A17">
      <w:pPr>
        <w:pStyle w:val="Textonotapie"/>
        <w:rPr>
          <w:lang w:val="en-GB"/>
        </w:rPr>
      </w:pPr>
      <w:r>
        <w:rPr>
          <w:rFonts w:cs="Arial"/>
          <w:color w:val="660099"/>
          <w:szCs w:val="18"/>
          <w:u w:val="single"/>
          <w:shd w:val="clear" w:color="auto" w:fill="FFFFFF"/>
          <w:lang w:eastAsia="es-ES"/>
        </w:rPr>
        <w:fldChar w:fldCharType="end"/>
      </w:r>
      <w:r w:rsidRPr="00322B27">
        <w:rPr>
          <w:rFonts w:ascii="Times New Roman" w:hAnsi="Times New Roman"/>
          <w:sz w:val="24"/>
          <w:szCs w:val="24"/>
          <w:lang w:val="en-GB" w:eastAsia="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DFFCB" w14:textId="77777777" w:rsidR="00F16D09" w:rsidRPr="002F375E" w:rsidRDefault="00576E76" w:rsidP="0005079A">
    <w:pPr>
      <w:pBdr>
        <w:bottom w:val="single" w:sz="4" w:space="1" w:color="808080" w:themeColor="background1" w:themeShade="80"/>
      </w:pBdr>
      <w:tabs>
        <w:tab w:val="center" w:pos="4536"/>
        <w:tab w:val="right" w:pos="9072"/>
      </w:tabs>
      <w:spacing w:after="0" w:line="276" w:lineRule="auto"/>
      <w:jc w:val="center"/>
      <w:rPr>
        <w:rFonts w:eastAsia="PMingLiU" w:cstheme="minorHAnsi"/>
        <w:color w:val="808080" w:themeColor="background1" w:themeShade="80"/>
        <w:sz w:val="18"/>
      </w:rPr>
    </w:pPr>
    <w:r>
      <w:rPr>
        <w:noProof/>
      </w:rPr>
      <w:pict w14:anchorId="04B80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622" o:spid="_x0000_s2056" type="#_x0000_t136" style="position:absolute;left:0;text-align:left;margin-left:0;margin-top:0;width:507.25pt;height:92.2pt;rotation:315;z-index:-251645952;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r w:rsidR="00F16D09" w:rsidRPr="002F375E">
      <w:rPr>
        <w:rFonts w:eastAsia="PMingLiU" w:cstheme="minorHAnsi"/>
        <w:color w:val="808080" w:themeColor="background1" w:themeShade="80"/>
        <w:sz w:val="18"/>
      </w:rPr>
      <w:t>Implementation analysis of a EU system for traceability and security features of tobacco products</w:t>
    </w:r>
  </w:p>
  <w:p w14:paraId="0A6AE657" w14:textId="77777777" w:rsidR="00F16D09" w:rsidRPr="002F375E" w:rsidRDefault="00F16D09" w:rsidP="0005079A">
    <w:pPr>
      <w:pBdr>
        <w:bottom w:val="single" w:sz="4" w:space="1" w:color="808080" w:themeColor="background1" w:themeShade="80"/>
      </w:pBdr>
      <w:tabs>
        <w:tab w:val="center" w:pos="4536"/>
        <w:tab w:val="right" w:pos="9072"/>
      </w:tabs>
      <w:spacing w:after="0" w:line="276" w:lineRule="auto"/>
      <w:jc w:val="center"/>
      <w:rPr>
        <w:noProof/>
        <w:color w:val="808080" w:themeColor="background1" w:themeShade="80"/>
        <w:sz w:val="22"/>
        <w:lang w:eastAsia="en-GB"/>
      </w:rPr>
    </w:pPr>
    <w:r w:rsidRPr="002F375E">
      <w:rPr>
        <w:rFonts w:eastAsia="PMingLiU" w:cstheme="minorHAnsi"/>
        <w:color w:val="808080" w:themeColor="background1" w:themeShade="80"/>
        <w:sz w:val="18"/>
      </w:rPr>
      <w:t>Initiation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57FED" w14:textId="05227D6A" w:rsidR="00F16D09" w:rsidRDefault="00F16D09">
    <w:pPr>
      <w:pStyle w:val="Encabezado"/>
    </w:pPr>
    <w:r>
      <w:rPr>
        <w:noProof/>
        <w:lang w:val="es-ES" w:eastAsia="es-ES"/>
      </w:rPr>
      <w:drawing>
        <wp:anchor distT="0" distB="0" distL="114300" distR="114300" simplePos="0" relativeHeight="251682816" behindDoc="1" locked="0" layoutInCell="1" allowOverlap="1" wp14:anchorId="32903901" wp14:editId="28C5DC69">
          <wp:simplePos x="0" y="0"/>
          <wp:positionH relativeFrom="column">
            <wp:posOffset>3144019</wp:posOffset>
          </wp:positionH>
          <wp:positionV relativeFrom="margin">
            <wp:posOffset>-930910</wp:posOffset>
          </wp:positionV>
          <wp:extent cx="2906411" cy="754912"/>
          <wp:effectExtent l="0" t="0" r="0" b="762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 - Ministerio - DGIPYME color.emf"/>
                  <pic:cNvPicPr/>
                </pic:nvPicPr>
                <pic:blipFill>
                  <a:blip r:embed="rId1">
                    <a:extLst>
                      <a:ext uri="{28A0092B-C50C-407E-A947-70E740481C1C}">
                        <a14:useLocalDpi xmlns:a14="http://schemas.microsoft.com/office/drawing/2010/main" val="0"/>
                      </a:ext>
                    </a:extLst>
                  </a:blip>
                  <a:stretch>
                    <a:fillRect/>
                  </a:stretch>
                </pic:blipFill>
                <pic:spPr>
                  <a:xfrm>
                    <a:off x="0" y="0"/>
                    <a:ext cx="2906411" cy="754912"/>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2096" behindDoc="0" locked="0" layoutInCell="1" allowOverlap="1" wp14:anchorId="66DF87EF" wp14:editId="15D5B1E2">
              <wp:simplePos x="0" y="0"/>
              <wp:positionH relativeFrom="column">
                <wp:posOffset>3175</wp:posOffset>
              </wp:positionH>
              <wp:positionV relativeFrom="paragraph">
                <wp:posOffset>-32385</wp:posOffset>
              </wp:positionV>
              <wp:extent cx="2190115" cy="518795"/>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FD96" w14:textId="4A094F89" w:rsidR="00F16D09" w:rsidRPr="00C719B5" w:rsidRDefault="00F16D09"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6DF87EF" id="_x0000_t202" coordsize="21600,21600" o:spt="202" path="m,l,21600r21600,l21600,xe">
              <v:stroke joinstyle="miter"/>
              <v:path gradientshapeok="t" o:connecttype="rect"/>
            </v:shapetype>
            <v:shape id="Cuadro de texto 34" o:spid="_x0000_s1026" type="#_x0000_t202" style="position:absolute;left:0;text-align:left;margin-left:.25pt;margin-top:-2.55pt;width:172.45pt;height:4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lVvAIAAMI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" filled="f" stroked="f">
              <v:textbox>
                <w:txbxContent>
                  <w:p w14:paraId="01B8FD96" w14:textId="4A094F89" w:rsidR="00F16D09" w:rsidRPr="00C719B5" w:rsidRDefault="00F16D09"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v:textbox>
            </v:shape>
          </w:pict>
        </mc:Fallback>
      </mc:AlternateContent>
    </w:r>
    <w:r w:rsidR="00576E76">
      <w:rPr>
        <w:noProof/>
      </w:rPr>
      <w:pict w14:anchorId="243149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623" o:spid="_x0000_s2057" type="#_x0000_t136" style="position:absolute;left:0;text-align:left;margin-left:0;margin-top:0;width:507.25pt;height:92.2pt;rotation:315;z-index:-251643904;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p>
  <w:p w14:paraId="68A99072" w14:textId="77777777" w:rsidR="00F16D09" w:rsidRDefault="00F16D0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FF863" w14:textId="43EA6F53" w:rsidR="00F16D09" w:rsidRDefault="00576E76" w:rsidP="005846FD">
    <w:pPr>
      <w:pStyle w:val="Encabezado"/>
      <w:tabs>
        <w:tab w:val="clear" w:pos="4153"/>
        <w:tab w:val="clear" w:pos="8306"/>
        <w:tab w:val="center" w:pos="4536"/>
        <w:tab w:val="right" w:pos="9071"/>
      </w:tabs>
      <w:spacing w:after="0"/>
      <w:jc w:val="left"/>
    </w:pPr>
    <w:r>
      <w:rPr>
        <w:noProof/>
      </w:rPr>
      <w:pict w14:anchorId="3F4C7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7621" o:spid="_x0000_s2055" type="#_x0000_t136" style="position:absolute;margin-left:0;margin-top:0;width:507.25pt;height:92.2pt;rotation:315;z-index:-251648000;mso-position-horizontal:center;mso-position-horizontal-relative:margin;mso-position-vertical:center;mso-position-vertical-relative:margin" o:allowincell="f" fillcolor="silver" stroked="f">
          <v:fill opacity=".5"/>
          <v:textpath style="font-family:&quot;Verdana&quot;;font-size:1pt" string="BORRADOR"/>
          <w10:wrap anchorx="margin" anchory="margin"/>
        </v:shape>
      </w:pict>
    </w:r>
    <w:r w:rsidR="00F16D09">
      <w:rPr>
        <w:noProof/>
        <w:lang w:val="es-ES" w:eastAsia="es-ES"/>
      </w:rPr>
      <w:drawing>
        <wp:inline distT="0" distB="0" distL="0" distR="0" wp14:anchorId="13BD9354" wp14:editId="795DEF39">
          <wp:extent cx="2906411" cy="754912"/>
          <wp:effectExtent l="0" t="0" r="0" b="762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 - Ministerio - DGIPYME color.emf"/>
                  <pic:cNvPicPr/>
                </pic:nvPicPr>
                <pic:blipFill>
                  <a:blip r:embed="rId1">
                    <a:extLst>
                      <a:ext uri="{28A0092B-C50C-407E-A947-70E740481C1C}">
                        <a14:useLocalDpi xmlns:a14="http://schemas.microsoft.com/office/drawing/2010/main" val="0"/>
                      </a:ext>
                    </a:extLst>
                  </a:blip>
                  <a:stretch>
                    <a:fillRect/>
                  </a:stretch>
                </pic:blipFill>
                <pic:spPr>
                  <a:xfrm>
                    <a:off x="0" y="0"/>
                    <a:ext cx="2903785" cy="754230"/>
                  </a:xfrm>
                  <a:prstGeom prst="rect">
                    <a:avLst/>
                  </a:prstGeom>
                </pic:spPr>
              </pic:pic>
            </a:graphicData>
          </a:graphic>
        </wp:inline>
      </w:drawing>
    </w:r>
  </w:p>
  <w:p w14:paraId="4C38C8ED" w14:textId="77777777" w:rsidR="00F16D09" w:rsidRDefault="00F16D09" w:rsidP="005846FD">
    <w:pPr>
      <w:pStyle w:val="Encabezado"/>
      <w:tabs>
        <w:tab w:val="clear" w:pos="4153"/>
        <w:tab w:val="clear" w:pos="8306"/>
        <w:tab w:val="center" w:pos="4536"/>
        <w:tab w:val="right" w:pos="9072"/>
      </w:tabs>
      <w:spacing w:after="0"/>
    </w:pPr>
  </w:p>
  <w:p w14:paraId="39811992" w14:textId="77777777" w:rsidR="00F16D09" w:rsidRDefault="00F16D09" w:rsidP="000535B3">
    <w:pPr>
      <w:pStyle w:val="Encabezado"/>
      <w:tabs>
        <w:tab w:val="clear" w:pos="4153"/>
        <w:tab w:val="center" w:pos="4536"/>
        <w:tab w:val="left" w:pos="7513"/>
      </w:tabs>
      <w:spacing w:after="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A06D2" w14:textId="2B5BC0F3" w:rsidR="00F16D09" w:rsidRDefault="00F16D09">
    <w:pPr>
      <w:pStyle w:val="Encabezado"/>
    </w:pPr>
    <w:r>
      <w:rPr>
        <w:noProof/>
        <w:lang w:val="es-ES" w:eastAsia="es-ES"/>
      </w:rPr>
      <w:drawing>
        <wp:anchor distT="0" distB="0" distL="114300" distR="114300" simplePos="0" relativeHeight="251684864" behindDoc="1" locked="0" layoutInCell="1" allowOverlap="1" wp14:anchorId="61F59CF4" wp14:editId="41ED9ABB">
          <wp:simplePos x="0" y="0"/>
          <wp:positionH relativeFrom="column">
            <wp:posOffset>3142749</wp:posOffset>
          </wp:positionH>
          <wp:positionV relativeFrom="margin">
            <wp:posOffset>-874949</wp:posOffset>
          </wp:positionV>
          <wp:extent cx="2906411" cy="754912"/>
          <wp:effectExtent l="0" t="0" r="0" b="762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 - Ministerio - DGIPYME color.emf"/>
                  <pic:cNvPicPr/>
                </pic:nvPicPr>
                <pic:blipFill>
                  <a:blip r:embed="rId1">
                    <a:extLst>
                      <a:ext uri="{28A0092B-C50C-407E-A947-70E740481C1C}">
                        <a14:useLocalDpi xmlns:a14="http://schemas.microsoft.com/office/drawing/2010/main" val="0"/>
                      </a:ext>
                    </a:extLst>
                  </a:blip>
                  <a:stretch>
                    <a:fillRect/>
                  </a:stretch>
                </pic:blipFill>
                <pic:spPr>
                  <a:xfrm>
                    <a:off x="0" y="0"/>
                    <a:ext cx="2906411" cy="754912"/>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9744" behindDoc="0" locked="0" layoutInCell="1" allowOverlap="1" wp14:anchorId="6A192CA6" wp14:editId="3E7B809D">
              <wp:simplePos x="0" y="0"/>
              <wp:positionH relativeFrom="column">
                <wp:posOffset>3175</wp:posOffset>
              </wp:positionH>
              <wp:positionV relativeFrom="paragraph">
                <wp:posOffset>-32385</wp:posOffset>
              </wp:positionV>
              <wp:extent cx="2190115" cy="518795"/>
              <wp:effectExtent l="0" t="0" r="0" b="0"/>
              <wp:wrapNone/>
              <wp:docPr id="11"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AA73" w14:textId="77777777" w:rsidR="00F16D09" w:rsidRPr="00C719B5" w:rsidRDefault="00F16D09"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A192CA6" id="_x0000_t202" coordsize="21600,21600" o:spt="202" path="m,l,21600r21600,l21600,xe">
              <v:stroke joinstyle="miter"/>
              <v:path gradientshapeok="t" o:connecttype="rect"/>
            </v:shapetype>
            <v:shape id="_x0000_s1027" type="#_x0000_t202" style="position:absolute;left:0;text-align:left;margin-left:.25pt;margin-top:-2.55pt;width:172.45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" filled="f" stroked="f">
              <v:textbox>
                <w:txbxContent>
                  <w:p w14:paraId="1E6DAA73" w14:textId="77777777" w:rsidR="00F16D09" w:rsidRPr="00C719B5" w:rsidRDefault="00F16D09"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v:textbox>
            </v:shape>
          </w:pict>
        </mc:Fallback>
      </mc:AlternateContent>
    </w:r>
    <w:r>
      <w:rPr>
        <w:noProof/>
        <w:lang w:val="es-ES" w:eastAsia="es-ES"/>
      </w:rPr>
      <mc:AlternateContent>
        <mc:Choice Requires="wps">
          <w:drawing>
            <wp:anchor distT="0" distB="0" distL="114300" distR="114300" simplePos="0" relativeHeight="251680768" behindDoc="1" locked="0" layoutInCell="0" allowOverlap="1" wp14:anchorId="2F06440E" wp14:editId="1891C5BE">
              <wp:simplePos x="0" y="0"/>
              <wp:positionH relativeFrom="margin">
                <wp:align>center</wp:align>
              </wp:positionH>
              <wp:positionV relativeFrom="margin">
                <wp:align>center</wp:align>
              </wp:positionV>
              <wp:extent cx="6442075" cy="1170940"/>
              <wp:effectExtent l="0" t="1876425" r="0" b="1858010"/>
              <wp:wrapNone/>
              <wp:docPr id="1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2075" cy="11709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124F80" w14:textId="77777777" w:rsidR="00F16D09" w:rsidRDefault="00F16D09" w:rsidP="002D17B9">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F06440E" id="WordArt 11" o:spid="_x0000_s1028" type="#_x0000_t202" style="position:absolute;left:0;text-align:left;margin-left:0;margin-top:0;width:507.25pt;height:92.2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" o:allowincell="f" filled="f" stroked="f">
              <v:stroke joinstyle="round"/>
              <o:lock v:ext="edit" shapetype="t"/>
              <v:textbox style="mso-fit-shape-to-text:t">
                <w:txbxContent>
                  <w:p w14:paraId="63124F80" w14:textId="77777777" w:rsidR="00F16D09" w:rsidRDefault="00F16D09" w:rsidP="002D17B9">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BORRADOR</w:t>
                    </w:r>
                  </w:p>
                </w:txbxContent>
              </v:textbox>
              <w10:wrap anchorx="margin" anchory="margin"/>
            </v:shape>
          </w:pict>
        </mc:Fallback>
      </mc:AlternateContent>
    </w:r>
  </w:p>
  <w:p w14:paraId="65145FC2" w14:textId="77777777" w:rsidR="00F16D09" w:rsidRDefault="00F16D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Listaconnmeros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014972F2"/>
    <w:multiLevelType w:val="hybridMultilevel"/>
    <w:tmpl w:val="16D4296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1886CCE"/>
    <w:multiLevelType w:val="hybridMultilevel"/>
    <w:tmpl w:val="CABC4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2F2FFF"/>
    <w:multiLevelType w:val="hybridMultilevel"/>
    <w:tmpl w:val="EE56F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6325F9"/>
    <w:multiLevelType w:val="hybridMultilevel"/>
    <w:tmpl w:val="1C30E0F4"/>
    <w:lvl w:ilvl="0" w:tplc="B3A664CA">
      <w:start w:val="1"/>
      <w:numFmt w:val="bullet"/>
      <w:lvlText w:val="•"/>
      <w:lvlJc w:val="left"/>
      <w:pPr>
        <w:tabs>
          <w:tab w:val="num" w:pos="720"/>
        </w:tabs>
        <w:ind w:left="720" w:hanging="360"/>
      </w:pPr>
      <w:rPr>
        <w:rFonts w:ascii="Arial" w:hAnsi="Arial" w:hint="default"/>
      </w:rPr>
    </w:lvl>
    <w:lvl w:ilvl="1" w:tplc="F272A176" w:tentative="1">
      <w:start w:val="1"/>
      <w:numFmt w:val="bullet"/>
      <w:lvlText w:val="•"/>
      <w:lvlJc w:val="left"/>
      <w:pPr>
        <w:tabs>
          <w:tab w:val="num" w:pos="1440"/>
        </w:tabs>
        <w:ind w:left="1440" w:hanging="360"/>
      </w:pPr>
      <w:rPr>
        <w:rFonts w:ascii="Arial" w:hAnsi="Arial" w:hint="default"/>
      </w:rPr>
    </w:lvl>
    <w:lvl w:ilvl="2" w:tplc="AD2E6E16" w:tentative="1">
      <w:start w:val="1"/>
      <w:numFmt w:val="bullet"/>
      <w:lvlText w:val="•"/>
      <w:lvlJc w:val="left"/>
      <w:pPr>
        <w:tabs>
          <w:tab w:val="num" w:pos="2160"/>
        </w:tabs>
        <w:ind w:left="2160" w:hanging="360"/>
      </w:pPr>
      <w:rPr>
        <w:rFonts w:ascii="Arial" w:hAnsi="Arial" w:hint="default"/>
      </w:rPr>
    </w:lvl>
    <w:lvl w:ilvl="3" w:tplc="C16018AE" w:tentative="1">
      <w:start w:val="1"/>
      <w:numFmt w:val="bullet"/>
      <w:lvlText w:val="•"/>
      <w:lvlJc w:val="left"/>
      <w:pPr>
        <w:tabs>
          <w:tab w:val="num" w:pos="2880"/>
        </w:tabs>
        <w:ind w:left="2880" w:hanging="360"/>
      </w:pPr>
      <w:rPr>
        <w:rFonts w:ascii="Arial" w:hAnsi="Arial" w:hint="default"/>
      </w:rPr>
    </w:lvl>
    <w:lvl w:ilvl="4" w:tplc="2BFE3626" w:tentative="1">
      <w:start w:val="1"/>
      <w:numFmt w:val="bullet"/>
      <w:lvlText w:val="•"/>
      <w:lvlJc w:val="left"/>
      <w:pPr>
        <w:tabs>
          <w:tab w:val="num" w:pos="3600"/>
        </w:tabs>
        <w:ind w:left="3600" w:hanging="360"/>
      </w:pPr>
      <w:rPr>
        <w:rFonts w:ascii="Arial" w:hAnsi="Arial" w:hint="default"/>
      </w:rPr>
    </w:lvl>
    <w:lvl w:ilvl="5" w:tplc="A726ED00" w:tentative="1">
      <w:start w:val="1"/>
      <w:numFmt w:val="bullet"/>
      <w:lvlText w:val="•"/>
      <w:lvlJc w:val="left"/>
      <w:pPr>
        <w:tabs>
          <w:tab w:val="num" w:pos="4320"/>
        </w:tabs>
        <w:ind w:left="4320" w:hanging="360"/>
      </w:pPr>
      <w:rPr>
        <w:rFonts w:ascii="Arial" w:hAnsi="Arial" w:hint="default"/>
      </w:rPr>
    </w:lvl>
    <w:lvl w:ilvl="6" w:tplc="99FA8514" w:tentative="1">
      <w:start w:val="1"/>
      <w:numFmt w:val="bullet"/>
      <w:lvlText w:val="•"/>
      <w:lvlJc w:val="left"/>
      <w:pPr>
        <w:tabs>
          <w:tab w:val="num" w:pos="5040"/>
        </w:tabs>
        <w:ind w:left="5040" w:hanging="360"/>
      </w:pPr>
      <w:rPr>
        <w:rFonts w:ascii="Arial" w:hAnsi="Arial" w:hint="default"/>
      </w:rPr>
    </w:lvl>
    <w:lvl w:ilvl="7" w:tplc="F2C87A0C" w:tentative="1">
      <w:start w:val="1"/>
      <w:numFmt w:val="bullet"/>
      <w:lvlText w:val="•"/>
      <w:lvlJc w:val="left"/>
      <w:pPr>
        <w:tabs>
          <w:tab w:val="num" w:pos="5760"/>
        </w:tabs>
        <w:ind w:left="5760" w:hanging="360"/>
      </w:pPr>
      <w:rPr>
        <w:rFonts w:ascii="Arial" w:hAnsi="Arial" w:hint="default"/>
      </w:rPr>
    </w:lvl>
    <w:lvl w:ilvl="8" w:tplc="AD9E1F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FB4534"/>
    <w:multiLevelType w:val="hybridMultilevel"/>
    <w:tmpl w:val="621889BA"/>
    <w:lvl w:ilvl="0" w:tplc="7FE26C16">
      <w:start w:val="1"/>
      <w:numFmt w:val="lowerRoman"/>
      <w:pStyle w:val="Style2"/>
      <w:lvlText w:val="%1."/>
      <w:lvlJc w:val="right"/>
      <w:pPr>
        <w:ind w:left="2254" w:hanging="360"/>
      </w:pPr>
    </w:lvl>
    <w:lvl w:ilvl="1" w:tplc="08090019" w:tentative="1">
      <w:start w:val="1"/>
      <w:numFmt w:val="lowerLetter"/>
      <w:lvlText w:val="%2."/>
      <w:lvlJc w:val="left"/>
      <w:pPr>
        <w:ind w:left="2974" w:hanging="360"/>
      </w:pPr>
    </w:lvl>
    <w:lvl w:ilvl="2" w:tplc="0809001B" w:tentative="1">
      <w:start w:val="1"/>
      <w:numFmt w:val="lowerRoman"/>
      <w:lvlText w:val="%3."/>
      <w:lvlJc w:val="right"/>
      <w:pPr>
        <w:ind w:left="3694" w:hanging="180"/>
      </w:pPr>
    </w:lvl>
    <w:lvl w:ilvl="3" w:tplc="0809000F" w:tentative="1">
      <w:start w:val="1"/>
      <w:numFmt w:val="decimal"/>
      <w:lvlText w:val="%4."/>
      <w:lvlJc w:val="left"/>
      <w:pPr>
        <w:ind w:left="4414" w:hanging="360"/>
      </w:pPr>
    </w:lvl>
    <w:lvl w:ilvl="4" w:tplc="08090019" w:tentative="1">
      <w:start w:val="1"/>
      <w:numFmt w:val="lowerLetter"/>
      <w:lvlText w:val="%5."/>
      <w:lvlJc w:val="left"/>
      <w:pPr>
        <w:ind w:left="5134" w:hanging="360"/>
      </w:pPr>
    </w:lvl>
    <w:lvl w:ilvl="5" w:tplc="0809001B" w:tentative="1">
      <w:start w:val="1"/>
      <w:numFmt w:val="lowerRoman"/>
      <w:lvlText w:val="%6."/>
      <w:lvlJc w:val="right"/>
      <w:pPr>
        <w:ind w:left="5854" w:hanging="180"/>
      </w:pPr>
    </w:lvl>
    <w:lvl w:ilvl="6" w:tplc="0809000F" w:tentative="1">
      <w:start w:val="1"/>
      <w:numFmt w:val="decimal"/>
      <w:lvlText w:val="%7."/>
      <w:lvlJc w:val="left"/>
      <w:pPr>
        <w:ind w:left="6574" w:hanging="360"/>
      </w:pPr>
    </w:lvl>
    <w:lvl w:ilvl="7" w:tplc="08090019" w:tentative="1">
      <w:start w:val="1"/>
      <w:numFmt w:val="lowerLetter"/>
      <w:lvlText w:val="%8."/>
      <w:lvlJc w:val="left"/>
      <w:pPr>
        <w:ind w:left="7294" w:hanging="360"/>
      </w:pPr>
    </w:lvl>
    <w:lvl w:ilvl="8" w:tplc="0809001B" w:tentative="1">
      <w:start w:val="1"/>
      <w:numFmt w:val="lowerRoman"/>
      <w:lvlText w:val="%9."/>
      <w:lvlJc w:val="right"/>
      <w:pPr>
        <w:ind w:left="8014" w:hanging="180"/>
      </w:pPr>
    </w:lvl>
  </w:abstractNum>
  <w:abstractNum w:abstractNumId="7" w15:restartNumberingAfterBreak="0">
    <w:nsid w:val="092A3DAD"/>
    <w:multiLevelType w:val="hybridMultilevel"/>
    <w:tmpl w:val="9918C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C15AA4"/>
    <w:multiLevelType w:val="hybridMultilevel"/>
    <w:tmpl w:val="F796E67C"/>
    <w:lvl w:ilvl="0" w:tplc="D7DEFDC8">
      <w:start w:val="1"/>
      <w:numFmt w:val="bullet"/>
      <w:lvlText w:val=""/>
      <w:lvlJc w:val="left"/>
      <w:pPr>
        <w:tabs>
          <w:tab w:val="num" w:pos="720"/>
        </w:tabs>
        <w:ind w:left="720" w:hanging="360"/>
      </w:pPr>
      <w:rPr>
        <w:rFonts w:ascii="Wingdings" w:hAnsi="Wingdings" w:hint="default"/>
      </w:rPr>
    </w:lvl>
    <w:lvl w:ilvl="1" w:tplc="94B688FC" w:tentative="1">
      <w:start w:val="1"/>
      <w:numFmt w:val="bullet"/>
      <w:lvlText w:val=""/>
      <w:lvlJc w:val="left"/>
      <w:pPr>
        <w:tabs>
          <w:tab w:val="num" w:pos="1440"/>
        </w:tabs>
        <w:ind w:left="1440" w:hanging="360"/>
      </w:pPr>
      <w:rPr>
        <w:rFonts w:ascii="Wingdings" w:hAnsi="Wingdings" w:hint="default"/>
      </w:rPr>
    </w:lvl>
    <w:lvl w:ilvl="2" w:tplc="CD96B0F0">
      <w:start w:val="1"/>
      <w:numFmt w:val="bullet"/>
      <w:lvlText w:val=""/>
      <w:lvlJc w:val="left"/>
      <w:pPr>
        <w:tabs>
          <w:tab w:val="num" w:pos="2160"/>
        </w:tabs>
        <w:ind w:left="2160" w:hanging="360"/>
      </w:pPr>
      <w:rPr>
        <w:rFonts w:ascii="Wingdings" w:hAnsi="Wingdings" w:hint="default"/>
      </w:rPr>
    </w:lvl>
    <w:lvl w:ilvl="3" w:tplc="843A46E8" w:tentative="1">
      <w:start w:val="1"/>
      <w:numFmt w:val="bullet"/>
      <w:lvlText w:val=""/>
      <w:lvlJc w:val="left"/>
      <w:pPr>
        <w:tabs>
          <w:tab w:val="num" w:pos="2880"/>
        </w:tabs>
        <w:ind w:left="2880" w:hanging="360"/>
      </w:pPr>
      <w:rPr>
        <w:rFonts w:ascii="Wingdings" w:hAnsi="Wingdings" w:hint="default"/>
      </w:rPr>
    </w:lvl>
    <w:lvl w:ilvl="4" w:tplc="833CF3D0" w:tentative="1">
      <w:start w:val="1"/>
      <w:numFmt w:val="bullet"/>
      <w:lvlText w:val=""/>
      <w:lvlJc w:val="left"/>
      <w:pPr>
        <w:tabs>
          <w:tab w:val="num" w:pos="3600"/>
        </w:tabs>
        <w:ind w:left="3600" w:hanging="360"/>
      </w:pPr>
      <w:rPr>
        <w:rFonts w:ascii="Wingdings" w:hAnsi="Wingdings" w:hint="default"/>
      </w:rPr>
    </w:lvl>
    <w:lvl w:ilvl="5" w:tplc="FADC7146" w:tentative="1">
      <w:start w:val="1"/>
      <w:numFmt w:val="bullet"/>
      <w:lvlText w:val=""/>
      <w:lvlJc w:val="left"/>
      <w:pPr>
        <w:tabs>
          <w:tab w:val="num" w:pos="4320"/>
        </w:tabs>
        <w:ind w:left="4320" w:hanging="360"/>
      </w:pPr>
      <w:rPr>
        <w:rFonts w:ascii="Wingdings" w:hAnsi="Wingdings" w:hint="default"/>
      </w:rPr>
    </w:lvl>
    <w:lvl w:ilvl="6" w:tplc="1FEC1EE2" w:tentative="1">
      <w:start w:val="1"/>
      <w:numFmt w:val="bullet"/>
      <w:lvlText w:val=""/>
      <w:lvlJc w:val="left"/>
      <w:pPr>
        <w:tabs>
          <w:tab w:val="num" w:pos="5040"/>
        </w:tabs>
        <w:ind w:left="5040" w:hanging="360"/>
      </w:pPr>
      <w:rPr>
        <w:rFonts w:ascii="Wingdings" w:hAnsi="Wingdings" w:hint="default"/>
      </w:rPr>
    </w:lvl>
    <w:lvl w:ilvl="7" w:tplc="27684AAA" w:tentative="1">
      <w:start w:val="1"/>
      <w:numFmt w:val="bullet"/>
      <w:lvlText w:val=""/>
      <w:lvlJc w:val="left"/>
      <w:pPr>
        <w:tabs>
          <w:tab w:val="num" w:pos="5760"/>
        </w:tabs>
        <w:ind w:left="5760" w:hanging="360"/>
      </w:pPr>
      <w:rPr>
        <w:rFonts w:ascii="Wingdings" w:hAnsi="Wingdings" w:hint="default"/>
      </w:rPr>
    </w:lvl>
    <w:lvl w:ilvl="8" w:tplc="D48A2E5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F5082"/>
    <w:multiLevelType w:val="hybridMultilevel"/>
    <w:tmpl w:val="84483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1E4A53"/>
    <w:multiLevelType w:val="hybridMultilevel"/>
    <w:tmpl w:val="4986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1530A4"/>
    <w:multiLevelType w:val="multilevel"/>
    <w:tmpl w:val="8CE23BCC"/>
    <w:lvl w:ilvl="0">
      <w:start w:val="1"/>
      <w:numFmt w:val="decimal"/>
      <w:pStyle w:val="Listaconnme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F734306"/>
    <w:multiLevelType w:val="multilevel"/>
    <w:tmpl w:val="406E0E74"/>
    <w:lvl w:ilvl="0">
      <w:start w:val="1"/>
      <w:numFmt w:val="decimal"/>
      <w:pStyle w:val="Ttulo1"/>
      <w:lvlText w:val="%1."/>
      <w:lvlJc w:val="left"/>
      <w:pPr>
        <w:tabs>
          <w:tab w:val="num" w:pos="480"/>
        </w:tabs>
        <w:ind w:left="480" w:hanging="480"/>
      </w:pPr>
    </w:lvl>
    <w:lvl w:ilvl="1">
      <w:start w:val="1"/>
      <w:numFmt w:val="decimal"/>
      <w:pStyle w:val="Ttulo2"/>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2DD3599"/>
    <w:multiLevelType w:val="multilevel"/>
    <w:tmpl w:val="4EAA5BA6"/>
    <w:lvl w:ilvl="0">
      <w:start w:val="1"/>
      <w:numFmt w:val="decimal"/>
      <w:pStyle w:val="Listaconnme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3B64844"/>
    <w:multiLevelType w:val="hybridMultilevel"/>
    <w:tmpl w:val="21C4E85E"/>
    <w:lvl w:ilvl="0" w:tplc="0B8652A0">
      <w:start w:val="1"/>
      <w:numFmt w:val="bullet"/>
      <w:lvlText w:val="•"/>
      <w:lvlJc w:val="left"/>
      <w:pPr>
        <w:tabs>
          <w:tab w:val="num" w:pos="720"/>
        </w:tabs>
        <w:ind w:left="720" w:hanging="360"/>
      </w:pPr>
      <w:rPr>
        <w:rFonts w:ascii="Arial" w:hAnsi="Arial" w:hint="default"/>
      </w:rPr>
    </w:lvl>
    <w:lvl w:ilvl="1" w:tplc="485A035A">
      <w:start w:val="1"/>
      <w:numFmt w:val="bullet"/>
      <w:lvlText w:val="•"/>
      <w:lvlJc w:val="left"/>
      <w:pPr>
        <w:tabs>
          <w:tab w:val="num" w:pos="1440"/>
        </w:tabs>
        <w:ind w:left="1440" w:hanging="360"/>
      </w:pPr>
      <w:rPr>
        <w:rFonts w:ascii="Arial" w:hAnsi="Arial" w:hint="default"/>
      </w:rPr>
    </w:lvl>
    <w:lvl w:ilvl="2" w:tplc="0CB85BDA" w:tentative="1">
      <w:start w:val="1"/>
      <w:numFmt w:val="bullet"/>
      <w:lvlText w:val="•"/>
      <w:lvlJc w:val="left"/>
      <w:pPr>
        <w:tabs>
          <w:tab w:val="num" w:pos="2160"/>
        </w:tabs>
        <w:ind w:left="2160" w:hanging="360"/>
      </w:pPr>
      <w:rPr>
        <w:rFonts w:ascii="Arial" w:hAnsi="Arial" w:hint="default"/>
      </w:rPr>
    </w:lvl>
    <w:lvl w:ilvl="3" w:tplc="0D34F416" w:tentative="1">
      <w:start w:val="1"/>
      <w:numFmt w:val="bullet"/>
      <w:lvlText w:val="•"/>
      <w:lvlJc w:val="left"/>
      <w:pPr>
        <w:tabs>
          <w:tab w:val="num" w:pos="2880"/>
        </w:tabs>
        <w:ind w:left="2880" w:hanging="360"/>
      </w:pPr>
      <w:rPr>
        <w:rFonts w:ascii="Arial" w:hAnsi="Arial" w:hint="default"/>
      </w:rPr>
    </w:lvl>
    <w:lvl w:ilvl="4" w:tplc="73E0E890" w:tentative="1">
      <w:start w:val="1"/>
      <w:numFmt w:val="bullet"/>
      <w:lvlText w:val="•"/>
      <w:lvlJc w:val="left"/>
      <w:pPr>
        <w:tabs>
          <w:tab w:val="num" w:pos="3600"/>
        </w:tabs>
        <w:ind w:left="3600" w:hanging="360"/>
      </w:pPr>
      <w:rPr>
        <w:rFonts w:ascii="Arial" w:hAnsi="Arial" w:hint="default"/>
      </w:rPr>
    </w:lvl>
    <w:lvl w:ilvl="5" w:tplc="99C8F2FC" w:tentative="1">
      <w:start w:val="1"/>
      <w:numFmt w:val="bullet"/>
      <w:lvlText w:val="•"/>
      <w:lvlJc w:val="left"/>
      <w:pPr>
        <w:tabs>
          <w:tab w:val="num" w:pos="4320"/>
        </w:tabs>
        <w:ind w:left="4320" w:hanging="360"/>
      </w:pPr>
      <w:rPr>
        <w:rFonts w:ascii="Arial" w:hAnsi="Arial" w:hint="default"/>
      </w:rPr>
    </w:lvl>
    <w:lvl w:ilvl="6" w:tplc="4B9C064C" w:tentative="1">
      <w:start w:val="1"/>
      <w:numFmt w:val="bullet"/>
      <w:lvlText w:val="•"/>
      <w:lvlJc w:val="left"/>
      <w:pPr>
        <w:tabs>
          <w:tab w:val="num" w:pos="5040"/>
        </w:tabs>
        <w:ind w:left="5040" w:hanging="360"/>
      </w:pPr>
      <w:rPr>
        <w:rFonts w:ascii="Arial" w:hAnsi="Arial" w:hint="default"/>
      </w:rPr>
    </w:lvl>
    <w:lvl w:ilvl="7" w:tplc="E0CEDFAC" w:tentative="1">
      <w:start w:val="1"/>
      <w:numFmt w:val="bullet"/>
      <w:lvlText w:val="•"/>
      <w:lvlJc w:val="left"/>
      <w:pPr>
        <w:tabs>
          <w:tab w:val="num" w:pos="5760"/>
        </w:tabs>
        <w:ind w:left="5760" w:hanging="360"/>
      </w:pPr>
      <w:rPr>
        <w:rFonts w:ascii="Arial" w:hAnsi="Arial" w:hint="default"/>
      </w:rPr>
    </w:lvl>
    <w:lvl w:ilvl="8" w:tplc="6E0AF2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D4302F"/>
    <w:multiLevelType w:val="hybridMultilevel"/>
    <w:tmpl w:val="580C1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1F01E5"/>
    <w:multiLevelType w:val="hybridMultilevel"/>
    <w:tmpl w:val="C5B425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372593"/>
    <w:multiLevelType w:val="hybridMultilevel"/>
    <w:tmpl w:val="47B20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7BA479D"/>
    <w:multiLevelType w:val="hybridMultilevel"/>
    <w:tmpl w:val="5008A70E"/>
    <w:lvl w:ilvl="0" w:tplc="EDBCF99A">
      <w:start w:val="1"/>
      <w:numFmt w:val="bullet"/>
      <w:pStyle w:val="Bullet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15:restartNumberingAfterBreak="0">
    <w:nsid w:val="2CAB4527"/>
    <w:multiLevelType w:val="multilevel"/>
    <w:tmpl w:val="26C24C12"/>
    <w:lvl w:ilvl="0">
      <w:start w:val="1"/>
      <w:numFmt w:val="decimal"/>
      <w:pStyle w:val="Listaconnme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3"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91B0925"/>
    <w:multiLevelType w:val="hybridMultilevel"/>
    <w:tmpl w:val="F70C42FA"/>
    <w:lvl w:ilvl="0" w:tplc="0C0A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B6DC8"/>
    <w:multiLevelType w:val="singleLevel"/>
    <w:tmpl w:val="D97CFDF8"/>
    <w:lvl w:ilvl="0">
      <w:start w:val="1"/>
      <w:numFmt w:val="bullet"/>
      <w:pStyle w:val="Listaconvietas2"/>
      <w:lvlText w:val=""/>
      <w:lvlJc w:val="left"/>
      <w:pPr>
        <w:tabs>
          <w:tab w:val="num" w:pos="1485"/>
        </w:tabs>
        <w:ind w:left="1485" w:hanging="283"/>
      </w:pPr>
      <w:rPr>
        <w:rFonts w:ascii="Symbol" w:hAnsi="Symbol"/>
      </w:rPr>
    </w:lvl>
  </w:abstractNum>
  <w:abstractNum w:abstractNumId="26" w15:restartNumberingAfterBreak="0">
    <w:nsid w:val="3CF00E18"/>
    <w:multiLevelType w:val="singleLevel"/>
    <w:tmpl w:val="4E1A982C"/>
    <w:lvl w:ilvl="0">
      <w:start w:val="1"/>
      <w:numFmt w:val="bullet"/>
      <w:pStyle w:val="Listaconvietas"/>
      <w:lvlText w:val=""/>
      <w:lvlJc w:val="left"/>
      <w:pPr>
        <w:tabs>
          <w:tab w:val="num" w:pos="283"/>
        </w:tabs>
        <w:ind w:left="283" w:hanging="283"/>
      </w:pPr>
      <w:rPr>
        <w:rFonts w:ascii="Symbol" w:hAnsi="Symbol"/>
      </w:rPr>
    </w:lvl>
  </w:abstractNum>
  <w:abstractNum w:abstractNumId="27" w15:restartNumberingAfterBreak="0">
    <w:nsid w:val="3F3D4B35"/>
    <w:multiLevelType w:val="hybridMultilevel"/>
    <w:tmpl w:val="0DDE6E6C"/>
    <w:lvl w:ilvl="0" w:tplc="7D44F622">
      <w:start w:val="1"/>
      <w:numFmt w:val="bullet"/>
      <w:pStyle w:val="PM2-BulletLis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15:restartNumberingAfterBreak="0">
    <w:nsid w:val="49952461"/>
    <w:multiLevelType w:val="hybridMultilevel"/>
    <w:tmpl w:val="1AFA5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A19C1"/>
    <w:multiLevelType w:val="hybridMultilevel"/>
    <w:tmpl w:val="F782D32A"/>
    <w:lvl w:ilvl="0" w:tplc="A408312C">
      <w:start w:val="1"/>
      <w:numFmt w:val="bullet"/>
      <w:pStyle w:val="brol"/>
      <w:lvlText w:val="o"/>
      <w:lvlJc w:val="left"/>
      <w:pPr>
        <w:ind w:left="842" w:hanging="360"/>
      </w:pPr>
      <w:rPr>
        <w:rFonts w:ascii="Courier New" w:hAnsi="Courier New" w:cs="Courier New"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31"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3" w15:restartNumberingAfterBreak="0">
    <w:nsid w:val="50522D95"/>
    <w:multiLevelType w:val="hybridMultilevel"/>
    <w:tmpl w:val="B70A9B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1E2238F"/>
    <w:multiLevelType w:val="hybridMultilevel"/>
    <w:tmpl w:val="661E18C2"/>
    <w:lvl w:ilvl="0" w:tplc="264A725A">
      <w:start w:val="1"/>
      <w:numFmt w:val="bullet"/>
      <w:pStyle w:val="brol3"/>
      <w:lvlText w:val=""/>
      <w:lvlJc w:val="left"/>
      <w:pPr>
        <w:ind w:left="2114" w:hanging="360"/>
      </w:pPr>
      <w:rPr>
        <w:rFonts w:ascii="Wingdings" w:hAnsi="Wingdings" w:hint="default"/>
      </w:rPr>
    </w:lvl>
    <w:lvl w:ilvl="1" w:tplc="08090003" w:tentative="1">
      <w:start w:val="1"/>
      <w:numFmt w:val="bullet"/>
      <w:lvlText w:val="o"/>
      <w:lvlJc w:val="left"/>
      <w:pPr>
        <w:ind w:left="2834" w:hanging="360"/>
      </w:pPr>
      <w:rPr>
        <w:rFonts w:ascii="Courier New" w:hAnsi="Courier New" w:cs="Courier New" w:hint="default"/>
      </w:rPr>
    </w:lvl>
    <w:lvl w:ilvl="2" w:tplc="08090005" w:tentative="1">
      <w:start w:val="1"/>
      <w:numFmt w:val="bullet"/>
      <w:lvlText w:val=""/>
      <w:lvlJc w:val="left"/>
      <w:pPr>
        <w:ind w:left="3554" w:hanging="360"/>
      </w:pPr>
      <w:rPr>
        <w:rFonts w:ascii="Wingdings" w:hAnsi="Wingdings" w:hint="default"/>
      </w:rPr>
    </w:lvl>
    <w:lvl w:ilvl="3" w:tplc="08090001" w:tentative="1">
      <w:start w:val="1"/>
      <w:numFmt w:val="bullet"/>
      <w:lvlText w:val=""/>
      <w:lvlJc w:val="left"/>
      <w:pPr>
        <w:ind w:left="4274" w:hanging="360"/>
      </w:pPr>
      <w:rPr>
        <w:rFonts w:ascii="Symbol" w:hAnsi="Symbol" w:hint="default"/>
      </w:rPr>
    </w:lvl>
    <w:lvl w:ilvl="4" w:tplc="08090003" w:tentative="1">
      <w:start w:val="1"/>
      <w:numFmt w:val="bullet"/>
      <w:lvlText w:val="o"/>
      <w:lvlJc w:val="left"/>
      <w:pPr>
        <w:ind w:left="4994" w:hanging="360"/>
      </w:pPr>
      <w:rPr>
        <w:rFonts w:ascii="Courier New" w:hAnsi="Courier New" w:cs="Courier New" w:hint="default"/>
      </w:rPr>
    </w:lvl>
    <w:lvl w:ilvl="5" w:tplc="08090005" w:tentative="1">
      <w:start w:val="1"/>
      <w:numFmt w:val="bullet"/>
      <w:lvlText w:val=""/>
      <w:lvlJc w:val="left"/>
      <w:pPr>
        <w:ind w:left="5714" w:hanging="360"/>
      </w:pPr>
      <w:rPr>
        <w:rFonts w:ascii="Wingdings" w:hAnsi="Wingdings" w:hint="default"/>
      </w:rPr>
    </w:lvl>
    <w:lvl w:ilvl="6" w:tplc="08090001" w:tentative="1">
      <w:start w:val="1"/>
      <w:numFmt w:val="bullet"/>
      <w:lvlText w:val=""/>
      <w:lvlJc w:val="left"/>
      <w:pPr>
        <w:ind w:left="6434" w:hanging="360"/>
      </w:pPr>
      <w:rPr>
        <w:rFonts w:ascii="Symbol" w:hAnsi="Symbol" w:hint="default"/>
      </w:rPr>
    </w:lvl>
    <w:lvl w:ilvl="7" w:tplc="08090003" w:tentative="1">
      <w:start w:val="1"/>
      <w:numFmt w:val="bullet"/>
      <w:lvlText w:val="o"/>
      <w:lvlJc w:val="left"/>
      <w:pPr>
        <w:ind w:left="7154" w:hanging="360"/>
      </w:pPr>
      <w:rPr>
        <w:rFonts w:ascii="Courier New" w:hAnsi="Courier New" w:cs="Courier New" w:hint="default"/>
      </w:rPr>
    </w:lvl>
    <w:lvl w:ilvl="8" w:tplc="08090005" w:tentative="1">
      <w:start w:val="1"/>
      <w:numFmt w:val="bullet"/>
      <w:lvlText w:val=""/>
      <w:lvlJc w:val="left"/>
      <w:pPr>
        <w:ind w:left="7874" w:hanging="360"/>
      </w:pPr>
      <w:rPr>
        <w:rFonts w:ascii="Wingdings" w:hAnsi="Wingdings" w:hint="default"/>
      </w:rPr>
    </w:lvl>
  </w:abstractNum>
  <w:abstractNum w:abstractNumId="35"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6" w15:restartNumberingAfterBreak="0">
    <w:nsid w:val="55AB5649"/>
    <w:multiLevelType w:val="hybridMultilevel"/>
    <w:tmpl w:val="B3C043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9803FA1"/>
    <w:multiLevelType w:val="hybridMultilevel"/>
    <w:tmpl w:val="CC7E9E7A"/>
    <w:lvl w:ilvl="0" w:tplc="8010568C">
      <w:start w:val="1"/>
      <w:numFmt w:val="decimal"/>
      <w:pStyle w:val="Ttulo5"/>
      <w:lvlText w:val="%1."/>
      <w:lvlJc w:val="left"/>
      <w:pPr>
        <w:ind w:left="720" w:hanging="360"/>
      </w:pPr>
      <w:rPr>
        <w:rFonts w:ascii="Arial" w:hAnsi="Arial" w:hint="default"/>
        <w:b/>
        <w:i w:val="0"/>
        <w:caps w:val="0"/>
        <w:strike w:val="0"/>
        <w:dstrike w:val="0"/>
        <w:vanish w:val="0"/>
        <w:color w:val="003399"/>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656D6E"/>
    <w:multiLevelType w:val="hybridMultilevel"/>
    <w:tmpl w:val="D6F86F60"/>
    <w:lvl w:ilvl="0" w:tplc="A6E40186">
      <w:start w:val="1"/>
      <w:numFmt w:val="bullet"/>
      <w:lvlText w:val=""/>
      <w:lvlJc w:val="left"/>
      <w:pPr>
        <w:ind w:left="720" w:hanging="360"/>
      </w:pPr>
      <w:rPr>
        <w:rFonts w:ascii="Wingdings" w:hAnsi="Wingdings" w:hint="default"/>
        <w:color w:val="FFC000"/>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99A25C2C">
      <w:numFmt w:val="bullet"/>
      <w:lvlText w:val="•"/>
      <w:lvlJc w:val="left"/>
      <w:pPr>
        <w:ind w:left="3240" w:hanging="720"/>
      </w:pPr>
      <w:rPr>
        <w:rFonts w:ascii="Century Gothic" w:eastAsia="Times New Roman" w:hAnsi="Century Gothic" w:cs="Times New Roman"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1" w15:restartNumberingAfterBreak="0">
    <w:nsid w:val="620F2440"/>
    <w:multiLevelType w:val="singleLevel"/>
    <w:tmpl w:val="6860A420"/>
    <w:lvl w:ilvl="0">
      <w:start w:val="1"/>
      <w:numFmt w:val="bullet"/>
      <w:pStyle w:val="Listaconvietas3"/>
      <w:lvlText w:val=""/>
      <w:lvlJc w:val="left"/>
      <w:pPr>
        <w:tabs>
          <w:tab w:val="num" w:pos="1485"/>
        </w:tabs>
        <w:ind w:left="1485" w:hanging="283"/>
      </w:pPr>
      <w:rPr>
        <w:rFonts w:ascii="Symbol" w:hAnsi="Symbol"/>
      </w:rPr>
    </w:lvl>
  </w:abstractNum>
  <w:abstractNum w:abstractNumId="42" w15:restartNumberingAfterBreak="0">
    <w:nsid w:val="64734DEB"/>
    <w:multiLevelType w:val="hybridMultilevel"/>
    <w:tmpl w:val="4C5246E8"/>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5BE6C61"/>
    <w:multiLevelType w:val="hybridMultilevel"/>
    <w:tmpl w:val="7772C31C"/>
    <w:lvl w:ilvl="0" w:tplc="A6E40186">
      <w:start w:val="1"/>
      <w:numFmt w:val="bullet"/>
      <w:lvlText w:val=""/>
      <w:lvlJc w:val="left"/>
      <w:pPr>
        <w:ind w:left="360" w:hanging="360"/>
      </w:pPr>
      <w:rPr>
        <w:rFonts w:ascii="Wingdings" w:hAnsi="Wingdings" w:hint="default"/>
        <w:color w:val="FFC00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99A25C2C">
      <w:numFmt w:val="bullet"/>
      <w:lvlText w:val="•"/>
      <w:lvlJc w:val="left"/>
      <w:pPr>
        <w:ind w:left="2880" w:hanging="720"/>
      </w:pPr>
      <w:rPr>
        <w:rFonts w:ascii="Century Gothic" w:eastAsia="Times New Roman" w:hAnsi="Century Gothic" w:cs="Times New Roman"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68F016B8"/>
    <w:multiLevelType w:val="hybridMultilevel"/>
    <w:tmpl w:val="A1B8A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AD235A6"/>
    <w:multiLevelType w:val="hybridMultilevel"/>
    <w:tmpl w:val="C65C6330"/>
    <w:lvl w:ilvl="0" w:tplc="42201926">
      <w:start w:val="1"/>
      <w:numFmt w:val="lowerLetter"/>
      <w:pStyle w:val="Numbering-alphabets-indented"/>
      <w:lvlText w:val="%1)"/>
      <w:lvlJc w:val="left"/>
      <w:pPr>
        <w:ind w:left="1440" w:hanging="360"/>
      </w:pPr>
      <w:rPr>
        <w:rFonts w:cs="Times New Roman"/>
      </w:rPr>
    </w:lvl>
    <w:lvl w:ilvl="1" w:tplc="40090003" w:tentative="1">
      <w:start w:val="1"/>
      <w:numFmt w:val="lowerLetter"/>
      <w:lvlText w:val="%2."/>
      <w:lvlJc w:val="left"/>
      <w:pPr>
        <w:ind w:left="2160" w:hanging="360"/>
      </w:pPr>
      <w:rPr>
        <w:rFonts w:cs="Times New Roman"/>
      </w:rPr>
    </w:lvl>
    <w:lvl w:ilvl="2" w:tplc="40090005" w:tentative="1">
      <w:start w:val="1"/>
      <w:numFmt w:val="lowerRoman"/>
      <w:lvlText w:val="%3."/>
      <w:lvlJc w:val="right"/>
      <w:pPr>
        <w:ind w:left="2880" w:hanging="180"/>
      </w:pPr>
      <w:rPr>
        <w:rFonts w:cs="Times New Roman"/>
      </w:rPr>
    </w:lvl>
    <w:lvl w:ilvl="3" w:tplc="40090001" w:tentative="1">
      <w:start w:val="1"/>
      <w:numFmt w:val="decimal"/>
      <w:lvlText w:val="%4."/>
      <w:lvlJc w:val="left"/>
      <w:pPr>
        <w:ind w:left="3600" w:hanging="360"/>
      </w:pPr>
      <w:rPr>
        <w:rFonts w:cs="Times New Roman"/>
      </w:rPr>
    </w:lvl>
    <w:lvl w:ilvl="4" w:tplc="40090003" w:tentative="1">
      <w:start w:val="1"/>
      <w:numFmt w:val="lowerLetter"/>
      <w:lvlText w:val="%5."/>
      <w:lvlJc w:val="left"/>
      <w:pPr>
        <w:ind w:left="4320" w:hanging="360"/>
      </w:pPr>
      <w:rPr>
        <w:rFonts w:cs="Times New Roman"/>
      </w:rPr>
    </w:lvl>
    <w:lvl w:ilvl="5" w:tplc="40090005" w:tentative="1">
      <w:start w:val="1"/>
      <w:numFmt w:val="lowerRoman"/>
      <w:lvlText w:val="%6."/>
      <w:lvlJc w:val="right"/>
      <w:pPr>
        <w:ind w:left="5040" w:hanging="180"/>
      </w:pPr>
      <w:rPr>
        <w:rFonts w:cs="Times New Roman"/>
      </w:rPr>
    </w:lvl>
    <w:lvl w:ilvl="6" w:tplc="40090001" w:tentative="1">
      <w:start w:val="1"/>
      <w:numFmt w:val="decimal"/>
      <w:lvlText w:val="%7."/>
      <w:lvlJc w:val="left"/>
      <w:pPr>
        <w:ind w:left="5760" w:hanging="360"/>
      </w:pPr>
      <w:rPr>
        <w:rFonts w:cs="Times New Roman"/>
      </w:rPr>
    </w:lvl>
    <w:lvl w:ilvl="7" w:tplc="40090003" w:tentative="1">
      <w:start w:val="1"/>
      <w:numFmt w:val="lowerLetter"/>
      <w:lvlText w:val="%8."/>
      <w:lvlJc w:val="left"/>
      <w:pPr>
        <w:ind w:left="6480" w:hanging="360"/>
      </w:pPr>
      <w:rPr>
        <w:rFonts w:cs="Times New Roman"/>
      </w:rPr>
    </w:lvl>
    <w:lvl w:ilvl="8" w:tplc="40090005" w:tentative="1">
      <w:start w:val="1"/>
      <w:numFmt w:val="lowerRoman"/>
      <w:lvlText w:val="%9."/>
      <w:lvlJc w:val="right"/>
      <w:pPr>
        <w:ind w:left="7200" w:hanging="180"/>
      </w:pPr>
      <w:rPr>
        <w:rFonts w:cs="Times New Roman"/>
      </w:rPr>
    </w:lvl>
  </w:abstractNum>
  <w:abstractNum w:abstractNumId="46" w15:restartNumberingAfterBreak="0">
    <w:nsid w:val="6BB70BBC"/>
    <w:multiLevelType w:val="hybridMultilevel"/>
    <w:tmpl w:val="A5089844"/>
    <w:lvl w:ilvl="0" w:tplc="D7545B6C">
      <w:start w:val="1"/>
      <w:numFmt w:val="bullet"/>
      <w:lvlText w:val=""/>
      <w:lvlJc w:val="left"/>
      <w:pPr>
        <w:tabs>
          <w:tab w:val="num" w:pos="720"/>
        </w:tabs>
        <w:ind w:left="720" w:hanging="360"/>
      </w:pPr>
      <w:rPr>
        <w:rFonts w:ascii="Wingdings" w:hAnsi="Wingdings" w:hint="default"/>
      </w:rPr>
    </w:lvl>
    <w:lvl w:ilvl="1" w:tplc="CEFAF78A" w:tentative="1">
      <w:start w:val="1"/>
      <w:numFmt w:val="bullet"/>
      <w:lvlText w:val=""/>
      <w:lvlJc w:val="left"/>
      <w:pPr>
        <w:tabs>
          <w:tab w:val="num" w:pos="1440"/>
        </w:tabs>
        <w:ind w:left="1440" w:hanging="360"/>
      </w:pPr>
      <w:rPr>
        <w:rFonts w:ascii="Wingdings" w:hAnsi="Wingdings" w:hint="default"/>
      </w:rPr>
    </w:lvl>
    <w:lvl w:ilvl="2" w:tplc="11AE880C">
      <w:start w:val="1"/>
      <w:numFmt w:val="bullet"/>
      <w:lvlText w:val=""/>
      <w:lvlJc w:val="left"/>
      <w:pPr>
        <w:tabs>
          <w:tab w:val="num" w:pos="2160"/>
        </w:tabs>
        <w:ind w:left="2160" w:hanging="360"/>
      </w:pPr>
      <w:rPr>
        <w:rFonts w:ascii="Wingdings" w:hAnsi="Wingdings" w:hint="default"/>
      </w:rPr>
    </w:lvl>
    <w:lvl w:ilvl="3" w:tplc="D2B27A24" w:tentative="1">
      <w:start w:val="1"/>
      <w:numFmt w:val="bullet"/>
      <w:lvlText w:val=""/>
      <w:lvlJc w:val="left"/>
      <w:pPr>
        <w:tabs>
          <w:tab w:val="num" w:pos="2880"/>
        </w:tabs>
        <w:ind w:left="2880" w:hanging="360"/>
      </w:pPr>
      <w:rPr>
        <w:rFonts w:ascii="Wingdings" w:hAnsi="Wingdings" w:hint="default"/>
      </w:rPr>
    </w:lvl>
    <w:lvl w:ilvl="4" w:tplc="3B4090A8" w:tentative="1">
      <w:start w:val="1"/>
      <w:numFmt w:val="bullet"/>
      <w:lvlText w:val=""/>
      <w:lvlJc w:val="left"/>
      <w:pPr>
        <w:tabs>
          <w:tab w:val="num" w:pos="3600"/>
        </w:tabs>
        <w:ind w:left="3600" w:hanging="360"/>
      </w:pPr>
      <w:rPr>
        <w:rFonts w:ascii="Wingdings" w:hAnsi="Wingdings" w:hint="default"/>
      </w:rPr>
    </w:lvl>
    <w:lvl w:ilvl="5" w:tplc="FD8CB158" w:tentative="1">
      <w:start w:val="1"/>
      <w:numFmt w:val="bullet"/>
      <w:lvlText w:val=""/>
      <w:lvlJc w:val="left"/>
      <w:pPr>
        <w:tabs>
          <w:tab w:val="num" w:pos="4320"/>
        </w:tabs>
        <w:ind w:left="4320" w:hanging="360"/>
      </w:pPr>
      <w:rPr>
        <w:rFonts w:ascii="Wingdings" w:hAnsi="Wingdings" w:hint="default"/>
      </w:rPr>
    </w:lvl>
    <w:lvl w:ilvl="6" w:tplc="FE047A80" w:tentative="1">
      <w:start w:val="1"/>
      <w:numFmt w:val="bullet"/>
      <w:lvlText w:val=""/>
      <w:lvlJc w:val="left"/>
      <w:pPr>
        <w:tabs>
          <w:tab w:val="num" w:pos="5040"/>
        </w:tabs>
        <w:ind w:left="5040" w:hanging="360"/>
      </w:pPr>
      <w:rPr>
        <w:rFonts w:ascii="Wingdings" w:hAnsi="Wingdings" w:hint="default"/>
      </w:rPr>
    </w:lvl>
    <w:lvl w:ilvl="7" w:tplc="1F9E6326" w:tentative="1">
      <w:start w:val="1"/>
      <w:numFmt w:val="bullet"/>
      <w:lvlText w:val=""/>
      <w:lvlJc w:val="left"/>
      <w:pPr>
        <w:tabs>
          <w:tab w:val="num" w:pos="5760"/>
        </w:tabs>
        <w:ind w:left="5760" w:hanging="360"/>
      </w:pPr>
      <w:rPr>
        <w:rFonts w:ascii="Wingdings" w:hAnsi="Wingdings" w:hint="default"/>
      </w:rPr>
    </w:lvl>
    <w:lvl w:ilvl="8" w:tplc="FF14541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7142D"/>
    <w:multiLevelType w:val="hybridMultilevel"/>
    <w:tmpl w:val="4EE62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DF118C0"/>
    <w:multiLevelType w:val="singleLevel"/>
    <w:tmpl w:val="B90C8B88"/>
    <w:lvl w:ilvl="0">
      <w:start w:val="1"/>
      <w:numFmt w:val="bullet"/>
      <w:pStyle w:val="Listaconvietas4"/>
      <w:lvlText w:val=""/>
      <w:lvlJc w:val="left"/>
      <w:pPr>
        <w:tabs>
          <w:tab w:val="num" w:pos="1485"/>
        </w:tabs>
        <w:ind w:left="1485" w:hanging="283"/>
      </w:pPr>
      <w:rPr>
        <w:rFonts w:ascii="Symbol" w:hAnsi="Symbol"/>
      </w:rPr>
    </w:lvl>
  </w:abstractNum>
  <w:abstractNum w:abstractNumId="49" w15:restartNumberingAfterBreak="0">
    <w:nsid w:val="722304D7"/>
    <w:multiLevelType w:val="multilevel"/>
    <w:tmpl w:val="9DE2758E"/>
    <w:lvl w:ilvl="0">
      <w:start w:val="1"/>
      <w:numFmt w:val="decimal"/>
      <w:pStyle w:val="Listaconnme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53700A5"/>
    <w:multiLevelType w:val="hybridMultilevel"/>
    <w:tmpl w:val="B5C000BA"/>
    <w:lvl w:ilvl="0" w:tplc="27DA535C">
      <w:start w:val="1"/>
      <w:numFmt w:val="bullet"/>
      <w:lvlText w:val=""/>
      <w:lvlJc w:val="left"/>
      <w:pPr>
        <w:tabs>
          <w:tab w:val="num" w:pos="720"/>
        </w:tabs>
        <w:ind w:left="720" w:hanging="360"/>
      </w:pPr>
      <w:rPr>
        <w:rFonts w:ascii="Wingdings" w:hAnsi="Wingdings" w:hint="default"/>
      </w:rPr>
    </w:lvl>
    <w:lvl w:ilvl="1" w:tplc="5FEA14DE">
      <w:start w:val="2282"/>
      <w:numFmt w:val="bullet"/>
      <w:lvlText w:val=""/>
      <w:lvlJc w:val="left"/>
      <w:pPr>
        <w:tabs>
          <w:tab w:val="num" w:pos="1440"/>
        </w:tabs>
        <w:ind w:left="1440" w:hanging="360"/>
      </w:pPr>
      <w:rPr>
        <w:rFonts w:ascii="Wingdings" w:hAnsi="Wingdings" w:hint="default"/>
      </w:rPr>
    </w:lvl>
    <w:lvl w:ilvl="2" w:tplc="05C6F38A" w:tentative="1">
      <w:start w:val="1"/>
      <w:numFmt w:val="bullet"/>
      <w:lvlText w:val=""/>
      <w:lvlJc w:val="left"/>
      <w:pPr>
        <w:tabs>
          <w:tab w:val="num" w:pos="2160"/>
        </w:tabs>
        <w:ind w:left="2160" w:hanging="360"/>
      </w:pPr>
      <w:rPr>
        <w:rFonts w:ascii="Wingdings" w:hAnsi="Wingdings" w:hint="default"/>
      </w:rPr>
    </w:lvl>
    <w:lvl w:ilvl="3" w:tplc="828EEFB2" w:tentative="1">
      <w:start w:val="1"/>
      <w:numFmt w:val="bullet"/>
      <w:lvlText w:val=""/>
      <w:lvlJc w:val="left"/>
      <w:pPr>
        <w:tabs>
          <w:tab w:val="num" w:pos="2880"/>
        </w:tabs>
        <w:ind w:left="2880" w:hanging="360"/>
      </w:pPr>
      <w:rPr>
        <w:rFonts w:ascii="Wingdings" w:hAnsi="Wingdings" w:hint="default"/>
      </w:rPr>
    </w:lvl>
    <w:lvl w:ilvl="4" w:tplc="3B7C8296" w:tentative="1">
      <w:start w:val="1"/>
      <w:numFmt w:val="bullet"/>
      <w:lvlText w:val=""/>
      <w:lvlJc w:val="left"/>
      <w:pPr>
        <w:tabs>
          <w:tab w:val="num" w:pos="3600"/>
        </w:tabs>
        <w:ind w:left="3600" w:hanging="360"/>
      </w:pPr>
      <w:rPr>
        <w:rFonts w:ascii="Wingdings" w:hAnsi="Wingdings" w:hint="default"/>
      </w:rPr>
    </w:lvl>
    <w:lvl w:ilvl="5" w:tplc="5B8EAAD8" w:tentative="1">
      <w:start w:val="1"/>
      <w:numFmt w:val="bullet"/>
      <w:lvlText w:val=""/>
      <w:lvlJc w:val="left"/>
      <w:pPr>
        <w:tabs>
          <w:tab w:val="num" w:pos="4320"/>
        </w:tabs>
        <w:ind w:left="4320" w:hanging="360"/>
      </w:pPr>
      <w:rPr>
        <w:rFonts w:ascii="Wingdings" w:hAnsi="Wingdings" w:hint="default"/>
      </w:rPr>
    </w:lvl>
    <w:lvl w:ilvl="6" w:tplc="AE44DA08" w:tentative="1">
      <w:start w:val="1"/>
      <w:numFmt w:val="bullet"/>
      <w:lvlText w:val=""/>
      <w:lvlJc w:val="left"/>
      <w:pPr>
        <w:tabs>
          <w:tab w:val="num" w:pos="5040"/>
        </w:tabs>
        <w:ind w:left="5040" w:hanging="360"/>
      </w:pPr>
      <w:rPr>
        <w:rFonts w:ascii="Wingdings" w:hAnsi="Wingdings" w:hint="default"/>
      </w:rPr>
    </w:lvl>
    <w:lvl w:ilvl="7" w:tplc="EC8EA552" w:tentative="1">
      <w:start w:val="1"/>
      <w:numFmt w:val="bullet"/>
      <w:lvlText w:val=""/>
      <w:lvlJc w:val="left"/>
      <w:pPr>
        <w:tabs>
          <w:tab w:val="num" w:pos="5760"/>
        </w:tabs>
        <w:ind w:left="5760" w:hanging="360"/>
      </w:pPr>
      <w:rPr>
        <w:rFonts w:ascii="Wingdings" w:hAnsi="Wingdings" w:hint="default"/>
      </w:rPr>
    </w:lvl>
    <w:lvl w:ilvl="8" w:tplc="C760610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5A1B82"/>
    <w:multiLevelType w:val="hybridMultilevel"/>
    <w:tmpl w:val="F6D4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8FC2277"/>
    <w:multiLevelType w:val="hybridMultilevel"/>
    <w:tmpl w:val="DEA860D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65145E"/>
    <w:multiLevelType w:val="multilevel"/>
    <w:tmpl w:val="B9BE244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u w:val="none"/>
      </w:rPr>
    </w:lvl>
    <w:lvl w:ilvl="3">
      <w:start w:val="1"/>
      <w:numFmt w:val="decimal"/>
      <w:pStyle w:val="Ttulo4"/>
      <w:suff w:val="space"/>
      <w:lvlText w:val="%1.%2.%3.%4."/>
      <w:lvlJc w:val="left"/>
      <w:pPr>
        <w:ind w:left="0" w:firstLine="0"/>
      </w:pPr>
      <w:rPr>
        <w:rFonts w:hint="default"/>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0"/>
  </w:num>
  <w:num w:numId="3">
    <w:abstractNumId w:val="13"/>
  </w:num>
  <w:num w:numId="4">
    <w:abstractNumId w:val="26"/>
  </w:num>
  <w:num w:numId="5">
    <w:abstractNumId w:val="20"/>
  </w:num>
  <w:num w:numId="6">
    <w:abstractNumId w:val="25"/>
  </w:num>
  <w:num w:numId="7">
    <w:abstractNumId w:val="41"/>
  </w:num>
  <w:num w:numId="8">
    <w:abstractNumId w:val="48"/>
  </w:num>
  <w:num w:numId="9">
    <w:abstractNumId w:val="22"/>
  </w:num>
  <w:num w:numId="10">
    <w:abstractNumId w:val="40"/>
  </w:num>
  <w:num w:numId="11">
    <w:abstractNumId w:val="39"/>
  </w:num>
  <w:num w:numId="12">
    <w:abstractNumId w:val="28"/>
  </w:num>
  <w:num w:numId="13">
    <w:abstractNumId w:val="35"/>
  </w:num>
  <w:num w:numId="14">
    <w:abstractNumId w:val="14"/>
  </w:num>
  <w:num w:numId="15">
    <w:abstractNumId w:val="23"/>
  </w:num>
  <w:num w:numId="16">
    <w:abstractNumId w:val="12"/>
  </w:num>
  <w:num w:numId="17">
    <w:abstractNumId w:val="21"/>
  </w:num>
  <w:num w:numId="18">
    <w:abstractNumId w:val="49"/>
  </w:num>
  <w:num w:numId="19">
    <w:abstractNumId w:val="31"/>
  </w:num>
  <w:num w:numId="20">
    <w:abstractNumId w:val="9"/>
  </w:num>
  <w:num w:numId="21">
    <w:abstractNumId w:val="32"/>
  </w:num>
  <w:num w:numId="22">
    <w:abstractNumId w:val="53"/>
  </w:num>
  <w:num w:numId="23">
    <w:abstractNumId w:val="45"/>
  </w:num>
  <w:num w:numId="24">
    <w:abstractNumId w:val="27"/>
  </w:num>
  <w:num w:numId="25">
    <w:abstractNumId w:val="30"/>
  </w:num>
  <w:num w:numId="26">
    <w:abstractNumId w:val="34"/>
  </w:num>
  <w:num w:numId="27">
    <w:abstractNumId w:val="6"/>
  </w:num>
  <w:num w:numId="28">
    <w:abstractNumId w:val="54"/>
  </w:num>
  <w:num w:numId="29">
    <w:abstractNumId w:val="19"/>
  </w:num>
  <w:num w:numId="30">
    <w:abstractNumId w:val="37"/>
  </w:num>
  <w:num w:numId="31">
    <w:abstractNumId w:val="11"/>
  </w:num>
  <w:num w:numId="32">
    <w:abstractNumId w:val="43"/>
  </w:num>
  <w:num w:numId="33">
    <w:abstractNumId w:val="5"/>
  </w:num>
  <w:num w:numId="34">
    <w:abstractNumId w:val="15"/>
  </w:num>
  <w:num w:numId="35">
    <w:abstractNumId w:val="24"/>
  </w:num>
  <w:num w:numId="36">
    <w:abstractNumId w:val="16"/>
  </w:num>
  <w:num w:numId="37">
    <w:abstractNumId w:val="18"/>
  </w:num>
  <w:num w:numId="38">
    <w:abstractNumId w:val="36"/>
  </w:num>
  <w:num w:numId="39">
    <w:abstractNumId w:val="42"/>
  </w:num>
  <w:num w:numId="40">
    <w:abstractNumId w:val="52"/>
  </w:num>
  <w:num w:numId="41">
    <w:abstractNumId w:val="2"/>
  </w:num>
  <w:num w:numId="42">
    <w:abstractNumId w:val="29"/>
  </w:num>
  <w:num w:numId="43">
    <w:abstractNumId w:val="10"/>
  </w:num>
  <w:num w:numId="44">
    <w:abstractNumId w:val="4"/>
  </w:num>
  <w:num w:numId="45">
    <w:abstractNumId w:val="50"/>
  </w:num>
  <w:num w:numId="46">
    <w:abstractNumId w:val="47"/>
  </w:num>
  <w:num w:numId="47">
    <w:abstractNumId w:val="51"/>
  </w:num>
  <w:num w:numId="48">
    <w:abstractNumId w:val="43"/>
  </w:num>
  <w:num w:numId="49">
    <w:abstractNumId w:val="33"/>
  </w:num>
  <w:num w:numId="50">
    <w:abstractNumId w:val="38"/>
  </w:num>
  <w:num w:numId="51">
    <w:abstractNumId w:val="17"/>
  </w:num>
  <w:num w:numId="52">
    <w:abstractNumId w:val="7"/>
  </w:num>
  <w:num w:numId="53">
    <w:abstractNumId w:val="44"/>
  </w:num>
  <w:num w:numId="54">
    <w:abstractNumId w:val="3"/>
  </w:num>
  <w:num w:numId="55">
    <w:abstractNumId w:val="54"/>
  </w:num>
  <w:num w:numId="56">
    <w:abstractNumId w:val="54"/>
  </w:num>
  <w:num w:numId="57">
    <w:abstractNumId w:val="46"/>
  </w:num>
  <w:num w:numId="58">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Heading"/>
  <w:drawingGridHorizontalSpacing w:val="120"/>
  <w:displayHorizontalDrawingGridEvery w:val="0"/>
  <w:displayVerticalDrawingGridEvery w:val="0"/>
  <w:noPunctuationKerning/>
  <w:characterSpacingControl w:val="doNotCompress"/>
  <w:hdrShapeDefaults>
    <o:shapedefaults v:ext="edit" spidmax="2058" style="mso-position-vertical-relative:margin" fillcolor="#002395" stroke="f">
      <v:fill color="#002395"/>
      <v:stroke on="f"/>
    </o:shapedefaults>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985"/>
    <w:rsid w:val="00001268"/>
    <w:rsid w:val="00001760"/>
    <w:rsid w:val="00001E97"/>
    <w:rsid w:val="00002EFB"/>
    <w:rsid w:val="00004892"/>
    <w:rsid w:val="00006876"/>
    <w:rsid w:val="00006F7D"/>
    <w:rsid w:val="000074CA"/>
    <w:rsid w:val="00007E96"/>
    <w:rsid w:val="00007F75"/>
    <w:rsid w:val="000101A9"/>
    <w:rsid w:val="0001066D"/>
    <w:rsid w:val="0001083E"/>
    <w:rsid w:val="0001171E"/>
    <w:rsid w:val="00012005"/>
    <w:rsid w:val="00012209"/>
    <w:rsid w:val="0001353D"/>
    <w:rsid w:val="00013982"/>
    <w:rsid w:val="00013AD5"/>
    <w:rsid w:val="00014038"/>
    <w:rsid w:val="00015B9D"/>
    <w:rsid w:val="0001640B"/>
    <w:rsid w:val="00016534"/>
    <w:rsid w:val="0001748A"/>
    <w:rsid w:val="00021471"/>
    <w:rsid w:val="00023045"/>
    <w:rsid w:val="0002370B"/>
    <w:rsid w:val="000239F9"/>
    <w:rsid w:val="00023FCA"/>
    <w:rsid w:val="0002439A"/>
    <w:rsid w:val="00024424"/>
    <w:rsid w:val="00026FC9"/>
    <w:rsid w:val="000274AF"/>
    <w:rsid w:val="00027E8C"/>
    <w:rsid w:val="00030154"/>
    <w:rsid w:val="00032D88"/>
    <w:rsid w:val="000331EE"/>
    <w:rsid w:val="0003531E"/>
    <w:rsid w:val="000370BF"/>
    <w:rsid w:val="00037A99"/>
    <w:rsid w:val="00040188"/>
    <w:rsid w:val="00040214"/>
    <w:rsid w:val="00040994"/>
    <w:rsid w:val="0004130D"/>
    <w:rsid w:val="00041499"/>
    <w:rsid w:val="00041806"/>
    <w:rsid w:val="00041E23"/>
    <w:rsid w:val="000420DD"/>
    <w:rsid w:val="00042A77"/>
    <w:rsid w:val="000431A5"/>
    <w:rsid w:val="00043A16"/>
    <w:rsid w:val="00044AA4"/>
    <w:rsid w:val="00044DAC"/>
    <w:rsid w:val="00045431"/>
    <w:rsid w:val="000454BD"/>
    <w:rsid w:val="00045BD3"/>
    <w:rsid w:val="00045DE5"/>
    <w:rsid w:val="00050365"/>
    <w:rsid w:val="00050692"/>
    <w:rsid w:val="0005079A"/>
    <w:rsid w:val="00050920"/>
    <w:rsid w:val="00052009"/>
    <w:rsid w:val="0005248C"/>
    <w:rsid w:val="00052533"/>
    <w:rsid w:val="00052E62"/>
    <w:rsid w:val="000535B3"/>
    <w:rsid w:val="00054F8E"/>
    <w:rsid w:val="00055B83"/>
    <w:rsid w:val="0005791B"/>
    <w:rsid w:val="000600E1"/>
    <w:rsid w:val="000608CF"/>
    <w:rsid w:val="00060D6A"/>
    <w:rsid w:val="00060E34"/>
    <w:rsid w:val="00060E68"/>
    <w:rsid w:val="00062037"/>
    <w:rsid w:val="000624B2"/>
    <w:rsid w:val="00062D04"/>
    <w:rsid w:val="00063C4D"/>
    <w:rsid w:val="0006472F"/>
    <w:rsid w:val="00064BED"/>
    <w:rsid w:val="00065DBD"/>
    <w:rsid w:val="000661AF"/>
    <w:rsid w:val="00066779"/>
    <w:rsid w:val="0006753F"/>
    <w:rsid w:val="00070D40"/>
    <w:rsid w:val="0007272F"/>
    <w:rsid w:val="00072987"/>
    <w:rsid w:val="00072B53"/>
    <w:rsid w:val="00072FCE"/>
    <w:rsid w:val="00073336"/>
    <w:rsid w:val="00073342"/>
    <w:rsid w:val="00073899"/>
    <w:rsid w:val="00074AA8"/>
    <w:rsid w:val="00075731"/>
    <w:rsid w:val="000757D7"/>
    <w:rsid w:val="00076D91"/>
    <w:rsid w:val="0008090D"/>
    <w:rsid w:val="00080CC7"/>
    <w:rsid w:val="000818B2"/>
    <w:rsid w:val="00081BA3"/>
    <w:rsid w:val="00081D95"/>
    <w:rsid w:val="000822FE"/>
    <w:rsid w:val="0008233B"/>
    <w:rsid w:val="000846B0"/>
    <w:rsid w:val="00085827"/>
    <w:rsid w:val="0008613F"/>
    <w:rsid w:val="00086E8C"/>
    <w:rsid w:val="000913FF"/>
    <w:rsid w:val="0009268E"/>
    <w:rsid w:val="0009422B"/>
    <w:rsid w:val="0009555A"/>
    <w:rsid w:val="00096011"/>
    <w:rsid w:val="00096267"/>
    <w:rsid w:val="00097276"/>
    <w:rsid w:val="000A113B"/>
    <w:rsid w:val="000A186B"/>
    <w:rsid w:val="000A192C"/>
    <w:rsid w:val="000A1CEE"/>
    <w:rsid w:val="000A1D3C"/>
    <w:rsid w:val="000A26C4"/>
    <w:rsid w:val="000A2862"/>
    <w:rsid w:val="000A338B"/>
    <w:rsid w:val="000A3BFD"/>
    <w:rsid w:val="000A3D5A"/>
    <w:rsid w:val="000A3E81"/>
    <w:rsid w:val="000A4E92"/>
    <w:rsid w:val="000A5161"/>
    <w:rsid w:val="000A5212"/>
    <w:rsid w:val="000A606C"/>
    <w:rsid w:val="000A7A62"/>
    <w:rsid w:val="000A7FCF"/>
    <w:rsid w:val="000B0AB6"/>
    <w:rsid w:val="000B13D5"/>
    <w:rsid w:val="000B170B"/>
    <w:rsid w:val="000B1A44"/>
    <w:rsid w:val="000B3098"/>
    <w:rsid w:val="000B3C7A"/>
    <w:rsid w:val="000B4381"/>
    <w:rsid w:val="000B4FD4"/>
    <w:rsid w:val="000B5E6C"/>
    <w:rsid w:val="000B62F1"/>
    <w:rsid w:val="000C4315"/>
    <w:rsid w:val="000C5348"/>
    <w:rsid w:val="000C5626"/>
    <w:rsid w:val="000C5DCD"/>
    <w:rsid w:val="000C666C"/>
    <w:rsid w:val="000D17BE"/>
    <w:rsid w:val="000D203C"/>
    <w:rsid w:val="000D203E"/>
    <w:rsid w:val="000D29D3"/>
    <w:rsid w:val="000D4503"/>
    <w:rsid w:val="000D4F7E"/>
    <w:rsid w:val="000D52C0"/>
    <w:rsid w:val="000D5DDC"/>
    <w:rsid w:val="000D7AC5"/>
    <w:rsid w:val="000E0B65"/>
    <w:rsid w:val="000E0C81"/>
    <w:rsid w:val="000E0EF5"/>
    <w:rsid w:val="000E2787"/>
    <w:rsid w:val="000E388A"/>
    <w:rsid w:val="000E3CED"/>
    <w:rsid w:val="000E5336"/>
    <w:rsid w:val="000E537B"/>
    <w:rsid w:val="000E5B7E"/>
    <w:rsid w:val="000E5F7E"/>
    <w:rsid w:val="000E63B3"/>
    <w:rsid w:val="000E7B09"/>
    <w:rsid w:val="000E7D1F"/>
    <w:rsid w:val="000E7FE7"/>
    <w:rsid w:val="000F019E"/>
    <w:rsid w:val="000F1106"/>
    <w:rsid w:val="000F172E"/>
    <w:rsid w:val="000F1813"/>
    <w:rsid w:val="000F1FC8"/>
    <w:rsid w:val="000F22BA"/>
    <w:rsid w:val="000F428A"/>
    <w:rsid w:val="000F52D2"/>
    <w:rsid w:val="00100B1C"/>
    <w:rsid w:val="0010115D"/>
    <w:rsid w:val="00101E89"/>
    <w:rsid w:val="001022D7"/>
    <w:rsid w:val="001025F6"/>
    <w:rsid w:val="00103061"/>
    <w:rsid w:val="0010323B"/>
    <w:rsid w:val="001032B5"/>
    <w:rsid w:val="0010339F"/>
    <w:rsid w:val="0010383E"/>
    <w:rsid w:val="00103869"/>
    <w:rsid w:val="001047AE"/>
    <w:rsid w:val="001053D1"/>
    <w:rsid w:val="001056D2"/>
    <w:rsid w:val="001057A1"/>
    <w:rsid w:val="00105E91"/>
    <w:rsid w:val="00106CA3"/>
    <w:rsid w:val="00106E3D"/>
    <w:rsid w:val="001076A1"/>
    <w:rsid w:val="00107E3A"/>
    <w:rsid w:val="001101BE"/>
    <w:rsid w:val="00110901"/>
    <w:rsid w:val="00110DAC"/>
    <w:rsid w:val="00114224"/>
    <w:rsid w:val="00114749"/>
    <w:rsid w:val="00114A37"/>
    <w:rsid w:val="00114BAF"/>
    <w:rsid w:val="00114C0C"/>
    <w:rsid w:val="00114C80"/>
    <w:rsid w:val="00115FAB"/>
    <w:rsid w:val="001167AD"/>
    <w:rsid w:val="0011681E"/>
    <w:rsid w:val="00116BF4"/>
    <w:rsid w:val="00117A6E"/>
    <w:rsid w:val="00117EE0"/>
    <w:rsid w:val="0012029B"/>
    <w:rsid w:val="001212E8"/>
    <w:rsid w:val="00121A92"/>
    <w:rsid w:val="00121ECE"/>
    <w:rsid w:val="00122163"/>
    <w:rsid w:val="0012279F"/>
    <w:rsid w:val="00122A1C"/>
    <w:rsid w:val="00122BB8"/>
    <w:rsid w:val="0012325E"/>
    <w:rsid w:val="001249A5"/>
    <w:rsid w:val="00124AAC"/>
    <w:rsid w:val="001251E8"/>
    <w:rsid w:val="00125E00"/>
    <w:rsid w:val="00125E68"/>
    <w:rsid w:val="001270B5"/>
    <w:rsid w:val="00127C65"/>
    <w:rsid w:val="00130EFD"/>
    <w:rsid w:val="00131543"/>
    <w:rsid w:val="00131BE7"/>
    <w:rsid w:val="00131F4C"/>
    <w:rsid w:val="00132954"/>
    <w:rsid w:val="00133F94"/>
    <w:rsid w:val="00134F1F"/>
    <w:rsid w:val="0013530F"/>
    <w:rsid w:val="00136138"/>
    <w:rsid w:val="00136F1E"/>
    <w:rsid w:val="00137361"/>
    <w:rsid w:val="001374DD"/>
    <w:rsid w:val="00137B6F"/>
    <w:rsid w:val="00137B7A"/>
    <w:rsid w:val="00140AC0"/>
    <w:rsid w:val="00140E95"/>
    <w:rsid w:val="00141116"/>
    <w:rsid w:val="00142767"/>
    <w:rsid w:val="00142FE4"/>
    <w:rsid w:val="00143E52"/>
    <w:rsid w:val="00144305"/>
    <w:rsid w:val="001445C2"/>
    <w:rsid w:val="001448DC"/>
    <w:rsid w:val="0014596A"/>
    <w:rsid w:val="00146002"/>
    <w:rsid w:val="00146803"/>
    <w:rsid w:val="0014731C"/>
    <w:rsid w:val="00147C14"/>
    <w:rsid w:val="0015019E"/>
    <w:rsid w:val="00150783"/>
    <w:rsid w:val="001510C4"/>
    <w:rsid w:val="00151DD2"/>
    <w:rsid w:val="00152B88"/>
    <w:rsid w:val="001530D1"/>
    <w:rsid w:val="00153150"/>
    <w:rsid w:val="00153E61"/>
    <w:rsid w:val="001542CA"/>
    <w:rsid w:val="0015589B"/>
    <w:rsid w:val="00156867"/>
    <w:rsid w:val="00157838"/>
    <w:rsid w:val="00157989"/>
    <w:rsid w:val="00157ABC"/>
    <w:rsid w:val="00157C55"/>
    <w:rsid w:val="001603A1"/>
    <w:rsid w:val="0016041F"/>
    <w:rsid w:val="00160D49"/>
    <w:rsid w:val="00161331"/>
    <w:rsid w:val="00161545"/>
    <w:rsid w:val="00161E95"/>
    <w:rsid w:val="00162456"/>
    <w:rsid w:val="001628DA"/>
    <w:rsid w:val="00163085"/>
    <w:rsid w:val="001636EC"/>
    <w:rsid w:val="00163B04"/>
    <w:rsid w:val="00163C30"/>
    <w:rsid w:val="00163DAA"/>
    <w:rsid w:val="00165733"/>
    <w:rsid w:val="0016620A"/>
    <w:rsid w:val="00166687"/>
    <w:rsid w:val="00170246"/>
    <w:rsid w:val="00170350"/>
    <w:rsid w:val="00171887"/>
    <w:rsid w:val="001721E0"/>
    <w:rsid w:val="00172A61"/>
    <w:rsid w:val="00172C21"/>
    <w:rsid w:val="001761B4"/>
    <w:rsid w:val="00176642"/>
    <w:rsid w:val="00176F84"/>
    <w:rsid w:val="00176FA4"/>
    <w:rsid w:val="0018308B"/>
    <w:rsid w:val="00183528"/>
    <w:rsid w:val="001835A3"/>
    <w:rsid w:val="00184648"/>
    <w:rsid w:val="00185E28"/>
    <w:rsid w:val="0018634E"/>
    <w:rsid w:val="00186427"/>
    <w:rsid w:val="0018684E"/>
    <w:rsid w:val="00186D7A"/>
    <w:rsid w:val="001873E6"/>
    <w:rsid w:val="00187602"/>
    <w:rsid w:val="001877D5"/>
    <w:rsid w:val="00190045"/>
    <w:rsid w:val="001901AA"/>
    <w:rsid w:val="001904A7"/>
    <w:rsid w:val="00190ADB"/>
    <w:rsid w:val="0019228C"/>
    <w:rsid w:val="00193D89"/>
    <w:rsid w:val="00194AF7"/>
    <w:rsid w:val="00194F48"/>
    <w:rsid w:val="00197E47"/>
    <w:rsid w:val="001A00F2"/>
    <w:rsid w:val="001A1395"/>
    <w:rsid w:val="001A163C"/>
    <w:rsid w:val="001A174C"/>
    <w:rsid w:val="001A21B3"/>
    <w:rsid w:val="001A2283"/>
    <w:rsid w:val="001A2C42"/>
    <w:rsid w:val="001A3158"/>
    <w:rsid w:val="001A334C"/>
    <w:rsid w:val="001A3654"/>
    <w:rsid w:val="001A4500"/>
    <w:rsid w:val="001A46FB"/>
    <w:rsid w:val="001A50AA"/>
    <w:rsid w:val="001A530F"/>
    <w:rsid w:val="001A5976"/>
    <w:rsid w:val="001A60A5"/>
    <w:rsid w:val="001A68AF"/>
    <w:rsid w:val="001B03C5"/>
    <w:rsid w:val="001B17EC"/>
    <w:rsid w:val="001B21E7"/>
    <w:rsid w:val="001B26C8"/>
    <w:rsid w:val="001B2723"/>
    <w:rsid w:val="001B280D"/>
    <w:rsid w:val="001B28DA"/>
    <w:rsid w:val="001B3065"/>
    <w:rsid w:val="001B3607"/>
    <w:rsid w:val="001B5505"/>
    <w:rsid w:val="001B6E8D"/>
    <w:rsid w:val="001B71D0"/>
    <w:rsid w:val="001B7AB2"/>
    <w:rsid w:val="001B7D88"/>
    <w:rsid w:val="001C0699"/>
    <w:rsid w:val="001C1170"/>
    <w:rsid w:val="001C1FDC"/>
    <w:rsid w:val="001C20A7"/>
    <w:rsid w:val="001C2CA9"/>
    <w:rsid w:val="001C523A"/>
    <w:rsid w:val="001C59A3"/>
    <w:rsid w:val="001C5A15"/>
    <w:rsid w:val="001C5CC8"/>
    <w:rsid w:val="001C6073"/>
    <w:rsid w:val="001C6A9D"/>
    <w:rsid w:val="001C7119"/>
    <w:rsid w:val="001C721F"/>
    <w:rsid w:val="001D0FDD"/>
    <w:rsid w:val="001D1135"/>
    <w:rsid w:val="001D197C"/>
    <w:rsid w:val="001D2A51"/>
    <w:rsid w:val="001D2B9C"/>
    <w:rsid w:val="001D33A8"/>
    <w:rsid w:val="001D3A27"/>
    <w:rsid w:val="001D40EA"/>
    <w:rsid w:val="001D4C4C"/>
    <w:rsid w:val="001D59C1"/>
    <w:rsid w:val="001D6E5E"/>
    <w:rsid w:val="001D7410"/>
    <w:rsid w:val="001E04A2"/>
    <w:rsid w:val="001E0751"/>
    <w:rsid w:val="001E3282"/>
    <w:rsid w:val="001E3829"/>
    <w:rsid w:val="001E3B85"/>
    <w:rsid w:val="001E3C16"/>
    <w:rsid w:val="001E3E1B"/>
    <w:rsid w:val="001E4014"/>
    <w:rsid w:val="001E413F"/>
    <w:rsid w:val="001E69EA"/>
    <w:rsid w:val="001E6AC6"/>
    <w:rsid w:val="001E6C64"/>
    <w:rsid w:val="001E721C"/>
    <w:rsid w:val="001E7C12"/>
    <w:rsid w:val="001F0246"/>
    <w:rsid w:val="001F0973"/>
    <w:rsid w:val="001F2175"/>
    <w:rsid w:val="001F24B0"/>
    <w:rsid w:val="001F2793"/>
    <w:rsid w:val="001F34DA"/>
    <w:rsid w:val="001F4409"/>
    <w:rsid w:val="001F4CB2"/>
    <w:rsid w:val="001F4E42"/>
    <w:rsid w:val="001F6B09"/>
    <w:rsid w:val="00200041"/>
    <w:rsid w:val="00200B33"/>
    <w:rsid w:val="00200C19"/>
    <w:rsid w:val="00200E7B"/>
    <w:rsid w:val="0020168D"/>
    <w:rsid w:val="00202268"/>
    <w:rsid w:val="00203347"/>
    <w:rsid w:val="00203585"/>
    <w:rsid w:val="00204E27"/>
    <w:rsid w:val="0020563A"/>
    <w:rsid w:val="002057A5"/>
    <w:rsid w:val="002067A1"/>
    <w:rsid w:val="00207DB9"/>
    <w:rsid w:val="0021082A"/>
    <w:rsid w:val="0021135E"/>
    <w:rsid w:val="00211578"/>
    <w:rsid w:val="0021201F"/>
    <w:rsid w:val="00212E36"/>
    <w:rsid w:val="00213AE8"/>
    <w:rsid w:val="00213DD6"/>
    <w:rsid w:val="002146E5"/>
    <w:rsid w:val="00214D97"/>
    <w:rsid w:val="00215098"/>
    <w:rsid w:val="00215106"/>
    <w:rsid w:val="00215732"/>
    <w:rsid w:val="00215A57"/>
    <w:rsid w:val="00216F06"/>
    <w:rsid w:val="0021706F"/>
    <w:rsid w:val="00217328"/>
    <w:rsid w:val="00217E2D"/>
    <w:rsid w:val="0022006F"/>
    <w:rsid w:val="0022079D"/>
    <w:rsid w:val="0022091D"/>
    <w:rsid w:val="002213C9"/>
    <w:rsid w:val="00221BF6"/>
    <w:rsid w:val="0022205A"/>
    <w:rsid w:val="0022279A"/>
    <w:rsid w:val="002227E7"/>
    <w:rsid w:val="00222821"/>
    <w:rsid w:val="00223456"/>
    <w:rsid w:val="00223DD2"/>
    <w:rsid w:val="00224469"/>
    <w:rsid w:val="00225188"/>
    <w:rsid w:val="00225290"/>
    <w:rsid w:val="002256C5"/>
    <w:rsid w:val="00225E35"/>
    <w:rsid w:val="00226756"/>
    <w:rsid w:val="002268A7"/>
    <w:rsid w:val="00227ACA"/>
    <w:rsid w:val="00227FD9"/>
    <w:rsid w:val="00230F7C"/>
    <w:rsid w:val="002317DA"/>
    <w:rsid w:val="00231F17"/>
    <w:rsid w:val="00232A55"/>
    <w:rsid w:val="00232D51"/>
    <w:rsid w:val="00233386"/>
    <w:rsid w:val="00233748"/>
    <w:rsid w:val="00233E03"/>
    <w:rsid w:val="00234AFB"/>
    <w:rsid w:val="002361A2"/>
    <w:rsid w:val="002367E6"/>
    <w:rsid w:val="002378E7"/>
    <w:rsid w:val="00240850"/>
    <w:rsid w:val="00240A40"/>
    <w:rsid w:val="00241A4D"/>
    <w:rsid w:val="002443BF"/>
    <w:rsid w:val="00244ABF"/>
    <w:rsid w:val="00244B12"/>
    <w:rsid w:val="00245C9B"/>
    <w:rsid w:val="00245D8E"/>
    <w:rsid w:val="002506CD"/>
    <w:rsid w:val="00250FF6"/>
    <w:rsid w:val="002512C4"/>
    <w:rsid w:val="00251502"/>
    <w:rsid w:val="002538F6"/>
    <w:rsid w:val="002540E4"/>
    <w:rsid w:val="00255775"/>
    <w:rsid w:val="002573F9"/>
    <w:rsid w:val="00257ECC"/>
    <w:rsid w:val="00260C75"/>
    <w:rsid w:val="00260FE6"/>
    <w:rsid w:val="00261D37"/>
    <w:rsid w:val="002630B4"/>
    <w:rsid w:val="002637BA"/>
    <w:rsid w:val="002638CF"/>
    <w:rsid w:val="002664A3"/>
    <w:rsid w:val="00266ED9"/>
    <w:rsid w:val="0026795B"/>
    <w:rsid w:val="00267D55"/>
    <w:rsid w:val="002701C1"/>
    <w:rsid w:val="00270343"/>
    <w:rsid w:val="00270387"/>
    <w:rsid w:val="0027061A"/>
    <w:rsid w:val="0027093E"/>
    <w:rsid w:val="00271481"/>
    <w:rsid w:val="00271C4C"/>
    <w:rsid w:val="00272A83"/>
    <w:rsid w:val="00272E34"/>
    <w:rsid w:val="00273665"/>
    <w:rsid w:val="00274596"/>
    <w:rsid w:val="002756F2"/>
    <w:rsid w:val="002759FD"/>
    <w:rsid w:val="0027625E"/>
    <w:rsid w:val="00276BE4"/>
    <w:rsid w:val="00277A20"/>
    <w:rsid w:val="00277C4D"/>
    <w:rsid w:val="00280FF7"/>
    <w:rsid w:val="00281384"/>
    <w:rsid w:val="00282256"/>
    <w:rsid w:val="00283190"/>
    <w:rsid w:val="0028473D"/>
    <w:rsid w:val="0028594A"/>
    <w:rsid w:val="00285FF2"/>
    <w:rsid w:val="002901DB"/>
    <w:rsid w:val="00290B4E"/>
    <w:rsid w:val="002915BC"/>
    <w:rsid w:val="0029176F"/>
    <w:rsid w:val="00291ADB"/>
    <w:rsid w:val="00292930"/>
    <w:rsid w:val="002938F3"/>
    <w:rsid w:val="00293FA4"/>
    <w:rsid w:val="002947B6"/>
    <w:rsid w:val="00296A68"/>
    <w:rsid w:val="002A0883"/>
    <w:rsid w:val="002A0905"/>
    <w:rsid w:val="002A13F2"/>
    <w:rsid w:val="002A1518"/>
    <w:rsid w:val="002A23F3"/>
    <w:rsid w:val="002A2DCD"/>
    <w:rsid w:val="002A2E97"/>
    <w:rsid w:val="002A5052"/>
    <w:rsid w:val="002A64F3"/>
    <w:rsid w:val="002A726D"/>
    <w:rsid w:val="002A772B"/>
    <w:rsid w:val="002A7B00"/>
    <w:rsid w:val="002A7BE6"/>
    <w:rsid w:val="002B3CBD"/>
    <w:rsid w:val="002B3FD1"/>
    <w:rsid w:val="002B40E8"/>
    <w:rsid w:val="002B428B"/>
    <w:rsid w:val="002C092B"/>
    <w:rsid w:val="002C1A52"/>
    <w:rsid w:val="002C5314"/>
    <w:rsid w:val="002C6238"/>
    <w:rsid w:val="002C6D26"/>
    <w:rsid w:val="002D00AA"/>
    <w:rsid w:val="002D092C"/>
    <w:rsid w:val="002D17B9"/>
    <w:rsid w:val="002D2076"/>
    <w:rsid w:val="002D2C3E"/>
    <w:rsid w:val="002D2C82"/>
    <w:rsid w:val="002D3BAD"/>
    <w:rsid w:val="002D3F81"/>
    <w:rsid w:val="002D52C0"/>
    <w:rsid w:val="002D5939"/>
    <w:rsid w:val="002D6EBD"/>
    <w:rsid w:val="002D7758"/>
    <w:rsid w:val="002E012B"/>
    <w:rsid w:val="002E2387"/>
    <w:rsid w:val="002E25C5"/>
    <w:rsid w:val="002E2FBF"/>
    <w:rsid w:val="002E37B6"/>
    <w:rsid w:val="002E3882"/>
    <w:rsid w:val="002E39AB"/>
    <w:rsid w:val="002E468C"/>
    <w:rsid w:val="002E4BA1"/>
    <w:rsid w:val="002E5308"/>
    <w:rsid w:val="002E5DF7"/>
    <w:rsid w:val="002E6414"/>
    <w:rsid w:val="002E729C"/>
    <w:rsid w:val="002E782C"/>
    <w:rsid w:val="002F1592"/>
    <w:rsid w:val="002F2388"/>
    <w:rsid w:val="002F24A5"/>
    <w:rsid w:val="002F266C"/>
    <w:rsid w:val="002F26AD"/>
    <w:rsid w:val="002F3274"/>
    <w:rsid w:val="002F375E"/>
    <w:rsid w:val="002F3F44"/>
    <w:rsid w:val="002F521D"/>
    <w:rsid w:val="002F58EE"/>
    <w:rsid w:val="00300812"/>
    <w:rsid w:val="00301241"/>
    <w:rsid w:val="0030141F"/>
    <w:rsid w:val="00301C91"/>
    <w:rsid w:val="00301D56"/>
    <w:rsid w:val="00302A12"/>
    <w:rsid w:val="0030325A"/>
    <w:rsid w:val="0030365B"/>
    <w:rsid w:val="00304E07"/>
    <w:rsid w:val="00304ED2"/>
    <w:rsid w:val="00305F25"/>
    <w:rsid w:val="00306764"/>
    <w:rsid w:val="003075CE"/>
    <w:rsid w:val="003126F4"/>
    <w:rsid w:val="00312ABC"/>
    <w:rsid w:val="0031320E"/>
    <w:rsid w:val="00314ECC"/>
    <w:rsid w:val="003157A6"/>
    <w:rsid w:val="003160D2"/>
    <w:rsid w:val="00316D05"/>
    <w:rsid w:val="003173DE"/>
    <w:rsid w:val="00317AD6"/>
    <w:rsid w:val="00317B76"/>
    <w:rsid w:val="0032037B"/>
    <w:rsid w:val="00321465"/>
    <w:rsid w:val="0032178C"/>
    <w:rsid w:val="00322B27"/>
    <w:rsid w:val="00322EC0"/>
    <w:rsid w:val="00324102"/>
    <w:rsid w:val="0032474A"/>
    <w:rsid w:val="00324A16"/>
    <w:rsid w:val="00324DEE"/>
    <w:rsid w:val="00325058"/>
    <w:rsid w:val="00325154"/>
    <w:rsid w:val="003252F2"/>
    <w:rsid w:val="003258A8"/>
    <w:rsid w:val="00325C73"/>
    <w:rsid w:val="003268FF"/>
    <w:rsid w:val="00327CFA"/>
    <w:rsid w:val="00327FDF"/>
    <w:rsid w:val="00331161"/>
    <w:rsid w:val="003311B7"/>
    <w:rsid w:val="00331BA5"/>
    <w:rsid w:val="00331CD5"/>
    <w:rsid w:val="00332C0B"/>
    <w:rsid w:val="00332C53"/>
    <w:rsid w:val="00332E19"/>
    <w:rsid w:val="0033317E"/>
    <w:rsid w:val="003333A9"/>
    <w:rsid w:val="0033393E"/>
    <w:rsid w:val="00333E1B"/>
    <w:rsid w:val="00334F2D"/>
    <w:rsid w:val="003365B0"/>
    <w:rsid w:val="00336CAC"/>
    <w:rsid w:val="00336DC9"/>
    <w:rsid w:val="003374DA"/>
    <w:rsid w:val="003375CB"/>
    <w:rsid w:val="00337AEF"/>
    <w:rsid w:val="003401DA"/>
    <w:rsid w:val="003405E9"/>
    <w:rsid w:val="003407AA"/>
    <w:rsid w:val="0034158E"/>
    <w:rsid w:val="003416C6"/>
    <w:rsid w:val="00341751"/>
    <w:rsid w:val="00342414"/>
    <w:rsid w:val="0034251E"/>
    <w:rsid w:val="00342E38"/>
    <w:rsid w:val="00342EC1"/>
    <w:rsid w:val="0034404F"/>
    <w:rsid w:val="003448AB"/>
    <w:rsid w:val="00344A2D"/>
    <w:rsid w:val="0034518D"/>
    <w:rsid w:val="003462C2"/>
    <w:rsid w:val="00346A05"/>
    <w:rsid w:val="00346FAF"/>
    <w:rsid w:val="00347A08"/>
    <w:rsid w:val="00350D85"/>
    <w:rsid w:val="00351A87"/>
    <w:rsid w:val="00352216"/>
    <w:rsid w:val="00353095"/>
    <w:rsid w:val="003535DC"/>
    <w:rsid w:val="00353F60"/>
    <w:rsid w:val="00354910"/>
    <w:rsid w:val="00354C5A"/>
    <w:rsid w:val="00354EB8"/>
    <w:rsid w:val="00355096"/>
    <w:rsid w:val="00355E9C"/>
    <w:rsid w:val="00355F08"/>
    <w:rsid w:val="003566D6"/>
    <w:rsid w:val="0035693A"/>
    <w:rsid w:val="00357433"/>
    <w:rsid w:val="0035773D"/>
    <w:rsid w:val="00357E5C"/>
    <w:rsid w:val="0036026C"/>
    <w:rsid w:val="00360CE0"/>
    <w:rsid w:val="0036155D"/>
    <w:rsid w:val="00361744"/>
    <w:rsid w:val="00361F07"/>
    <w:rsid w:val="00362D23"/>
    <w:rsid w:val="0036317E"/>
    <w:rsid w:val="003637CC"/>
    <w:rsid w:val="003639E8"/>
    <w:rsid w:val="0036575C"/>
    <w:rsid w:val="0036597B"/>
    <w:rsid w:val="003662DA"/>
    <w:rsid w:val="00367149"/>
    <w:rsid w:val="00370962"/>
    <w:rsid w:val="00371792"/>
    <w:rsid w:val="00371943"/>
    <w:rsid w:val="0037196F"/>
    <w:rsid w:val="00371E70"/>
    <w:rsid w:val="00373107"/>
    <w:rsid w:val="00373E08"/>
    <w:rsid w:val="003752F8"/>
    <w:rsid w:val="00375F6C"/>
    <w:rsid w:val="00377983"/>
    <w:rsid w:val="00377C9D"/>
    <w:rsid w:val="00381675"/>
    <w:rsid w:val="00381774"/>
    <w:rsid w:val="00381F99"/>
    <w:rsid w:val="00382FF6"/>
    <w:rsid w:val="003839BA"/>
    <w:rsid w:val="0038553A"/>
    <w:rsid w:val="00386169"/>
    <w:rsid w:val="00386811"/>
    <w:rsid w:val="00387DD5"/>
    <w:rsid w:val="00390038"/>
    <w:rsid w:val="003908C7"/>
    <w:rsid w:val="00391014"/>
    <w:rsid w:val="0039110A"/>
    <w:rsid w:val="003911FA"/>
    <w:rsid w:val="00392228"/>
    <w:rsid w:val="00392235"/>
    <w:rsid w:val="00393426"/>
    <w:rsid w:val="003937A0"/>
    <w:rsid w:val="00393ABC"/>
    <w:rsid w:val="00393F0A"/>
    <w:rsid w:val="00395648"/>
    <w:rsid w:val="00395B63"/>
    <w:rsid w:val="00396068"/>
    <w:rsid w:val="003A014F"/>
    <w:rsid w:val="003A1661"/>
    <w:rsid w:val="003A2F59"/>
    <w:rsid w:val="003A34EB"/>
    <w:rsid w:val="003A356C"/>
    <w:rsid w:val="003A36C4"/>
    <w:rsid w:val="003A3B50"/>
    <w:rsid w:val="003A3E6A"/>
    <w:rsid w:val="003A4447"/>
    <w:rsid w:val="003A466C"/>
    <w:rsid w:val="003A68BA"/>
    <w:rsid w:val="003A6BD6"/>
    <w:rsid w:val="003A7893"/>
    <w:rsid w:val="003B0155"/>
    <w:rsid w:val="003B090B"/>
    <w:rsid w:val="003B2E90"/>
    <w:rsid w:val="003B391C"/>
    <w:rsid w:val="003B40CB"/>
    <w:rsid w:val="003B4291"/>
    <w:rsid w:val="003B47D2"/>
    <w:rsid w:val="003B5BBD"/>
    <w:rsid w:val="003B5FB5"/>
    <w:rsid w:val="003B6C70"/>
    <w:rsid w:val="003B6F49"/>
    <w:rsid w:val="003B7663"/>
    <w:rsid w:val="003B7B76"/>
    <w:rsid w:val="003B7F48"/>
    <w:rsid w:val="003C056D"/>
    <w:rsid w:val="003C07A2"/>
    <w:rsid w:val="003C0CB7"/>
    <w:rsid w:val="003C17A1"/>
    <w:rsid w:val="003C2125"/>
    <w:rsid w:val="003C2792"/>
    <w:rsid w:val="003C319F"/>
    <w:rsid w:val="003C361E"/>
    <w:rsid w:val="003C4E94"/>
    <w:rsid w:val="003C5298"/>
    <w:rsid w:val="003C5534"/>
    <w:rsid w:val="003C56DB"/>
    <w:rsid w:val="003C5717"/>
    <w:rsid w:val="003C6553"/>
    <w:rsid w:val="003C730B"/>
    <w:rsid w:val="003C76ED"/>
    <w:rsid w:val="003C7A25"/>
    <w:rsid w:val="003C7CF9"/>
    <w:rsid w:val="003D198A"/>
    <w:rsid w:val="003D20D3"/>
    <w:rsid w:val="003D2668"/>
    <w:rsid w:val="003D26A7"/>
    <w:rsid w:val="003D2AC4"/>
    <w:rsid w:val="003D33C5"/>
    <w:rsid w:val="003D33ED"/>
    <w:rsid w:val="003D4527"/>
    <w:rsid w:val="003D49F2"/>
    <w:rsid w:val="003D52F7"/>
    <w:rsid w:val="003D5B73"/>
    <w:rsid w:val="003D5E98"/>
    <w:rsid w:val="003D66B1"/>
    <w:rsid w:val="003D6E0A"/>
    <w:rsid w:val="003D79B7"/>
    <w:rsid w:val="003E0A9B"/>
    <w:rsid w:val="003E10DE"/>
    <w:rsid w:val="003E1372"/>
    <w:rsid w:val="003E1C2A"/>
    <w:rsid w:val="003E1CCA"/>
    <w:rsid w:val="003E3820"/>
    <w:rsid w:val="003E3BCD"/>
    <w:rsid w:val="003E3EC2"/>
    <w:rsid w:val="003E4996"/>
    <w:rsid w:val="003E570F"/>
    <w:rsid w:val="003E7856"/>
    <w:rsid w:val="003F02EE"/>
    <w:rsid w:val="003F1B84"/>
    <w:rsid w:val="003F2F6A"/>
    <w:rsid w:val="003F3299"/>
    <w:rsid w:val="003F344B"/>
    <w:rsid w:val="003F37B0"/>
    <w:rsid w:val="003F507B"/>
    <w:rsid w:val="003F6201"/>
    <w:rsid w:val="003F736B"/>
    <w:rsid w:val="004010EE"/>
    <w:rsid w:val="004014D8"/>
    <w:rsid w:val="00402A5A"/>
    <w:rsid w:val="004033A6"/>
    <w:rsid w:val="00403514"/>
    <w:rsid w:val="004035CF"/>
    <w:rsid w:val="004036A5"/>
    <w:rsid w:val="00403B35"/>
    <w:rsid w:val="004046BC"/>
    <w:rsid w:val="00407B33"/>
    <w:rsid w:val="00411576"/>
    <w:rsid w:val="00411C7D"/>
    <w:rsid w:val="004129EE"/>
    <w:rsid w:val="00412D72"/>
    <w:rsid w:val="00412E0E"/>
    <w:rsid w:val="00413CE2"/>
    <w:rsid w:val="00414480"/>
    <w:rsid w:val="004167C7"/>
    <w:rsid w:val="00416F54"/>
    <w:rsid w:val="00417274"/>
    <w:rsid w:val="0042013C"/>
    <w:rsid w:val="00420AC7"/>
    <w:rsid w:val="004212B4"/>
    <w:rsid w:val="00421E55"/>
    <w:rsid w:val="00422170"/>
    <w:rsid w:val="00422C9B"/>
    <w:rsid w:val="00424FAE"/>
    <w:rsid w:val="0042654D"/>
    <w:rsid w:val="00430977"/>
    <w:rsid w:val="0043116C"/>
    <w:rsid w:val="00431CA4"/>
    <w:rsid w:val="00433442"/>
    <w:rsid w:val="004339D4"/>
    <w:rsid w:val="00433AE0"/>
    <w:rsid w:val="00433DEB"/>
    <w:rsid w:val="00434DA1"/>
    <w:rsid w:val="004355F9"/>
    <w:rsid w:val="004361F0"/>
    <w:rsid w:val="00436277"/>
    <w:rsid w:val="0043681C"/>
    <w:rsid w:val="00437595"/>
    <w:rsid w:val="00437E76"/>
    <w:rsid w:val="00441B10"/>
    <w:rsid w:val="004435B1"/>
    <w:rsid w:val="00443D8C"/>
    <w:rsid w:val="00444A5F"/>
    <w:rsid w:val="0044503B"/>
    <w:rsid w:val="00445CA0"/>
    <w:rsid w:val="004461D4"/>
    <w:rsid w:val="00446A3B"/>
    <w:rsid w:val="00446D61"/>
    <w:rsid w:val="00446FD7"/>
    <w:rsid w:val="004475D0"/>
    <w:rsid w:val="0045081D"/>
    <w:rsid w:val="00450F81"/>
    <w:rsid w:val="00453D45"/>
    <w:rsid w:val="004547ED"/>
    <w:rsid w:val="00455233"/>
    <w:rsid w:val="00456FC8"/>
    <w:rsid w:val="00457177"/>
    <w:rsid w:val="004600F3"/>
    <w:rsid w:val="0046044D"/>
    <w:rsid w:val="00461D0A"/>
    <w:rsid w:val="00461DE1"/>
    <w:rsid w:val="00462166"/>
    <w:rsid w:val="0046315C"/>
    <w:rsid w:val="00463715"/>
    <w:rsid w:val="00463934"/>
    <w:rsid w:val="00463DEA"/>
    <w:rsid w:val="00464863"/>
    <w:rsid w:val="00466D7F"/>
    <w:rsid w:val="004713F5"/>
    <w:rsid w:val="004746D7"/>
    <w:rsid w:val="004754D3"/>
    <w:rsid w:val="00475558"/>
    <w:rsid w:val="004755DC"/>
    <w:rsid w:val="00475AE3"/>
    <w:rsid w:val="00476046"/>
    <w:rsid w:val="00476056"/>
    <w:rsid w:val="00476DE9"/>
    <w:rsid w:val="004771E8"/>
    <w:rsid w:val="004772BA"/>
    <w:rsid w:val="00477BC1"/>
    <w:rsid w:val="00480C68"/>
    <w:rsid w:val="00482684"/>
    <w:rsid w:val="0048271D"/>
    <w:rsid w:val="004836F3"/>
    <w:rsid w:val="004849C6"/>
    <w:rsid w:val="00486330"/>
    <w:rsid w:val="004868CE"/>
    <w:rsid w:val="004878CB"/>
    <w:rsid w:val="00487B15"/>
    <w:rsid w:val="00492031"/>
    <w:rsid w:val="00492D2A"/>
    <w:rsid w:val="00492D6B"/>
    <w:rsid w:val="0049349D"/>
    <w:rsid w:val="0049409F"/>
    <w:rsid w:val="0049434C"/>
    <w:rsid w:val="004973A5"/>
    <w:rsid w:val="004A064B"/>
    <w:rsid w:val="004A0861"/>
    <w:rsid w:val="004A0A88"/>
    <w:rsid w:val="004A2A0C"/>
    <w:rsid w:val="004A4C16"/>
    <w:rsid w:val="004A4ED5"/>
    <w:rsid w:val="004A4FBD"/>
    <w:rsid w:val="004A4FE5"/>
    <w:rsid w:val="004A6099"/>
    <w:rsid w:val="004A68EF"/>
    <w:rsid w:val="004A6E25"/>
    <w:rsid w:val="004A724C"/>
    <w:rsid w:val="004A7883"/>
    <w:rsid w:val="004B0013"/>
    <w:rsid w:val="004B0615"/>
    <w:rsid w:val="004B0DD9"/>
    <w:rsid w:val="004B1746"/>
    <w:rsid w:val="004B19A2"/>
    <w:rsid w:val="004B22B2"/>
    <w:rsid w:val="004B378A"/>
    <w:rsid w:val="004B41C0"/>
    <w:rsid w:val="004B4D19"/>
    <w:rsid w:val="004B5B03"/>
    <w:rsid w:val="004B6AC7"/>
    <w:rsid w:val="004C0373"/>
    <w:rsid w:val="004C1E3A"/>
    <w:rsid w:val="004C263C"/>
    <w:rsid w:val="004C2647"/>
    <w:rsid w:val="004C26FD"/>
    <w:rsid w:val="004C488F"/>
    <w:rsid w:val="004C5A41"/>
    <w:rsid w:val="004C5F21"/>
    <w:rsid w:val="004C6843"/>
    <w:rsid w:val="004C74E1"/>
    <w:rsid w:val="004C7A1F"/>
    <w:rsid w:val="004C7AB9"/>
    <w:rsid w:val="004D0715"/>
    <w:rsid w:val="004D0BC6"/>
    <w:rsid w:val="004D18B0"/>
    <w:rsid w:val="004D2F51"/>
    <w:rsid w:val="004D31C1"/>
    <w:rsid w:val="004D36D5"/>
    <w:rsid w:val="004D50E0"/>
    <w:rsid w:val="004D65B1"/>
    <w:rsid w:val="004D7A3D"/>
    <w:rsid w:val="004D7DAA"/>
    <w:rsid w:val="004E18DC"/>
    <w:rsid w:val="004E26FB"/>
    <w:rsid w:val="004E2C80"/>
    <w:rsid w:val="004E3C0C"/>
    <w:rsid w:val="004E550E"/>
    <w:rsid w:val="004E5C22"/>
    <w:rsid w:val="004E6D4F"/>
    <w:rsid w:val="004E7C70"/>
    <w:rsid w:val="004F05F7"/>
    <w:rsid w:val="004F168D"/>
    <w:rsid w:val="004F17C7"/>
    <w:rsid w:val="004F57E8"/>
    <w:rsid w:val="004F7765"/>
    <w:rsid w:val="00501C7D"/>
    <w:rsid w:val="00501D9D"/>
    <w:rsid w:val="00501E75"/>
    <w:rsid w:val="00503869"/>
    <w:rsid w:val="00503D16"/>
    <w:rsid w:val="00503D34"/>
    <w:rsid w:val="00503DA8"/>
    <w:rsid w:val="0050467A"/>
    <w:rsid w:val="0050474B"/>
    <w:rsid w:val="00504755"/>
    <w:rsid w:val="00504BF8"/>
    <w:rsid w:val="00505021"/>
    <w:rsid w:val="00506408"/>
    <w:rsid w:val="00507688"/>
    <w:rsid w:val="00507B5A"/>
    <w:rsid w:val="00510828"/>
    <w:rsid w:val="00510D42"/>
    <w:rsid w:val="00511749"/>
    <w:rsid w:val="00512AAD"/>
    <w:rsid w:val="005145DF"/>
    <w:rsid w:val="00514A15"/>
    <w:rsid w:val="00514A8B"/>
    <w:rsid w:val="0051583D"/>
    <w:rsid w:val="00515F27"/>
    <w:rsid w:val="005164C5"/>
    <w:rsid w:val="00516D3B"/>
    <w:rsid w:val="005179FB"/>
    <w:rsid w:val="00517BA8"/>
    <w:rsid w:val="00520A54"/>
    <w:rsid w:val="0052327E"/>
    <w:rsid w:val="00523F05"/>
    <w:rsid w:val="005247B9"/>
    <w:rsid w:val="00525013"/>
    <w:rsid w:val="005274CF"/>
    <w:rsid w:val="0053142D"/>
    <w:rsid w:val="00532922"/>
    <w:rsid w:val="00533155"/>
    <w:rsid w:val="005332B1"/>
    <w:rsid w:val="005334BD"/>
    <w:rsid w:val="005338FA"/>
    <w:rsid w:val="00535FB6"/>
    <w:rsid w:val="00536C69"/>
    <w:rsid w:val="00536D49"/>
    <w:rsid w:val="00537D44"/>
    <w:rsid w:val="00540303"/>
    <w:rsid w:val="00540F9E"/>
    <w:rsid w:val="00540FAB"/>
    <w:rsid w:val="00541E39"/>
    <w:rsid w:val="005420C9"/>
    <w:rsid w:val="005428B9"/>
    <w:rsid w:val="00542908"/>
    <w:rsid w:val="005438A4"/>
    <w:rsid w:val="00544F74"/>
    <w:rsid w:val="00545F1C"/>
    <w:rsid w:val="00546386"/>
    <w:rsid w:val="0054698A"/>
    <w:rsid w:val="005470EB"/>
    <w:rsid w:val="005479D3"/>
    <w:rsid w:val="00550DAC"/>
    <w:rsid w:val="0055110C"/>
    <w:rsid w:val="00553EB7"/>
    <w:rsid w:val="0055434B"/>
    <w:rsid w:val="005558A4"/>
    <w:rsid w:val="00555A98"/>
    <w:rsid w:val="00556577"/>
    <w:rsid w:val="00556A94"/>
    <w:rsid w:val="005571B9"/>
    <w:rsid w:val="0056048C"/>
    <w:rsid w:val="00560A06"/>
    <w:rsid w:val="0056207B"/>
    <w:rsid w:val="00562F1F"/>
    <w:rsid w:val="00564348"/>
    <w:rsid w:val="0056442A"/>
    <w:rsid w:val="00564441"/>
    <w:rsid w:val="005650FA"/>
    <w:rsid w:val="005677CD"/>
    <w:rsid w:val="005703D7"/>
    <w:rsid w:val="00571376"/>
    <w:rsid w:val="00573301"/>
    <w:rsid w:val="00573879"/>
    <w:rsid w:val="00573A63"/>
    <w:rsid w:val="00574EFC"/>
    <w:rsid w:val="0057568A"/>
    <w:rsid w:val="00575D1E"/>
    <w:rsid w:val="0057656C"/>
    <w:rsid w:val="00576CE3"/>
    <w:rsid w:val="00576E76"/>
    <w:rsid w:val="00577213"/>
    <w:rsid w:val="00577A0F"/>
    <w:rsid w:val="00577DC7"/>
    <w:rsid w:val="00577DE8"/>
    <w:rsid w:val="00577EC6"/>
    <w:rsid w:val="00580114"/>
    <w:rsid w:val="00580CCD"/>
    <w:rsid w:val="005816A2"/>
    <w:rsid w:val="005821D8"/>
    <w:rsid w:val="0058257B"/>
    <w:rsid w:val="00582E52"/>
    <w:rsid w:val="00582EC4"/>
    <w:rsid w:val="00583928"/>
    <w:rsid w:val="00583AA5"/>
    <w:rsid w:val="00583E5A"/>
    <w:rsid w:val="00584549"/>
    <w:rsid w:val="005846FD"/>
    <w:rsid w:val="005848E1"/>
    <w:rsid w:val="005855FE"/>
    <w:rsid w:val="005856E3"/>
    <w:rsid w:val="005857A7"/>
    <w:rsid w:val="00586318"/>
    <w:rsid w:val="005863F5"/>
    <w:rsid w:val="0058688B"/>
    <w:rsid w:val="0058785C"/>
    <w:rsid w:val="00590F59"/>
    <w:rsid w:val="0059147E"/>
    <w:rsid w:val="00591EC1"/>
    <w:rsid w:val="00592685"/>
    <w:rsid w:val="00592B5D"/>
    <w:rsid w:val="00592F50"/>
    <w:rsid w:val="005931F7"/>
    <w:rsid w:val="0059644F"/>
    <w:rsid w:val="00596622"/>
    <w:rsid w:val="0059705A"/>
    <w:rsid w:val="005A048D"/>
    <w:rsid w:val="005A155D"/>
    <w:rsid w:val="005A286E"/>
    <w:rsid w:val="005A2DDE"/>
    <w:rsid w:val="005A3D0A"/>
    <w:rsid w:val="005A4227"/>
    <w:rsid w:val="005A52FF"/>
    <w:rsid w:val="005A59E2"/>
    <w:rsid w:val="005A6068"/>
    <w:rsid w:val="005A60F2"/>
    <w:rsid w:val="005A64E6"/>
    <w:rsid w:val="005B07CE"/>
    <w:rsid w:val="005B16B4"/>
    <w:rsid w:val="005B1824"/>
    <w:rsid w:val="005B1D1C"/>
    <w:rsid w:val="005B2625"/>
    <w:rsid w:val="005B3967"/>
    <w:rsid w:val="005B4538"/>
    <w:rsid w:val="005B4DF3"/>
    <w:rsid w:val="005B6FF8"/>
    <w:rsid w:val="005B77ED"/>
    <w:rsid w:val="005C0056"/>
    <w:rsid w:val="005C0EDE"/>
    <w:rsid w:val="005C1487"/>
    <w:rsid w:val="005C15E2"/>
    <w:rsid w:val="005C18F7"/>
    <w:rsid w:val="005C228E"/>
    <w:rsid w:val="005C2970"/>
    <w:rsid w:val="005C2DF3"/>
    <w:rsid w:val="005C3219"/>
    <w:rsid w:val="005C3710"/>
    <w:rsid w:val="005C4AB9"/>
    <w:rsid w:val="005C5706"/>
    <w:rsid w:val="005C6427"/>
    <w:rsid w:val="005C672B"/>
    <w:rsid w:val="005D1937"/>
    <w:rsid w:val="005D293B"/>
    <w:rsid w:val="005D2E76"/>
    <w:rsid w:val="005D4215"/>
    <w:rsid w:val="005D51A6"/>
    <w:rsid w:val="005D5401"/>
    <w:rsid w:val="005D548E"/>
    <w:rsid w:val="005D64CB"/>
    <w:rsid w:val="005D6A5A"/>
    <w:rsid w:val="005D70DB"/>
    <w:rsid w:val="005D7395"/>
    <w:rsid w:val="005E03A5"/>
    <w:rsid w:val="005E0F56"/>
    <w:rsid w:val="005E12A7"/>
    <w:rsid w:val="005E410A"/>
    <w:rsid w:val="005E455F"/>
    <w:rsid w:val="005E4901"/>
    <w:rsid w:val="005E51A6"/>
    <w:rsid w:val="005E6381"/>
    <w:rsid w:val="005E691F"/>
    <w:rsid w:val="005E6C15"/>
    <w:rsid w:val="005E743E"/>
    <w:rsid w:val="005E7AC5"/>
    <w:rsid w:val="005F00B1"/>
    <w:rsid w:val="005F1B3E"/>
    <w:rsid w:val="005F3624"/>
    <w:rsid w:val="005F37AF"/>
    <w:rsid w:val="005F3B40"/>
    <w:rsid w:val="005F4884"/>
    <w:rsid w:val="005F49D5"/>
    <w:rsid w:val="005F53D4"/>
    <w:rsid w:val="005F6D50"/>
    <w:rsid w:val="005F73CA"/>
    <w:rsid w:val="005F7DA0"/>
    <w:rsid w:val="00601B08"/>
    <w:rsid w:val="0060201F"/>
    <w:rsid w:val="0060255B"/>
    <w:rsid w:val="006026CF"/>
    <w:rsid w:val="006044ED"/>
    <w:rsid w:val="00604E46"/>
    <w:rsid w:val="00605453"/>
    <w:rsid w:val="006054C0"/>
    <w:rsid w:val="00606247"/>
    <w:rsid w:val="00606715"/>
    <w:rsid w:val="00611B50"/>
    <w:rsid w:val="00611C97"/>
    <w:rsid w:val="00611EC1"/>
    <w:rsid w:val="0061375B"/>
    <w:rsid w:val="00613BF3"/>
    <w:rsid w:val="00615225"/>
    <w:rsid w:val="00615CD4"/>
    <w:rsid w:val="0061717B"/>
    <w:rsid w:val="00621AAC"/>
    <w:rsid w:val="00622146"/>
    <w:rsid w:val="006226C5"/>
    <w:rsid w:val="00622868"/>
    <w:rsid w:val="00623C28"/>
    <w:rsid w:val="00623ED0"/>
    <w:rsid w:val="0062424D"/>
    <w:rsid w:val="00624F55"/>
    <w:rsid w:val="00625098"/>
    <w:rsid w:val="00625F0A"/>
    <w:rsid w:val="00625F63"/>
    <w:rsid w:val="0062603B"/>
    <w:rsid w:val="00626060"/>
    <w:rsid w:val="006269EC"/>
    <w:rsid w:val="006279FC"/>
    <w:rsid w:val="00630390"/>
    <w:rsid w:val="00630CFB"/>
    <w:rsid w:val="00631820"/>
    <w:rsid w:val="006326D6"/>
    <w:rsid w:val="00632FC6"/>
    <w:rsid w:val="0063332B"/>
    <w:rsid w:val="00633774"/>
    <w:rsid w:val="0063399D"/>
    <w:rsid w:val="00633AA3"/>
    <w:rsid w:val="00633D11"/>
    <w:rsid w:val="00633DA2"/>
    <w:rsid w:val="00635BDD"/>
    <w:rsid w:val="00635D35"/>
    <w:rsid w:val="00636298"/>
    <w:rsid w:val="00637B5C"/>
    <w:rsid w:val="0064063E"/>
    <w:rsid w:val="00640EDB"/>
    <w:rsid w:val="00642423"/>
    <w:rsid w:val="00644112"/>
    <w:rsid w:val="006450A2"/>
    <w:rsid w:val="0064575D"/>
    <w:rsid w:val="00646C13"/>
    <w:rsid w:val="00647785"/>
    <w:rsid w:val="00650395"/>
    <w:rsid w:val="0065074C"/>
    <w:rsid w:val="00651968"/>
    <w:rsid w:val="00651CCB"/>
    <w:rsid w:val="0065388B"/>
    <w:rsid w:val="006548F4"/>
    <w:rsid w:val="00655C81"/>
    <w:rsid w:val="00656444"/>
    <w:rsid w:val="00660F1F"/>
    <w:rsid w:val="006624A4"/>
    <w:rsid w:val="00662B6C"/>
    <w:rsid w:val="00663DA8"/>
    <w:rsid w:val="0066433A"/>
    <w:rsid w:val="00667EF5"/>
    <w:rsid w:val="006700E4"/>
    <w:rsid w:val="006705B9"/>
    <w:rsid w:val="006710E6"/>
    <w:rsid w:val="006723C4"/>
    <w:rsid w:val="00673557"/>
    <w:rsid w:val="006735C0"/>
    <w:rsid w:val="00674656"/>
    <w:rsid w:val="00675518"/>
    <w:rsid w:val="0067574B"/>
    <w:rsid w:val="0067650C"/>
    <w:rsid w:val="00676906"/>
    <w:rsid w:val="00677F50"/>
    <w:rsid w:val="00680066"/>
    <w:rsid w:val="006802BB"/>
    <w:rsid w:val="00680D18"/>
    <w:rsid w:val="006824B5"/>
    <w:rsid w:val="0068281A"/>
    <w:rsid w:val="00682D82"/>
    <w:rsid w:val="00683138"/>
    <w:rsid w:val="00683BD8"/>
    <w:rsid w:val="006849FF"/>
    <w:rsid w:val="00684C58"/>
    <w:rsid w:val="00685DF0"/>
    <w:rsid w:val="006875E7"/>
    <w:rsid w:val="00690025"/>
    <w:rsid w:val="00690DA5"/>
    <w:rsid w:val="00690DCB"/>
    <w:rsid w:val="00690E99"/>
    <w:rsid w:val="00690F06"/>
    <w:rsid w:val="00690FF3"/>
    <w:rsid w:val="006914AD"/>
    <w:rsid w:val="00691EAD"/>
    <w:rsid w:val="0069344C"/>
    <w:rsid w:val="00693978"/>
    <w:rsid w:val="006943F5"/>
    <w:rsid w:val="00696241"/>
    <w:rsid w:val="0069673D"/>
    <w:rsid w:val="006971B6"/>
    <w:rsid w:val="006976FA"/>
    <w:rsid w:val="00697839"/>
    <w:rsid w:val="006A07C5"/>
    <w:rsid w:val="006A228F"/>
    <w:rsid w:val="006A2AD4"/>
    <w:rsid w:val="006A41B0"/>
    <w:rsid w:val="006A4B4B"/>
    <w:rsid w:val="006A5408"/>
    <w:rsid w:val="006A6301"/>
    <w:rsid w:val="006A78DA"/>
    <w:rsid w:val="006A7C3E"/>
    <w:rsid w:val="006B1A8A"/>
    <w:rsid w:val="006B215C"/>
    <w:rsid w:val="006B2165"/>
    <w:rsid w:val="006B26AA"/>
    <w:rsid w:val="006B2766"/>
    <w:rsid w:val="006B2C15"/>
    <w:rsid w:val="006B2D14"/>
    <w:rsid w:val="006B35BF"/>
    <w:rsid w:val="006B5618"/>
    <w:rsid w:val="006B563D"/>
    <w:rsid w:val="006B7119"/>
    <w:rsid w:val="006C0705"/>
    <w:rsid w:val="006C0C5A"/>
    <w:rsid w:val="006C1AD1"/>
    <w:rsid w:val="006C2C5C"/>
    <w:rsid w:val="006C3419"/>
    <w:rsid w:val="006C3CEE"/>
    <w:rsid w:val="006C44BF"/>
    <w:rsid w:val="006C4B6B"/>
    <w:rsid w:val="006C4B7C"/>
    <w:rsid w:val="006C57B1"/>
    <w:rsid w:val="006C58BA"/>
    <w:rsid w:val="006C6A53"/>
    <w:rsid w:val="006C72C4"/>
    <w:rsid w:val="006D0041"/>
    <w:rsid w:val="006D0B14"/>
    <w:rsid w:val="006D0E9D"/>
    <w:rsid w:val="006D0FF3"/>
    <w:rsid w:val="006D10A4"/>
    <w:rsid w:val="006D110C"/>
    <w:rsid w:val="006D13C5"/>
    <w:rsid w:val="006D17BC"/>
    <w:rsid w:val="006D2318"/>
    <w:rsid w:val="006D2398"/>
    <w:rsid w:val="006D2BBB"/>
    <w:rsid w:val="006D4E6E"/>
    <w:rsid w:val="006D578F"/>
    <w:rsid w:val="006D6448"/>
    <w:rsid w:val="006D6DD4"/>
    <w:rsid w:val="006D6E08"/>
    <w:rsid w:val="006D6F2C"/>
    <w:rsid w:val="006D77B7"/>
    <w:rsid w:val="006D7B23"/>
    <w:rsid w:val="006D7E32"/>
    <w:rsid w:val="006E08FD"/>
    <w:rsid w:val="006E1B46"/>
    <w:rsid w:val="006E23A8"/>
    <w:rsid w:val="006E344A"/>
    <w:rsid w:val="006E3A64"/>
    <w:rsid w:val="006E4BB3"/>
    <w:rsid w:val="006E6AD1"/>
    <w:rsid w:val="006E7829"/>
    <w:rsid w:val="006F11C1"/>
    <w:rsid w:val="006F130B"/>
    <w:rsid w:val="006F1ABD"/>
    <w:rsid w:val="006F21A2"/>
    <w:rsid w:val="006F2BFD"/>
    <w:rsid w:val="006F3042"/>
    <w:rsid w:val="006F3C1F"/>
    <w:rsid w:val="006F3D83"/>
    <w:rsid w:val="006F4534"/>
    <w:rsid w:val="006F491F"/>
    <w:rsid w:val="006F5CAB"/>
    <w:rsid w:val="006F6365"/>
    <w:rsid w:val="006F6B0C"/>
    <w:rsid w:val="006F739A"/>
    <w:rsid w:val="00700043"/>
    <w:rsid w:val="00700238"/>
    <w:rsid w:val="00701B3E"/>
    <w:rsid w:val="00701EC2"/>
    <w:rsid w:val="00702EB3"/>
    <w:rsid w:val="00703470"/>
    <w:rsid w:val="007036F4"/>
    <w:rsid w:val="0070453C"/>
    <w:rsid w:val="00704900"/>
    <w:rsid w:val="00704DB0"/>
    <w:rsid w:val="00704F54"/>
    <w:rsid w:val="00705BFA"/>
    <w:rsid w:val="00707BF1"/>
    <w:rsid w:val="00707C10"/>
    <w:rsid w:val="00707F5B"/>
    <w:rsid w:val="00710041"/>
    <w:rsid w:val="007107EF"/>
    <w:rsid w:val="0071242D"/>
    <w:rsid w:val="00713494"/>
    <w:rsid w:val="00713C39"/>
    <w:rsid w:val="00714616"/>
    <w:rsid w:val="00714711"/>
    <w:rsid w:val="0071492A"/>
    <w:rsid w:val="00715F11"/>
    <w:rsid w:val="00716982"/>
    <w:rsid w:val="00716FBF"/>
    <w:rsid w:val="00717572"/>
    <w:rsid w:val="00717DAF"/>
    <w:rsid w:val="00720301"/>
    <w:rsid w:val="007204BC"/>
    <w:rsid w:val="00720FCF"/>
    <w:rsid w:val="00721528"/>
    <w:rsid w:val="0072405C"/>
    <w:rsid w:val="00724130"/>
    <w:rsid w:val="007249CB"/>
    <w:rsid w:val="00724ABF"/>
    <w:rsid w:val="00725461"/>
    <w:rsid w:val="007274CB"/>
    <w:rsid w:val="00727EBE"/>
    <w:rsid w:val="00730764"/>
    <w:rsid w:val="007325E7"/>
    <w:rsid w:val="00732AA6"/>
    <w:rsid w:val="0073305E"/>
    <w:rsid w:val="0073370F"/>
    <w:rsid w:val="007347E1"/>
    <w:rsid w:val="00734970"/>
    <w:rsid w:val="00734B85"/>
    <w:rsid w:val="007354C7"/>
    <w:rsid w:val="00736E5E"/>
    <w:rsid w:val="00737413"/>
    <w:rsid w:val="007375E6"/>
    <w:rsid w:val="0074174B"/>
    <w:rsid w:val="007424A3"/>
    <w:rsid w:val="007426BB"/>
    <w:rsid w:val="00742B35"/>
    <w:rsid w:val="00742B88"/>
    <w:rsid w:val="00744671"/>
    <w:rsid w:val="00744C1E"/>
    <w:rsid w:val="00744F08"/>
    <w:rsid w:val="00745662"/>
    <w:rsid w:val="00745EC3"/>
    <w:rsid w:val="00747606"/>
    <w:rsid w:val="00747EB1"/>
    <w:rsid w:val="0075031B"/>
    <w:rsid w:val="00750D85"/>
    <w:rsid w:val="00752BD1"/>
    <w:rsid w:val="00753B8F"/>
    <w:rsid w:val="00753DA6"/>
    <w:rsid w:val="00755424"/>
    <w:rsid w:val="00756D90"/>
    <w:rsid w:val="00757E55"/>
    <w:rsid w:val="00761E2B"/>
    <w:rsid w:val="00763130"/>
    <w:rsid w:val="00764333"/>
    <w:rsid w:val="00764C39"/>
    <w:rsid w:val="00765DF4"/>
    <w:rsid w:val="00767308"/>
    <w:rsid w:val="00767AB4"/>
    <w:rsid w:val="0077104B"/>
    <w:rsid w:val="00771629"/>
    <w:rsid w:val="00771677"/>
    <w:rsid w:val="00773036"/>
    <w:rsid w:val="007734C2"/>
    <w:rsid w:val="007735BF"/>
    <w:rsid w:val="00775EE5"/>
    <w:rsid w:val="00777078"/>
    <w:rsid w:val="00777102"/>
    <w:rsid w:val="0077753A"/>
    <w:rsid w:val="00777B2D"/>
    <w:rsid w:val="00777FC6"/>
    <w:rsid w:val="007801AB"/>
    <w:rsid w:val="007809E5"/>
    <w:rsid w:val="00780A93"/>
    <w:rsid w:val="00781294"/>
    <w:rsid w:val="007816C7"/>
    <w:rsid w:val="00781931"/>
    <w:rsid w:val="0078195F"/>
    <w:rsid w:val="007819F4"/>
    <w:rsid w:val="007827ED"/>
    <w:rsid w:val="00782F72"/>
    <w:rsid w:val="00783C8D"/>
    <w:rsid w:val="00783D2A"/>
    <w:rsid w:val="00784874"/>
    <w:rsid w:val="00785AE3"/>
    <w:rsid w:val="00785D4A"/>
    <w:rsid w:val="0078733C"/>
    <w:rsid w:val="0079010D"/>
    <w:rsid w:val="00790231"/>
    <w:rsid w:val="00790612"/>
    <w:rsid w:val="00790D90"/>
    <w:rsid w:val="007916CD"/>
    <w:rsid w:val="00792079"/>
    <w:rsid w:val="007927EB"/>
    <w:rsid w:val="00792BBF"/>
    <w:rsid w:val="00792D5D"/>
    <w:rsid w:val="00793A98"/>
    <w:rsid w:val="0079565F"/>
    <w:rsid w:val="00797973"/>
    <w:rsid w:val="007979C8"/>
    <w:rsid w:val="007A0562"/>
    <w:rsid w:val="007A0582"/>
    <w:rsid w:val="007A0E3E"/>
    <w:rsid w:val="007A1D4B"/>
    <w:rsid w:val="007A1D95"/>
    <w:rsid w:val="007A2006"/>
    <w:rsid w:val="007A22FE"/>
    <w:rsid w:val="007A2D58"/>
    <w:rsid w:val="007A31F4"/>
    <w:rsid w:val="007A4170"/>
    <w:rsid w:val="007A42F0"/>
    <w:rsid w:val="007A4813"/>
    <w:rsid w:val="007A50E4"/>
    <w:rsid w:val="007A5322"/>
    <w:rsid w:val="007A69BC"/>
    <w:rsid w:val="007A6D6B"/>
    <w:rsid w:val="007A7594"/>
    <w:rsid w:val="007A772C"/>
    <w:rsid w:val="007B134E"/>
    <w:rsid w:val="007B1DDB"/>
    <w:rsid w:val="007B1F38"/>
    <w:rsid w:val="007B3717"/>
    <w:rsid w:val="007B64B7"/>
    <w:rsid w:val="007B75E8"/>
    <w:rsid w:val="007B781E"/>
    <w:rsid w:val="007C0ACB"/>
    <w:rsid w:val="007C0C16"/>
    <w:rsid w:val="007C0D04"/>
    <w:rsid w:val="007C1114"/>
    <w:rsid w:val="007C13A1"/>
    <w:rsid w:val="007C2A3C"/>
    <w:rsid w:val="007C3D90"/>
    <w:rsid w:val="007C4EFE"/>
    <w:rsid w:val="007C549A"/>
    <w:rsid w:val="007C77C5"/>
    <w:rsid w:val="007C79A0"/>
    <w:rsid w:val="007C7B55"/>
    <w:rsid w:val="007D00BA"/>
    <w:rsid w:val="007D0463"/>
    <w:rsid w:val="007D1223"/>
    <w:rsid w:val="007D1BF7"/>
    <w:rsid w:val="007D1D31"/>
    <w:rsid w:val="007D1E66"/>
    <w:rsid w:val="007D2483"/>
    <w:rsid w:val="007D2EC5"/>
    <w:rsid w:val="007D3066"/>
    <w:rsid w:val="007D3363"/>
    <w:rsid w:val="007D35C8"/>
    <w:rsid w:val="007D44E1"/>
    <w:rsid w:val="007D46C5"/>
    <w:rsid w:val="007D4D65"/>
    <w:rsid w:val="007D78D3"/>
    <w:rsid w:val="007E03DF"/>
    <w:rsid w:val="007E1F2C"/>
    <w:rsid w:val="007E5B7A"/>
    <w:rsid w:val="007E653A"/>
    <w:rsid w:val="007E7290"/>
    <w:rsid w:val="007F062F"/>
    <w:rsid w:val="007F08FE"/>
    <w:rsid w:val="007F1EC4"/>
    <w:rsid w:val="007F2B7A"/>
    <w:rsid w:val="007F3056"/>
    <w:rsid w:val="007F3473"/>
    <w:rsid w:val="007F38D2"/>
    <w:rsid w:val="007F5BF5"/>
    <w:rsid w:val="00800061"/>
    <w:rsid w:val="00800BBC"/>
    <w:rsid w:val="00800CC5"/>
    <w:rsid w:val="00801B45"/>
    <w:rsid w:val="00801EB4"/>
    <w:rsid w:val="00802C2C"/>
    <w:rsid w:val="00803371"/>
    <w:rsid w:val="00803408"/>
    <w:rsid w:val="00804521"/>
    <w:rsid w:val="00804688"/>
    <w:rsid w:val="00805091"/>
    <w:rsid w:val="008056FA"/>
    <w:rsid w:val="00805DB9"/>
    <w:rsid w:val="00807D1D"/>
    <w:rsid w:val="00807D29"/>
    <w:rsid w:val="0081028A"/>
    <w:rsid w:val="0081115D"/>
    <w:rsid w:val="0081163A"/>
    <w:rsid w:val="00812554"/>
    <w:rsid w:val="00812E16"/>
    <w:rsid w:val="008131E7"/>
    <w:rsid w:val="00814026"/>
    <w:rsid w:val="008151AC"/>
    <w:rsid w:val="0081697E"/>
    <w:rsid w:val="008170A3"/>
    <w:rsid w:val="0082011D"/>
    <w:rsid w:val="008202A5"/>
    <w:rsid w:val="0082052D"/>
    <w:rsid w:val="00821092"/>
    <w:rsid w:val="008215F3"/>
    <w:rsid w:val="008222F6"/>
    <w:rsid w:val="00822BE4"/>
    <w:rsid w:val="008239CD"/>
    <w:rsid w:val="00823BF8"/>
    <w:rsid w:val="00824FCF"/>
    <w:rsid w:val="008253D3"/>
    <w:rsid w:val="008254B1"/>
    <w:rsid w:val="008257FB"/>
    <w:rsid w:val="00825D7C"/>
    <w:rsid w:val="00825DE6"/>
    <w:rsid w:val="008265EF"/>
    <w:rsid w:val="008265FA"/>
    <w:rsid w:val="0082783F"/>
    <w:rsid w:val="0083035C"/>
    <w:rsid w:val="00831377"/>
    <w:rsid w:val="008318AC"/>
    <w:rsid w:val="008318C7"/>
    <w:rsid w:val="00831B60"/>
    <w:rsid w:val="00832D56"/>
    <w:rsid w:val="00833672"/>
    <w:rsid w:val="00833F0C"/>
    <w:rsid w:val="00834E2F"/>
    <w:rsid w:val="008351BE"/>
    <w:rsid w:val="00836022"/>
    <w:rsid w:val="008361AB"/>
    <w:rsid w:val="008373E7"/>
    <w:rsid w:val="00837ADB"/>
    <w:rsid w:val="008410CF"/>
    <w:rsid w:val="00841911"/>
    <w:rsid w:val="00841A91"/>
    <w:rsid w:val="00841DEC"/>
    <w:rsid w:val="00842FE9"/>
    <w:rsid w:val="008431AA"/>
    <w:rsid w:val="00844207"/>
    <w:rsid w:val="00844512"/>
    <w:rsid w:val="00845735"/>
    <w:rsid w:val="00845B29"/>
    <w:rsid w:val="008465C8"/>
    <w:rsid w:val="00846ADB"/>
    <w:rsid w:val="0084777B"/>
    <w:rsid w:val="0085074D"/>
    <w:rsid w:val="0085293A"/>
    <w:rsid w:val="00852A36"/>
    <w:rsid w:val="00853878"/>
    <w:rsid w:val="00853908"/>
    <w:rsid w:val="00853C17"/>
    <w:rsid w:val="00854CF2"/>
    <w:rsid w:val="00855566"/>
    <w:rsid w:val="0085558B"/>
    <w:rsid w:val="00855728"/>
    <w:rsid w:val="00855C8B"/>
    <w:rsid w:val="008616DC"/>
    <w:rsid w:val="00861BD7"/>
    <w:rsid w:val="00861EC5"/>
    <w:rsid w:val="008629A0"/>
    <w:rsid w:val="008640F8"/>
    <w:rsid w:val="00864C5F"/>
    <w:rsid w:val="00865033"/>
    <w:rsid w:val="0086584E"/>
    <w:rsid w:val="008663F3"/>
    <w:rsid w:val="00867296"/>
    <w:rsid w:val="0086757F"/>
    <w:rsid w:val="00867DB1"/>
    <w:rsid w:val="00871035"/>
    <w:rsid w:val="0087311E"/>
    <w:rsid w:val="0087333D"/>
    <w:rsid w:val="008734B3"/>
    <w:rsid w:val="00873582"/>
    <w:rsid w:val="008738FE"/>
    <w:rsid w:val="00873E6D"/>
    <w:rsid w:val="00874CE0"/>
    <w:rsid w:val="00874FF3"/>
    <w:rsid w:val="008751A3"/>
    <w:rsid w:val="00876050"/>
    <w:rsid w:val="008764BF"/>
    <w:rsid w:val="0087732C"/>
    <w:rsid w:val="0087783D"/>
    <w:rsid w:val="00877B9E"/>
    <w:rsid w:val="008803DD"/>
    <w:rsid w:val="008805B1"/>
    <w:rsid w:val="00881FB8"/>
    <w:rsid w:val="00882013"/>
    <w:rsid w:val="00882916"/>
    <w:rsid w:val="00882E1C"/>
    <w:rsid w:val="00884188"/>
    <w:rsid w:val="00884423"/>
    <w:rsid w:val="00884911"/>
    <w:rsid w:val="008850F8"/>
    <w:rsid w:val="00885947"/>
    <w:rsid w:val="008874AE"/>
    <w:rsid w:val="00887A0F"/>
    <w:rsid w:val="00887C27"/>
    <w:rsid w:val="0089021D"/>
    <w:rsid w:val="008919AE"/>
    <w:rsid w:val="0089202C"/>
    <w:rsid w:val="00892A92"/>
    <w:rsid w:val="00892BDB"/>
    <w:rsid w:val="00894208"/>
    <w:rsid w:val="0089495B"/>
    <w:rsid w:val="00896629"/>
    <w:rsid w:val="008968CF"/>
    <w:rsid w:val="00896E23"/>
    <w:rsid w:val="00897110"/>
    <w:rsid w:val="00897390"/>
    <w:rsid w:val="008A06E3"/>
    <w:rsid w:val="008A0A80"/>
    <w:rsid w:val="008A0BD6"/>
    <w:rsid w:val="008A1013"/>
    <w:rsid w:val="008A1883"/>
    <w:rsid w:val="008A2408"/>
    <w:rsid w:val="008A2A0A"/>
    <w:rsid w:val="008A3D5E"/>
    <w:rsid w:val="008A4665"/>
    <w:rsid w:val="008A490C"/>
    <w:rsid w:val="008A5D02"/>
    <w:rsid w:val="008A7513"/>
    <w:rsid w:val="008A7E18"/>
    <w:rsid w:val="008B0B04"/>
    <w:rsid w:val="008B0FCF"/>
    <w:rsid w:val="008B1B83"/>
    <w:rsid w:val="008B26C6"/>
    <w:rsid w:val="008B2895"/>
    <w:rsid w:val="008B2F20"/>
    <w:rsid w:val="008B3CA3"/>
    <w:rsid w:val="008B4F99"/>
    <w:rsid w:val="008B56F3"/>
    <w:rsid w:val="008B6C6C"/>
    <w:rsid w:val="008B6F99"/>
    <w:rsid w:val="008B7ABA"/>
    <w:rsid w:val="008C04FF"/>
    <w:rsid w:val="008C1402"/>
    <w:rsid w:val="008C22EF"/>
    <w:rsid w:val="008C29AF"/>
    <w:rsid w:val="008C6044"/>
    <w:rsid w:val="008C61ED"/>
    <w:rsid w:val="008C6241"/>
    <w:rsid w:val="008C6B01"/>
    <w:rsid w:val="008D04A1"/>
    <w:rsid w:val="008D077D"/>
    <w:rsid w:val="008D18EB"/>
    <w:rsid w:val="008D3471"/>
    <w:rsid w:val="008D359F"/>
    <w:rsid w:val="008D744B"/>
    <w:rsid w:val="008E28C7"/>
    <w:rsid w:val="008E329B"/>
    <w:rsid w:val="008E35EF"/>
    <w:rsid w:val="008E3982"/>
    <w:rsid w:val="008E3D33"/>
    <w:rsid w:val="008E3D3C"/>
    <w:rsid w:val="008E44FA"/>
    <w:rsid w:val="008E4FD6"/>
    <w:rsid w:val="008E6A9F"/>
    <w:rsid w:val="008E6EC6"/>
    <w:rsid w:val="008F22D3"/>
    <w:rsid w:val="008F2CE2"/>
    <w:rsid w:val="008F3E0E"/>
    <w:rsid w:val="008F4DEB"/>
    <w:rsid w:val="008F5CB4"/>
    <w:rsid w:val="008F5F6C"/>
    <w:rsid w:val="008F650D"/>
    <w:rsid w:val="008F739E"/>
    <w:rsid w:val="009006CC"/>
    <w:rsid w:val="00901876"/>
    <w:rsid w:val="009020E9"/>
    <w:rsid w:val="0090248B"/>
    <w:rsid w:val="009025FB"/>
    <w:rsid w:val="00903196"/>
    <w:rsid w:val="009033E8"/>
    <w:rsid w:val="009052A7"/>
    <w:rsid w:val="00905307"/>
    <w:rsid w:val="00905FAA"/>
    <w:rsid w:val="00906772"/>
    <w:rsid w:val="00906B08"/>
    <w:rsid w:val="00907F71"/>
    <w:rsid w:val="00910A2B"/>
    <w:rsid w:val="00910BEB"/>
    <w:rsid w:val="00912210"/>
    <w:rsid w:val="00912391"/>
    <w:rsid w:val="00912D66"/>
    <w:rsid w:val="00913670"/>
    <w:rsid w:val="00913D97"/>
    <w:rsid w:val="00915324"/>
    <w:rsid w:val="009160AC"/>
    <w:rsid w:val="00916122"/>
    <w:rsid w:val="00916325"/>
    <w:rsid w:val="009164A8"/>
    <w:rsid w:val="009200E1"/>
    <w:rsid w:val="0092093E"/>
    <w:rsid w:val="00921217"/>
    <w:rsid w:val="00921B9D"/>
    <w:rsid w:val="0092212D"/>
    <w:rsid w:val="00922B27"/>
    <w:rsid w:val="00922BBA"/>
    <w:rsid w:val="00923F5C"/>
    <w:rsid w:val="009241B0"/>
    <w:rsid w:val="0092473D"/>
    <w:rsid w:val="00924C50"/>
    <w:rsid w:val="00924DDA"/>
    <w:rsid w:val="0092533F"/>
    <w:rsid w:val="00925BB3"/>
    <w:rsid w:val="0092616D"/>
    <w:rsid w:val="00926EC4"/>
    <w:rsid w:val="00930202"/>
    <w:rsid w:val="00930230"/>
    <w:rsid w:val="0093079C"/>
    <w:rsid w:val="00930AE2"/>
    <w:rsid w:val="00931E7A"/>
    <w:rsid w:val="00932503"/>
    <w:rsid w:val="00932695"/>
    <w:rsid w:val="00934245"/>
    <w:rsid w:val="009349E8"/>
    <w:rsid w:val="009356D2"/>
    <w:rsid w:val="009361BE"/>
    <w:rsid w:val="009370CD"/>
    <w:rsid w:val="00937380"/>
    <w:rsid w:val="009378AA"/>
    <w:rsid w:val="00937D36"/>
    <w:rsid w:val="009414B4"/>
    <w:rsid w:val="009418ED"/>
    <w:rsid w:val="009432F4"/>
    <w:rsid w:val="0094359D"/>
    <w:rsid w:val="00943C2A"/>
    <w:rsid w:val="00944471"/>
    <w:rsid w:val="00944ABE"/>
    <w:rsid w:val="00945A8E"/>
    <w:rsid w:val="009463AE"/>
    <w:rsid w:val="009463FC"/>
    <w:rsid w:val="0094669B"/>
    <w:rsid w:val="0094788A"/>
    <w:rsid w:val="00947AD4"/>
    <w:rsid w:val="00950390"/>
    <w:rsid w:val="009513D7"/>
    <w:rsid w:val="0095149F"/>
    <w:rsid w:val="0095201B"/>
    <w:rsid w:val="00954ED8"/>
    <w:rsid w:val="009558B8"/>
    <w:rsid w:val="00955DAB"/>
    <w:rsid w:val="00956D0E"/>
    <w:rsid w:val="00957058"/>
    <w:rsid w:val="009570C1"/>
    <w:rsid w:val="009576DF"/>
    <w:rsid w:val="0095784D"/>
    <w:rsid w:val="00957E2C"/>
    <w:rsid w:val="009611FD"/>
    <w:rsid w:val="0096181A"/>
    <w:rsid w:val="00961DB8"/>
    <w:rsid w:val="009629F6"/>
    <w:rsid w:val="00962BAC"/>
    <w:rsid w:val="00963228"/>
    <w:rsid w:val="009636F2"/>
    <w:rsid w:val="009650BC"/>
    <w:rsid w:val="009650C3"/>
    <w:rsid w:val="009654EA"/>
    <w:rsid w:val="00965530"/>
    <w:rsid w:val="0096558F"/>
    <w:rsid w:val="00965B22"/>
    <w:rsid w:val="0096616A"/>
    <w:rsid w:val="00966442"/>
    <w:rsid w:val="0096722A"/>
    <w:rsid w:val="0096727C"/>
    <w:rsid w:val="00967E4F"/>
    <w:rsid w:val="0097033F"/>
    <w:rsid w:val="009711F1"/>
    <w:rsid w:val="00971402"/>
    <w:rsid w:val="00971D2B"/>
    <w:rsid w:val="00971E70"/>
    <w:rsid w:val="009724B8"/>
    <w:rsid w:val="0097284A"/>
    <w:rsid w:val="00972EE7"/>
    <w:rsid w:val="00973FD6"/>
    <w:rsid w:val="00974524"/>
    <w:rsid w:val="00975D17"/>
    <w:rsid w:val="00975E09"/>
    <w:rsid w:val="009778DE"/>
    <w:rsid w:val="00977BB2"/>
    <w:rsid w:val="00981261"/>
    <w:rsid w:val="00982423"/>
    <w:rsid w:val="009833B6"/>
    <w:rsid w:val="0098462A"/>
    <w:rsid w:val="00984638"/>
    <w:rsid w:val="00985834"/>
    <w:rsid w:val="00985D2A"/>
    <w:rsid w:val="00987407"/>
    <w:rsid w:val="009879CA"/>
    <w:rsid w:val="00987D21"/>
    <w:rsid w:val="009913DA"/>
    <w:rsid w:val="009919A8"/>
    <w:rsid w:val="00992856"/>
    <w:rsid w:val="00994089"/>
    <w:rsid w:val="00995575"/>
    <w:rsid w:val="00995A81"/>
    <w:rsid w:val="009A025D"/>
    <w:rsid w:val="009A08B8"/>
    <w:rsid w:val="009A0B23"/>
    <w:rsid w:val="009A155F"/>
    <w:rsid w:val="009A16E4"/>
    <w:rsid w:val="009A2856"/>
    <w:rsid w:val="009A33AA"/>
    <w:rsid w:val="009A48C1"/>
    <w:rsid w:val="009A50A8"/>
    <w:rsid w:val="009A553A"/>
    <w:rsid w:val="009A5C2C"/>
    <w:rsid w:val="009A6F52"/>
    <w:rsid w:val="009A7E37"/>
    <w:rsid w:val="009B169A"/>
    <w:rsid w:val="009B24BD"/>
    <w:rsid w:val="009B4598"/>
    <w:rsid w:val="009B5C03"/>
    <w:rsid w:val="009B6050"/>
    <w:rsid w:val="009B6318"/>
    <w:rsid w:val="009B68E4"/>
    <w:rsid w:val="009B6FF0"/>
    <w:rsid w:val="009B7390"/>
    <w:rsid w:val="009B73B5"/>
    <w:rsid w:val="009B75EB"/>
    <w:rsid w:val="009B76F9"/>
    <w:rsid w:val="009C064F"/>
    <w:rsid w:val="009C128A"/>
    <w:rsid w:val="009C1348"/>
    <w:rsid w:val="009C1A03"/>
    <w:rsid w:val="009C1A65"/>
    <w:rsid w:val="009C1AB0"/>
    <w:rsid w:val="009C22FD"/>
    <w:rsid w:val="009C2815"/>
    <w:rsid w:val="009C2F6A"/>
    <w:rsid w:val="009C4E70"/>
    <w:rsid w:val="009C6948"/>
    <w:rsid w:val="009C7400"/>
    <w:rsid w:val="009C7AA7"/>
    <w:rsid w:val="009C7C9A"/>
    <w:rsid w:val="009C7F27"/>
    <w:rsid w:val="009D092D"/>
    <w:rsid w:val="009D10FF"/>
    <w:rsid w:val="009D2E43"/>
    <w:rsid w:val="009D42DD"/>
    <w:rsid w:val="009D4CCE"/>
    <w:rsid w:val="009D5507"/>
    <w:rsid w:val="009D553C"/>
    <w:rsid w:val="009D5A59"/>
    <w:rsid w:val="009D5E41"/>
    <w:rsid w:val="009D646F"/>
    <w:rsid w:val="009D738A"/>
    <w:rsid w:val="009E041C"/>
    <w:rsid w:val="009E154B"/>
    <w:rsid w:val="009E163E"/>
    <w:rsid w:val="009E20B6"/>
    <w:rsid w:val="009E3DF2"/>
    <w:rsid w:val="009E4DF4"/>
    <w:rsid w:val="009E52EA"/>
    <w:rsid w:val="009E5AA2"/>
    <w:rsid w:val="009F0AB9"/>
    <w:rsid w:val="009F13F1"/>
    <w:rsid w:val="009F29F1"/>
    <w:rsid w:val="009F33F4"/>
    <w:rsid w:val="009F4263"/>
    <w:rsid w:val="009F429A"/>
    <w:rsid w:val="009F4512"/>
    <w:rsid w:val="009F4522"/>
    <w:rsid w:val="009F4962"/>
    <w:rsid w:val="009F5749"/>
    <w:rsid w:val="009F5A63"/>
    <w:rsid w:val="009F5EC2"/>
    <w:rsid w:val="009F71C7"/>
    <w:rsid w:val="009F7B88"/>
    <w:rsid w:val="009F7EF9"/>
    <w:rsid w:val="00A012D5"/>
    <w:rsid w:val="00A017E7"/>
    <w:rsid w:val="00A0226C"/>
    <w:rsid w:val="00A02299"/>
    <w:rsid w:val="00A02986"/>
    <w:rsid w:val="00A03E86"/>
    <w:rsid w:val="00A046B4"/>
    <w:rsid w:val="00A05164"/>
    <w:rsid w:val="00A0568D"/>
    <w:rsid w:val="00A066D6"/>
    <w:rsid w:val="00A06E9A"/>
    <w:rsid w:val="00A06F14"/>
    <w:rsid w:val="00A107EB"/>
    <w:rsid w:val="00A12021"/>
    <w:rsid w:val="00A12886"/>
    <w:rsid w:val="00A136E6"/>
    <w:rsid w:val="00A14184"/>
    <w:rsid w:val="00A14AF8"/>
    <w:rsid w:val="00A155AB"/>
    <w:rsid w:val="00A15D8A"/>
    <w:rsid w:val="00A1670B"/>
    <w:rsid w:val="00A201AD"/>
    <w:rsid w:val="00A202B1"/>
    <w:rsid w:val="00A2031C"/>
    <w:rsid w:val="00A204A2"/>
    <w:rsid w:val="00A20603"/>
    <w:rsid w:val="00A20908"/>
    <w:rsid w:val="00A20D7A"/>
    <w:rsid w:val="00A20FF6"/>
    <w:rsid w:val="00A2198E"/>
    <w:rsid w:val="00A21C54"/>
    <w:rsid w:val="00A2234F"/>
    <w:rsid w:val="00A23822"/>
    <w:rsid w:val="00A241DD"/>
    <w:rsid w:val="00A2434C"/>
    <w:rsid w:val="00A24BB1"/>
    <w:rsid w:val="00A255FF"/>
    <w:rsid w:val="00A25BEB"/>
    <w:rsid w:val="00A26306"/>
    <w:rsid w:val="00A2696F"/>
    <w:rsid w:val="00A269CE"/>
    <w:rsid w:val="00A26CB3"/>
    <w:rsid w:val="00A314F7"/>
    <w:rsid w:val="00A321F1"/>
    <w:rsid w:val="00A321FB"/>
    <w:rsid w:val="00A32B1F"/>
    <w:rsid w:val="00A331F7"/>
    <w:rsid w:val="00A33563"/>
    <w:rsid w:val="00A33F8A"/>
    <w:rsid w:val="00A34D62"/>
    <w:rsid w:val="00A3522F"/>
    <w:rsid w:val="00A35610"/>
    <w:rsid w:val="00A36AFF"/>
    <w:rsid w:val="00A37C5B"/>
    <w:rsid w:val="00A4059E"/>
    <w:rsid w:val="00A426C8"/>
    <w:rsid w:val="00A447E1"/>
    <w:rsid w:val="00A44841"/>
    <w:rsid w:val="00A44EB2"/>
    <w:rsid w:val="00A45D6E"/>
    <w:rsid w:val="00A46939"/>
    <w:rsid w:val="00A46DCD"/>
    <w:rsid w:val="00A46DDD"/>
    <w:rsid w:val="00A47262"/>
    <w:rsid w:val="00A4746C"/>
    <w:rsid w:val="00A47823"/>
    <w:rsid w:val="00A50806"/>
    <w:rsid w:val="00A50808"/>
    <w:rsid w:val="00A513DB"/>
    <w:rsid w:val="00A52764"/>
    <w:rsid w:val="00A529C4"/>
    <w:rsid w:val="00A5475B"/>
    <w:rsid w:val="00A548F8"/>
    <w:rsid w:val="00A549B3"/>
    <w:rsid w:val="00A550AA"/>
    <w:rsid w:val="00A552FC"/>
    <w:rsid w:val="00A55461"/>
    <w:rsid w:val="00A60059"/>
    <w:rsid w:val="00A62B68"/>
    <w:rsid w:val="00A62E2B"/>
    <w:rsid w:val="00A636B3"/>
    <w:rsid w:val="00A64334"/>
    <w:rsid w:val="00A646F3"/>
    <w:rsid w:val="00A66A03"/>
    <w:rsid w:val="00A673B2"/>
    <w:rsid w:val="00A67E65"/>
    <w:rsid w:val="00A700D7"/>
    <w:rsid w:val="00A70B3C"/>
    <w:rsid w:val="00A718A4"/>
    <w:rsid w:val="00A71B59"/>
    <w:rsid w:val="00A72060"/>
    <w:rsid w:val="00A72CD1"/>
    <w:rsid w:val="00A73378"/>
    <w:rsid w:val="00A73CA9"/>
    <w:rsid w:val="00A746FF"/>
    <w:rsid w:val="00A747BE"/>
    <w:rsid w:val="00A75287"/>
    <w:rsid w:val="00A77243"/>
    <w:rsid w:val="00A7736D"/>
    <w:rsid w:val="00A77C63"/>
    <w:rsid w:val="00A80742"/>
    <w:rsid w:val="00A80A7B"/>
    <w:rsid w:val="00A826BD"/>
    <w:rsid w:val="00A8370B"/>
    <w:rsid w:val="00A84075"/>
    <w:rsid w:val="00A843E2"/>
    <w:rsid w:val="00A87C4F"/>
    <w:rsid w:val="00A90303"/>
    <w:rsid w:val="00A92189"/>
    <w:rsid w:val="00A92E21"/>
    <w:rsid w:val="00A943DB"/>
    <w:rsid w:val="00A948A9"/>
    <w:rsid w:val="00A949BE"/>
    <w:rsid w:val="00A94C38"/>
    <w:rsid w:val="00A97368"/>
    <w:rsid w:val="00AA02CE"/>
    <w:rsid w:val="00AA0C52"/>
    <w:rsid w:val="00AA1257"/>
    <w:rsid w:val="00AA2D02"/>
    <w:rsid w:val="00AA2DC7"/>
    <w:rsid w:val="00AA3339"/>
    <w:rsid w:val="00AA4227"/>
    <w:rsid w:val="00AA4BE1"/>
    <w:rsid w:val="00AA5C70"/>
    <w:rsid w:val="00AA691B"/>
    <w:rsid w:val="00AA7E68"/>
    <w:rsid w:val="00AB1329"/>
    <w:rsid w:val="00AB36B8"/>
    <w:rsid w:val="00AB41D3"/>
    <w:rsid w:val="00AB55F0"/>
    <w:rsid w:val="00AB6546"/>
    <w:rsid w:val="00AB67F0"/>
    <w:rsid w:val="00AB6965"/>
    <w:rsid w:val="00AB71FE"/>
    <w:rsid w:val="00AC0B5B"/>
    <w:rsid w:val="00AC14DE"/>
    <w:rsid w:val="00AC2A77"/>
    <w:rsid w:val="00AC3058"/>
    <w:rsid w:val="00AC3212"/>
    <w:rsid w:val="00AC337C"/>
    <w:rsid w:val="00AC4A93"/>
    <w:rsid w:val="00AC4D20"/>
    <w:rsid w:val="00AC502A"/>
    <w:rsid w:val="00AC5BFE"/>
    <w:rsid w:val="00AC5C0D"/>
    <w:rsid w:val="00AC5C1E"/>
    <w:rsid w:val="00AC651F"/>
    <w:rsid w:val="00AC6BA4"/>
    <w:rsid w:val="00AC7828"/>
    <w:rsid w:val="00AC796A"/>
    <w:rsid w:val="00AD2E4E"/>
    <w:rsid w:val="00AD2F82"/>
    <w:rsid w:val="00AD3008"/>
    <w:rsid w:val="00AD3EFD"/>
    <w:rsid w:val="00AD3F02"/>
    <w:rsid w:val="00AD4D4B"/>
    <w:rsid w:val="00AD5759"/>
    <w:rsid w:val="00AD5CA9"/>
    <w:rsid w:val="00AD5FAA"/>
    <w:rsid w:val="00AD66B0"/>
    <w:rsid w:val="00AD7C28"/>
    <w:rsid w:val="00AE20BD"/>
    <w:rsid w:val="00AE3720"/>
    <w:rsid w:val="00AE3C3D"/>
    <w:rsid w:val="00AE4381"/>
    <w:rsid w:val="00AE43CC"/>
    <w:rsid w:val="00AE5CF7"/>
    <w:rsid w:val="00AE64D3"/>
    <w:rsid w:val="00AE6B6F"/>
    <w:rsid w:val="00AE70A3"/>
    <w:rsid w:val="00AE7324"/>
    <w:rsid w:val="00AE78AE"/>
    <w:rsid w:val="00AE7C03"/>
    <w:rsid w:val="00AE7EDD"/>
    <w:rsid w:val="00AF0177"/>
    <w:rsid w:val="00AF066B"/>
    <w:rsid w:val="00AF0DEE"/>
    <w:rsid w:val="00AF0E85"/>
    <w:rsid w:val="00AF1503"/>
    <w:rsid w:val="00AF1BA1"/>
    <w:rsid w:val="00AF56F4"/>
    <w:rsid w:val="00AF5A89"/>
    <w:rsid w:val="00AF673B"/>
    <w:rsid w:val="00AF794B"/>
    <w:rsid w:val="00B0031A"/>
    <w:rsid w:val="00B014C1"/>
    <w:rsid w:val="00B014E6"/>
    <w:rsid w:val="00B01507"/>
    <w:rsid w:val="00B029E4"/>
    <w:rsid w:val="00B02C25"/>
    <w:rsid w:val="00B03C21"/>
    <w:rsid w:val="00B04005"/>
    <w:rsid w:val="00B04173"/>
    <w:rsid w:val="00B044BE"/>
    <w:rsid w:val="00B05C27"/>
    <w:rsid w:val="00B0670C"/>
    <w:rsid w:val="00B06FC6"/>
    <w:rsid w:val="00B07E30"/>
    <w:rsid w:val="00B10569"/>
    <w:rsid w:val="00B10E7F"/>
    <w:rsid w:val="00B1223A"/>
    <w:rsid w:val="00B12480"/>
    <w:rsid w:val="00B14205"/>
    <w:rsid w:val="00B1445A"/>
    <w:rsid w:val="00B15429"/>
    <w:rsid w:val="00B155F2"/>
    <w:rsid w:val="00B1638C"/>
    <w:rsid w:val="00B164ED"/>
    <w:rsid w:val="00B17AB7"/>
    <w:rsid w:val="00B17ED9"/>
    <w:rsid w:val="00B20D6C"/>
    <w:rsid w:val="00B21726"/>
    <w:rsid w:val="00B23F98"/>
    <w:rsid w:val="00B245A4"/>
    <w:rsid w:val="00B24D10"/>
    <w:rsid w:val="00B24FE7"/>
    <w:rsid w:val="00B25962"/>
    <w:rsid w:val="00B25D48"/>
    <w:rsid w:val="00B26CCA"/>
    <w:rsid w:val="00B31214"/>
    <w:rsid w:val="00B31B9E"/>
    <w:rsid w:val="00B320CD"/>
    <w:rsid w:val="00B32A89"/>
    <w:rsid w:val="00B3303F"/>
    <w:rsid w:val="00B3378D"/>
    <w:rsid w:val="00B339DF"/>
    <w:rsid w:val="00B34F0F"/>
    <w:rsid w:val="00B35806"/>
    <w:rsid w:val="00B35CE7"/>
    <w:rsid w:val="00B36CC5"/>
    <w:rsid w:val="00B4119A"/>
    <w:rsid w:val="00B42365"/>
    <w:rsid w:val="00B425C0"/>
    <w:rsid w:val="00B438AD"/>
    <w:rsid w:val="00B44912"/>
    <w:rsid w:val="00B44AA3"/>
    <w:rsid w:val="00B45282"/>
    <w:rsid w:val="00B473A0"/>
    <w:rsid w:val="00B478E2"/>
    <w:rsid w:val="00B47BB9"/>
    <w:rsid w:val="00B52732"/>
    <w:rsid w:val="00B52775"/>
    <w:rsid w:val="00B54376"/>
    <w:rsid w:val="00B54D4A"/>
    <w:rsid w:val="00B54DB4"/>
    <w:rsid w:val="00B55234"/>
    <w:rsid w:val="00B55591"/>
    <w:rsid w:val="00B5567F"/>
    <w:rsid w:val="00B56154"/>
    <w:rsid w:val="00B56E29"/>
    <w:rsid w:val="00B579F3"/>
    <w:rsid w:val="00B57AFD"/>
    <w:rsid w:val="00B60174"/>
    <w:rsid w:val="00B627F6"/>
    <w:rsid w:val="00B62B7F"/>
    <w:rsid w:val="00B631A9"/>
    <w:rsid w:val="00B632AE"/>
    <w:rsid w:val="00B640E7"/>
    <w:rsid w:val="00B641BF"/>
    <w:rsid w:val="00B64B1E"/>
    <w:rsid w:val="00B65A84"/>
    <w:rsid w:val="00B6730B"/>
    <w:rsid w:val="00B67611"/>
    <w:rsid w:val="00B67936"/>
    <w:rsid w:val="00B70005"/>
    <w:rsid w:val="00B700B2"/>
    <w:rsid w:val="00B70286"/>
    <w:rsid w:val="00B70D46"/>
    <w:rsid w:val="00B712C8"/>
    <w:rsid w:val="00B71855"/>
    <w:rsid w:val="00B719BA"/>
    <w:rsid w:val="00B729E6"/>
    <w:rsid w:val="00B74965"/>
    <w:rsid w:val="00B750F3"/>
    <w:rsid w:val="00B761E1"/>
    <w:rsid w:val="00B7721B"/>
    <w:rsid w:val="00B80C8C"/>
    <w:rsid w:val="00B80D47"/>
    <w:rsid w:val="00B82060"/>
    <w:rsid w:val="00B8239A"/>
    <w:rsid w:val="00B837AD"/>
    <w:rsid w:val="00B83A23"/>
    <w:rsid w:val="00B8402B"/>
    <w:rsid w:val="00B85F0C"/>
    <w:rsid w:val="00B90BD7"/>
    <w:rsid w:val="00B9141B"/>
    <w:rsid w:val="00B9193E"/>
    <w:rsid w:val="00B94974"/>
    <w:rsid w:val="00B94AF7"/>
    <w:rsid w:val="00B94BAD"/>
    <w:rsid w:val="00B95205"/>
    <w:rsid w:val="00B956B9"/>
    <w:rsid w:val="00B96DAA"/>
    <w:rsid w:val="00B97456"/>
    <w:rsid w:val="00BA1266"/>
    <w:rsid w:val="00BA1749"/>
    <w:rsid w:val="00BA369B"/>
    <w:rsid w:val="00BA3B35"/>
    <w:rsid w:val="00BA3C32"/>
    <w:rsid w:val="00BA5E0D"/>
    <w:rsid w:val="00BA62BA"/>
    <w:rsid w:val="00BA64C2"/>
    <w:rsid w:val="00BA6C2D"/>
    <w:rsid w:val="00BA7ACC"/>
    <w:rsid w:val="00BB0337"/>
    <w:rsid w:val="00BB0A9D"/>
    <w:rsid w:val="00BB15F4"/>
    <w:rsid w:val="00BB1674"/>
    <w:rsid w:val="00BB1A38"/>
    <w:rsid w:val="00BB1F3F"/>
    <w:rsid w:val="00BB2397"/>
    <w:rsid w:val="00BB3B55"/>
    <w:rsid w:val="00BB3CD1"/>
    <w:rsid w:val="00BB43C1"/>
    <w:rsid w:val="00BB44B3"/>
    <w:rsid w:val="00BB4D29"/>
    <w:rsid w:val="00BB5253"/>
    <w:rsid w:val="00BB5595"/>
    <w:rsid w:val="00BB6C80"/>
    <w:rsid w:val="00BB6CDF"/>
    <w:rsid w:val="00BB6F79"/>
    <w:rsid w:val="00BB7E9F"/>
    <w:rsid w:val="00BC0B71"/>
    <w:rsid w:val="00BC26A6"/>
    <w:rsid w:val="00BC313E"/>
    <w:rsid w:val="00BC3355"/>
    <w:rsid w:val="00BC4745"/>
    <w:rsid w:val="00BC5413"/>
    <w:rsid w:val="00BC5E84"/>
    <w:rsid w:val="00BC5FF2"/>
    <w:rsid w:val="00BC6364"/>
    <w:rsid w:val="00BC655E"/>
    <w:rsid w:val="00BC6A6C"/>
    <w:rsid w:val="00BC7BE8"/>
    <w:rsid w:val="00BD0147"/>
    <w:rsid w:val="00BD02ED"/>
    <w:rsid w:val="00BD0755"/>
    <w:rsid w:val="00BD1D5F"/>
    <w:rsid w:val="00BD1DE7"/>
    <w:rsid w:val="00BD2872"/>
    <w:rsid w:val="00BD2C3B"/>
    <w:rsid w:val="00BD3193"/>
    <w:rsid w:val="00BD3716"/>
    <w:rsid w:val="00BD3B5B"/>
    <w:rsid w:val="00BD49CA"/>
    <w:rsid w:val="00BD4A2E"/>
    <w:rsid w:val="00BD5FE0"/>
    <w:rsid w:val="00BD6BA3"/>
    <w:rsid w:val="00BD72B7"/>
    <w:rsid w:val="00BD7858"/>
    <w:rsid w:val="00BE04B0"/>
    <w:rsid w:val="00BE0A69"/>
    <w:rsid w:val="00BE1A74"/>
    <w:rsid w:val="00BE1E27"/>
    <w:rsid w:val="00BE2586"/>
    <w:rsid w:val="00BE37AF"/>
    <w:rsid w:val="00BE3D4E"/>
    <w:rsid w:val="00BE55E6"/>
    <w:rsid w:val="00BE73CC"/>
    <w:rsid w:val="00BF00BD"/>
    <w:rsid w:val="00BF0818"/>
    <w:rsid w:val="00BF17E3"/>
    <w:rsid w:val="00BF2340"/>
    <w:rsid w:val="00BF2936"/>
    <w:rsid w:val="00BF3EBA"/>
    <w:rsid w:val="00BF44A9"/>
    <w:rsid w:val="00BF4C30"/>
    <w:rsid w:val="00BF4C71"/>
    <w:rsid w:val="00BF575F"/>
    <w:rsid w:val="00BF5F60"/>
    <w:rsid w:val="00BF6AA3"/>
    <w:rsid w:val="00BF6CCA"/>
    <w:rsid w:val="00BF7C70"/>
    <w:rsid w:val="00C02386"/>
    <w:rsid w:val="00C026B8"/>
    <w:rsid w:val="00C02CE5"/>
    <w:rsid w:val="00C03718"/>
    <w:rsid w:val="00C0461A"/>
    <w:rsid w:val="00C0507D"/>
    <w:rsid w:val="00C05786"/>
    <w:rsid w:val="00C0595B"/>
    <w:rsid w:val="00C067A0"/>
    <w:rsid w:val="00C0697E"/>
    <w:rsid w:val="00C07B71"/>
    <w:rsid w:val="00C109EE"/>
    <w:rsid w:val="00C127F1"/>
    <w:rsid w:val="00C12C92"/>
    <w:rsid w:val="00C12F09"/>
    <w:rsid w:val="00C13690"/>
    <w:rsid w:val="00C13C70"/>
    <w:rsid w:val="00C1424B"/>
    <w:rsid w:val="00C15F00"/>
    <w:rsid w:val="00C17069"/>
    <w:rsid w:val="00C17807"/>
    <w:rsid w:val="00C20114"/>
    <w:rsid w:val="00C201BA"/>
    <w:rsid w:val="00C205C4"/>
    <w:rsid w:val="00C21F75"/>
    <w:rsid w:val="00C22077"/>
    <w:rsid w:val="00C233F4"/>
    <w:rsid w:val="00C23611"/>
    <w:rsid w:val="00C23FA6"/>
    <w:rsid w:val="00C24C51"/>
    <w:rsid w:val="00C26022"/>
    <w:rsid w:val="00C2762E"/>
    <w:rsid w:val="00C2788C"/>
    <w:rsid w:val="00C27BC5"/>
    <w:rsid w:val="00C30DC2"/>
    <w:rsid w:val="00C31597"/>
    <w:rsid w:val="00C323A7"/>
    <w:rsid w:val="00C35048"/>
    <w:rsid w:val="00C3730C"/>
    <w:rsid w:val="00C414D5"/>
    <w:rsid w:val="00C4214F"/>
    <w:rsid w:val="00C42D7C"/>
    <w:rsid w:val="00C42D96"/>
    <w:rsid w:val="00C42FB9"/>
    <w:rsid w:val="00C431E1"/>
    <w:rsid w:val="00C43A05"/>
    <w:rsid w:val="00C4476A"/>
    <w:rsid w:val="00C44DBA"/>
    <w:rsid w:val="00C46057"/>
    <w:rsid w:val="00C4634E"/>
    <w:rsid w:val="00C470FF"/>
    <w:rsid w:val="00C471DC"/>
    <w:rsid w:val="00C50F63"/>
    <w:rsid w:val="00C51697"/>
    <w:rsid w:val="00C51F51"/>
    <w:rsid w:val="00C5217A"/>
    <w:rsid w:val="00C531B1"/>
    <w:rsid w:val="00C53874"/>
    <w:rsid w:val="00C541E2"/>
    <w:rsid w:val="00C55635"/>
    <w:rsid w:val="00C55CFE"/>
    <w:rsid w:val="00C5656B"/>
    <w:rsid w:val="00C60037"/>
    <w:rsid w:val="00C60BE9"/>
    <w:rsid w:val="00C61A90"/>
    <w:rsid w:val="00C61BD3"/>
    <w:rsid w:val="00C62754"/>
    <w:rsid w:val="00C63A1F"/>
    <w:rsid w:val="00C64B05"/>
    <w:rsid w:val="00C654A9"/>
    <w:rsid w:val="00C66145"/>
    <w:rsid w:val="00C66448"/>
    <w:rsid w:val="00C67258"/>
    <w:rsid w:val="00C673EE"/>
    <w:rsid w:val="00C6767D"/>
    <w:rsid w:val="00C70EE6"/>
    <w:rsid w:val="00C719B5"/>
    <w:rsid w:val="00C720F0"/>
    <w:rsid w:val="00C725EE"/>
    <w:rsid w:val="00C72EB7"/>
    <w:rsid w:val="00C743A8"/>
    <w:rsid w:val="00C74667"/>
    <w:rsid w:val="00C74F2C"/>
    <w:rsid w:val="00C76194"/>
    <w:rsid w:val="00C763F3"/>
    <w:rsid w:val="00C805B9"/>
    <w:rsid w:val="00C80FFA"/>
    <w:rsid w:val="00C8132B"/>
    <w:rsid w:val="00C8174C"/>
    <w:rsid w:val="00C81BE3"/>
    <w:rsid w:val="00C81E58"/>
    <w:rsid w:val="00C82099"/>
    <w:rsid w:val="00C82881"/>
    <w:rsid w:val="00C839A2"/>
    <w:rsid w:val="00C84A49"/>
    <w:rsid w:val="00C90E10"/>
    <w:rsid w:val="00C90F2D"/>
    <w:rsid w:val="00C91974"/>
    <w:rsid w:val="00C91F0A"/>
    <w:rsid w:val="00C94311"/>
    <w:rsid w:val="00C94546"/>
    <w:rsid w:val="00C948A4"/>
    <w:rsid w:val="00C94A61"/>
    <w:rsid w:val="00C95E6C"/>
    <w:rsid w:val="00C961C1"/>
    <w:rsid w:val="00C96259"/>
    <w:rsid w:val="00C962C4"/>
    <w:rsid w:val="00C97A5A"/>
    <w:rsid w:val="00CA0164"/>
    <w:rsid w:val="00CA10E4"/>
    <w:rsid w:val="00CA1D91"/>
    <w:rsid w:val="00CA28F0"/>
    <w:rsid w:val="00CA2B39"/>
    <w:rsid w:val="00CA3362"/>
    <w:rsid w:val="00CA3DD1"/>
    <w:rsid w:val="00CA5886"/>
    <w:rsid w:val="00CA736B"/>
    <w:rsid w:val="00CA75BF"/>
    <w:rsid w:val="00CB0CAF"/>
    <w:rsid w:val="00CB132A"/>
    <w:rsid w:val="00CB1501"/>
    <w:rsid w:val="00CB17F2"/>
    <w:rsid w:val="00CB22B4"/>
    <w:rsid w:val="00CB3226"/>
    <w:rsid w:val="00CB34E7"/>
    <w:rsid w:val="00CB4754"/>
    <w:rsid w:val="00CB72BC"/>
    <w:rsid w:val="00CC13DD"/>
    <w:rsid w:val="00CC19CB"/>
    <w:rsid w:val="00CC1A75"/>
    <w:rsid w:val="00CC239B"/>
    <w:rsid w:val="00CC2904"/>
    <w:rsid w:val="00CC3829"/>
    <w:rsid w:val="00CC39AE"/>
    <w:rsid w:val="00CC4005"/>
    <w:rsid w:val="00CC4E73"/>
    <w:rsid w:val="00CC501E"/>
    <w:rsid w:val="00CC555A"/>
    <w:rsid w:val="00CC5AF9"/>
    <w:rsid w:val="00CC5B54"/>
    <w:rsid w:val="00CC62B7"/>
    <w:rsid w:val="00CC6EB1"/>
    <w:rsid w:val="00CC7008"/>
    <w:rsid w:val="00CC7FC7"/>
    <w:rsid w:val="00CD08CF"/>
    <w:rsid w:val="00CD14AF"/>
    <w:rsid w:val="00CD2DCB"/>
    <w:rsid w:val="00CD3735"/>
    <w:rsid w:val="00CD3E15"/>
    <w:rsid w:val="00CD4F5F"/>
    <w:rsid w:val="00CD5446"/>
    <w:rsid w:val="00CD5BC5"/>
    <w:rsid w:val="00CD5F10"/>
    <w:rsid w:val="00CE27B1"/>
    <w:rsid w:val="00CE297C"/>
    <w:rsid w:val="00CE29CA"/>
    <w:rsid w:val="00CE2C32"/>
    <w:rsid w:val="00CE341E"/>
    <w:rsid w:val="00CE3A86"/>
    <w:rsid w:val="00CE5528"/>
    <w:rsid w:val="00CE5CBE"/>
    <w:rsid w:val="00CE63EE"/>
    <w:rsid w:val="00CE65C7"/>
    <w:rsid w:val="00CE67EB"/>
    <w:rsid w:val="00CE7F34"/>
    <w:rsid w:val="00CE7F70"/>
    <w:rsid w:val="00CF0228"/>
    <w:rsid w:val="00CF1237"/>
    <w:rsid w:val="00CF26D5"/>
    <w:rsid w:val="00CF280A"/>
    <w:rsid w:val="00CF4208"/>
    <w:rsid w:val="00CF48DB"/>
    <w:rsid w:val="00D002EC"/>
    <w:rsid w:val="00D00DB6"/>
    <w:rsid w:val="00D010A7"/>
    <w:rsid w:val="00D01179"/>
    <w:rsid w:val="00D01279"/>
    <w:rsid w:val="00D01759"/>
    <w:rsid w:val="00D0188D"/>
    <w:rsid w:val="00D02BAF"/>
    <w:rsid w:val="00D03E3E"/>
    <w:rsid w:val="00D05802"/>
    <w:rsid w:val="00D06AB9"/>
    <w:rsid w:val="00D104F5"/>
    <w:rsid w:val="00D1115F"/>
    <w:rsid w:val="00D111D4"/>
    <w:rsid w:val="00D115E8"/>
    <w:rsid w:val="00D12152"/>
    <w:rsid w:val="00D1243E"/>
    <w:rsid w:val="00D1267E"/>
    <w:rsid w:val="00D12884"/>
    <w:rsid w:val="00D1391D"/>
    <w:rsid w:val="00D13B47"/>
    <w:rsid w:val="00D143EA"/>
    <w:rsid w:val="00D14473"/>
    <w:rsid w:val="00D14A34"/>
    <w:rsid w:val="00D1561D"/>
    <w:rsid w:val="00D16B42"/>
    <w:rsid w:val="00D20207"/>
    <w:rsid w:val="00D20A55"/>
    <w:rsid w:val="00D21395"/>
    <w:rsid w:val="00D213EB"/>
    <w:rsid w:val="00D21F6C"/>
    <w:rsid w:val="00D22007"/>
    <w:rsid w:val="00D22C16"/>
    <w:rsid w:val="00D22D1E"/>
    <w:rsid w:val="00D22D6D"/>
    <w:rsid w:val="00D2327E"/>
    <w:rsid w:val="00D2329E"/>
    <w:rsid w:val="00D24A5A"/>
    <w:rsid w:val="00D25235"/>
    <w:rsid w:val="00D25C5E"/>
    <w:rsid w:val="00D264DC"/>
    <w:rsid w:val="00D264F6"/>
    <w:rsid w:val="00D27273"/>
    <w:rsid w:val="00D30545"/>
    <w:rsid w:val="00D324BE"/>
    <w:rsid w:val="00D331FE"/>
    <w:rsid w:val="00D333F8"/>
    <w:rsid w:val="00D33FB7"/>
    <w:rsid w:val="00D3493A"/>
    <w:rsid w:val="00D363D0"/>
    <w:rsid w:val="00D3679E"/>
    <w:rsid w:val="00D3782E"/>
    <w:rsid w:val="00D40948"/>
    <w:rsid w:val="00D411CC"/>
    <w:rsid w:val="00D41317"/>
    <w:rsid w:val="00D426FF"/>
    <w:rsid w:val="00D42A17"/>
    <w:rsid w:val="00D444EB"/>
    <w:rsid w:val="00D45B95"/>
    <w:rsid w:val="00D472F4"/>
    <w:rsid w:val="00D50BBC"/>
    <w:rsid w:val="00D52BC6"/>
    <w:rsid w:val="00D53A6C"/>
    <w:rsid w:val="00D53D91"/>
    <w:rsid w:val="00D54243"/>
    <w:rsid w:val="00D54AB8"/>
    <w:rsid w:val="00D55D53"/>
    <w:rsid w:val="00D56C86"/>
    <w:rsid w:val="00D57086"/>
    <w:rsid w:val="00D575E1"/>
    <w:rsid w:val="00D57793"/>
    <w:rsid w:val="00D6032F"/>
    <w:rsid w:val="00D61287"/>
    <w:rsid w:val="00D615CF"/>
    <w:rsid w:val="00D616D4"/>
    <w:rsid w:val="00D62EBB"/>
    <w:rsid w:val="00D63776"/>
    <w:rsid w:val="00D64042"/>
    <w:rsid w:val="00D64644"/>
    <w:rsid w:val="00D64E44"/>
    <w:rsid w:val="00D65263"/>
    <w:rsid w:val="00D653BD"/>
    <w:rsid w:val="00D65C3E"/>
    <w:rsid w:val="00D70873"/>
    <w:rsid w:val="00D70D9F"/>
    <w:rsid w:val="00D7148F"/>
    <w:rsid w:val="00D7170F"/>
    <w:rsid w:val="00D71B5C"/>
    <w:rsid w:val="00D72159"/>
    <w:rsid w:val="00D725A8"/>
    <w:rsid w:val="00D72B74"/>
    <w:rsid w:val="00D732C8"/>
    <w:rsid w:val="00D73558"/>
    <w:rsid w:val="00D73A74"/>
    <w:rsid w:val="00D73C0A"/>
    <w:rsid w:val="00D7496E"/>
    <w:rsid w:val="00D74AEB"/>
    <w:rsid w:val="00D74AF3"/>
    <w:rsid w:val="00D7738F"/>
    <w:rsid w:val="00D7782B"/>
    <w:rsid w:val="00D826B5"/>
    <w:rsid w:val="00D844A8"/>
    <w:rsid w:val="00D8664B"/>
    <w:rsid w:val="00D87DE4"/>
    <w:rsid w:val="00D9046E"/>
    <w:rsid w:val="00D904BF"/>
    <w:rsid w:val="00D9134D"/>
    <w:rsid w:val="00D9140F"/>
    <w:rsid w:val="00D91493"/>
    <w:rsid w:val="00D918D9"/>
    <w:rsid w:val="00D91F4D"/>
    <w:rsid w:val="00D92488"/>
    <w:rsid w:val="00D93185"/>
    <w:rsid w:val="00D94064"/>
    <w:rsid w:val="00D95AC4"/>
    <w:rsid w:val="00D965E5"/>
    <w:rsid w:val="00D9713E"/>
    <w:rsid w:val="00DA0C23"/>
    <w:rsid w:val="00DA348E"/>
    <w:rsid w:val="00DA3537"/>
    <w:rsid w:val="00DA3696"/>
    <w:rsid w:val="00DA3736"/>
    <w:rsid w:val="00DA3DD4"/>
    <w:rsid w:val="00DA42A3"/>
    <w:rsid w:val="00DA4918"/>
    <w:rsid w:val="00DA4965"/>
    <w:rsid w:val="00DA5377"/>
    <w:rsid w:val="00DA5416"/>
    <w:rsid w:val="00DA5560"/>
    <w:rsid w:val="00DA5F82"/>
    <w:rsid w:val="00DA6A3D"/>
    <w:rsid w:val="00DA7174"/>
    <w:rsid w:val="00DA75DD"/>
    <w:rsid w:val="00DA7700"/>
    <w:rsid w:val="00DA7B1A"/>
    <w:rsid w:val="00DB09F8"/>
    <w:rsid w:val="00DB14A0"/>
    <w:rsid w:val="00DB15F8"/>
    <w:rsid w:val="00DB1856"/>
    <w:rsid w:val="00DB2645"/>
    <w:rsid w:val="00DB3762"/>
    <w:rsid w:val="00DB7066"/>
    <w:rsid w:val="00DB7B96"/>
    <w:rsid w:val="00DC011B"/>
    <w:rsid w:val="00DC020F"/>
    <w:rsid w:val="00DC0F1F"/>
    <w:rsid w:val="00DC13D7"/>
    <w:rsid w:val="00DC1C0B"/>
    <w:rsid w:val="00DC2DFB"/>
    <w:rsid w:val="00DC32FA"/>
    <w:rsid w:val="00DC3830"/>
    <w:rsid w:val="00DC39C7"/>
    <w:rsid w:val="00DC421D"/>
    <w:rsid w:val="00DC58B7"/>
    <w:rsid w:val="00DC5C74"/>
    <w:rsid w:val="00DC7653"/>
    <w:rsid w:val="00DD066F"/>
    <w:rsid w:val="00DD07C6"/>
    <w:rsid w:val="00DD0B96"/>
    <w:rsid w:val="00DD0F72"/>
    <w:rsid w:val="00DD259A"/>
    <w:rsid w:val="00DD263E"/>
    <w:rsid w:val="00DD297C"/>
    <w:rsid w:val="00DD465B"/>
    <w:rsid w:val="00DD483C"/>
    <w:rsid w:val="00DD4EE4"/>
    <w:rsid w:val="00DD5060"/>
    <w:rsid w:val="00DD5656"/>
    <w:rsid w:val="00DD7B54"/>
    <w:rsid w:val="00DE08EA"/>
    <w:rsid w:val="00DE13DA"/>
    <w:rsid w:val="00DE2378"/>
    <w:rsid w:val="00DE2432"/>
    <w:rsid w:val="00DE2DBE"/>
    <w:rsid w:val="00DE2F72"/>
    <w:rsid w:val="00DE30F7"/>
    <w:rsid w:val="00DE3703"/>
    <w:rsid w:val="00DE41D7"/>
    <w:rsid w:val="00DE4E3F"/>
    <w:rsid w:val="00DE5118"/>
    <w:rsid w:val="00DE6ACD"/>
    <w:rsid w:val="00DE6E00"/>
    <w:rsid w:val="00DE6FD7"/>
    <w:rsid w:val="00DE7E03"/>
    <w:rsid w:val="00DF01EB"/>
    <w:rsid w:val="00DF0778"/>
    <w:rsid w:val="00DF1704"/>
    <w:rsid w:val="00DF1DC5"/>
    <w:rsid w:val="00DF2209"/>
    <w:rsid w:val="00DF2F9A"/>
    <w:rsid w:val="00DF4A41"/>
    <w:rsid w:val="00DF5B33"/>
    <w:rsid w:val="00DF644C"/>
    <w:rsid w:val="00DF6B9F"/>
    <w:rsid w:val="00DF7565"/>
    <w:rsid w:val="00DF79C0"/>
    <w:rsid w:val="00E009C4"/>
    <w:rsid w:val="00E01643"/>
    <w:rsid w:val="00E01EEB"/>
    <w:rsid w:val="00E02052"/>
    <w:rsid w:val="00E02411"/>
    <w:rsid w:val="00E02472"/>
    <w:rsid w:val="00E027FE"/>
    <w:rsid w:val="00E029AD"/>
    <w:rsid w:val="00E02FA0"/>
    <w:rsid w:val="00E03E87"/>
    <w:rsid w:val="00E044D9"/>
    <w:rsid w:val="00E0462B"/>
    <w:rsid w:val="00E06631"/>
    <w:rsid w:val="00E074AB"/>
    <w:rsid w:val="00E100EA"/>
    <w:rsid w:val="00E10B51"/>
    <w:rsid w:val="00E10BE3"/>
    <w:rsid w:val="00E11C4C"/>
    <w:rsid w:val="00E11EBF"/>
    <w:rsid w:val="00E12F11"/>
    <w:rsid w:val="00E136FE"/>
    <w:rsid w:val="00E145DD"/>
    <w:rsid w:val="00E146A8"/>
    <w:rsid w:val="00E14754"/>
    <w:rsid w:val="00E15159"/>
    <w:rsid w:val="00E154CF"/>
    <w:rsid w:val="00E15C78"/>
    <w:rsid w:val="00E15F27"/>
    <w:rsid w:val="00E1676A"/>
    <w:rsid w:val="00E171E0"/>
    <w:rsid w:val="00E179E9"/>
    <w:rsid w:val="00E20CEF"/>
    <w:rsid w:val="00E22CE1"/>
    <w:rsid w:val="00E22D09"/>
    <w:rsid w:val="00E246D2"/>
    <w:rsid w:val="00E262FB"/>
    <w:rsid w:val="00E2642A"/>
    <w:rsid w:val="00E26891"/>
    <w:rsid w:val="00E278AA"/>
    <w:rsid w:val="00E27E4D"/>
    <w:rsid w:val="00E311CB"/>
    <w:rsid w:val="00E32498"/>
    <w:rsid w:val="00E32F9F"/>
    <w:rsid w:val="00E332AB"/>
    <w:rsid w:val="00E3491A"/>
    <w:rsid w:val="00E34A67"/>
    <w:rsid w:val="00E36101"/>
    <w:rsid w:val="00E3641D"/>
    <w:rsid w:val="00E37FC0"/>
    <w:rsid w:val="00E40DE4"/>
    <w:rsid w:val="00E4149A"/>
    <w:rsid w:val="00E428D5"/>
    <w:rsid w:val="00E42D51"/>
    <w:rsid w:val="00E43E51"/>
    <w:rsid w:val="00E44040"/>
    <w:rsid w:val="00E44CB8"/>
    <w:rsid w:val="00E4532C"/>
    <w:rsid w:val="00E45A01"/>
    <w:rsid w:val="00E46953"/>
    <w:rsid w:val="00E47052"/>
    <w:rsid w:val="00E51141"/>
    <w:rsid w:val="00E511E1"/>
    <w:rsid w:val="00E51715"/>
    <w:rsid w:val="00E51971"/>
    <w:rsid w:val="00E51CAA"/>
    <w:rsid w:val="00E5216D"/>
    <w:rsid w:val="00E52A1D"/>
    <w:rsid w:val="00E52C48"/>
    <w:rsid w:val="00E52EF8"/>
    <w:rsid w:val="00E530C9"/>
    <w:rsid w:val="00E53F73"/>
    <w:rsid w:val="00E56136"/>
    <w:rsid w:val="00E56500"/>
    <w:rsid w:val="00E56B89"/>
    <w:rsid w:val="00E56F36"/>
    <w:rsid w:val="00E577DB"/>
    <w:rsid w:val="00E6055F"/>
    <w:rsid w:val="00E606A7"/>
    <w:rsid w:val="00E60BEA"/>
    <w:rsid w:val="00E61645"/>
    <w:rsid w:val="00E61E7D"/>
    <w:rsid w:val="00E62D7F"/>
    <w:rsid w:val="00E62E5C"/>
    <w:rsid w:val="00E6307B"/>
    <w:rsid w:val="00E633D2"/>
    <w:rsid w:val="00E64529"/>
    <w:rsid w:val="00E648BE"/>
    <w:rsid w:val="00E64D8B"/>
    <w:rsid w:val="00E6644F"/>
    <w:rsid w:val="00E706FB"/>
    <w:rsid w:val="00E70882"/>
    <w:rsid w:val="00E70B1F"/>
    <w:rsid w:val="00E71162"/>
    <w:rsid w:val="00E7125B"/>
    <w:rsid w:val="00E713C8"/>
    <w:rsid w:val="00E71ACB"/>
    <w:rsid w:val="00E748DD"/>
    <w:rsid w:val="00E77531"/>
    <w:rsid w:val="00E84756"/>
    <w:rsid w:val="00E876E0"/>
    <w:rsid w:val="00E877F6"/>
    <w:rsid w:val="00E87CE8"/>
    <w:rsid w:val="00E90838"/>
    <w:rsid w:val="00E908D8"/>
    <w:rsid w:val="00E920EE"/>
    <w:rsid w:val="00E92CD3"/>
    <w:rsid w:val="00E93182"/>
    <w:rsid w:val="00E93D1D"/>
    <w:rsid w:val="00E9493B"/>
    <w:rsid w:val="00E94FED"/>
    <w:rsid w:val="00E95009"/>
    <w:rsid w:val="00E952C2"/>
    <w:rsid w:val="00E957C6"/>
    <w:rsid w:val="00E972E0"/>
    <w:rsid w:val="00EA0D5E"/>
    <w:rsid w:val="00EA1BB7"/>
    <w:rsid w:val="00EA2788"/>
    <w:rsid w:val="00EA375A"/>
    <w:rsid w:val="00EA53AC"/>
    <w:rsid w:val="00EA5ACC"/>
    <w:rsid w:val="00EA5C4A"/>
    <w:rsid w:val="00EA5DEE"/>
    <w:rsid w:val="00EA5F7C"/>
    <w:rsid w:val="00EA60A2"/>
    <w:rsid w:val="00EA6E4F"/>
    <w:rsid w:val="00EA74E0"/>
    <w:rsid w:val="00EB0F06"/>
    <w:rsid w:val="00EB10A7"/>
    <w:rsid w:val="00EB2FA2"/>
    <w:rsid w:val="00EB3CBC"/>
    <w:rsid w:val="00EB64C8"/>
    <w:rsid w:val="00EB68C4"/>
    <w:rsid w:val="00EB746E"/>
    <w:rsid w:val="00EB7680"/>
    <w:rsid w:val="00EC050F"/>
    <w:rsid w:val="00EC057A"/>
    <w:rsid w:val="00EC0716"/>
    <w:rsid w:val="00EC0F65"/>
    <w:rsid w:val="00EC0FDC"/>
    <w:rsid w:val="00EC1497"/>
    <w:rsid w:val="00EC218C"/>
    <w:rsid w:val="00EC21C0"/>
    <w:rsid w:val="00EC2A47"/>
    <w:rsid w:val="00EC33BD"/>
    <w:rsid w:val="00EC3FD1"/>
    <w:rsid w:val="00EC504F"/>
    <w:rsid w:val="00EC5CC6"/>
    <w:rsid w:val="00ED027C"/>
    <w:rsid w:val="00ED15D4"/>
    <w:rsid w:val="00ED23AD"/>
    <w:rsid w:val="00ED2B11"/>
    <w:rsid w:val="00ED4AC8"/>
    <w:rsid w:val="00ED4C89"/>
    <w:rsid w:val="00ED73E1"/>
    <w:rsid w:val="00ED7AE5"/>
    <w:rsid w:val="00ED7D13"/>
    <w:rsid w:val="00ED7DE3"/>
    <w:rsid w:val="00EE0B57"/>
    <w:rsid w:val="00EE0C13"/>
    <w:rsid w:val="00EE0D0E"/>
    <w:rsid w:val="00EE0DEA"/>
    <w:rsid w:val="00EE1C52"/>
    <w:rsid w:val="00EE21AD"/>
    <w:rsid w:val="00EE2317"/>
    <w:rsid w:val="00EE2D5E"/>
    <w:rsid w:val="00EE2DF2"/>
    <w:rsid w:val="00EE3CC4"/>
    <w:rsid w:val="00EE46B1"/>
    <w:rsid w:val="00EE5AD4"/>
    <w:rsid w:val="00EE5C25"/>
    <w:rsid w:val="00EE60CF"/>
    <w:rsid w:val="00EE6493"/>
    <w:rsid w:val="00EE6618"/>
    <w:rsid w:val="00EE6BF7"/>
    <w:rsid w:val="00EE75C1"/>
    <w:rsid w:val="00EE76B7"/>
    <w:rsid w:val="00EF0278"/>
    <w:rsid w:val="00EF02CB"/>
    <w:rsid w:val="00EF0641"/>
    <w:rsid w:val="00EF1D70"/>
    <w:rsid w:val="00EF2257"/>
    <w:rsid w:val="00EF28F7"/>
    <w:rsid w:val="00EF2D45"/>
    <w:rsid w:val="00EF30DA"/>
    <w:rsid w:val="00EF370A"/>
    <w:rsid w:val="00EF3FD3"/>
    <w:rsid w:val="00EF425A"/>
    <w:rsid w:val="00EF4346"/>
    <w:rsid w:val="00EF4712"/>
    <w:rsid w:val="00EF4EC0"/>
    <w:rsid w:val="00EF5D1F"/>
    <w:rsid w:val="00EF5D52"/>
    <w:rsid w:val="00EF6330"/>
    <w:rsid w:val="00EF7057"/>
    <w:rsid w:val="00F001CE"/>
    <w:rsid w:val="00F02CB6"/>
    <w:rsid w:val="00F04CB6"/>
    <w:rsid w:val="00F05FF0"/>
    <w:rsid w:val="00F0777D"/>
    <w:rsid w:val="00F07C82"/>
    <w:rsid w:val="00F10DBA"/>
    <w:rsid w:val="00F10EAA"/>
    <w:rsid w:val="00F115EF"/>
    <w:rsid w:val="00F12607"/>
    <w:rsid w:val="00F127A9"/>
    <w:rsid w:val="00F132BA"/>
    <w:rsid w:val="00F158A3"/>
    <w:rsid w:val="00F16D09"/>
    <w:rsid w:val="00F16F70"/>
    <w:rsid w:val="00F17B41"/>
    <w:rsid w:val="00F211BF"/>
    <w:rsid w:val="00F2152C"/>
    <w:rsid w:val="00F21AD6"/>
    <w:rsid w:val="00F224F9"/>
    <w:rsid w:val="00F2386B"/>
    <w:rsid w:val="00F23CF5"/>
    <w:rsid w:val="00F26226"/>
    <w:rsid w:val="00F26B1C"/>
    <w:rsid w:val="00F27948"/>
    <w:rsid w:val="00F27C27"/>
    <w:rsid w:val="00F304AD"/>
    <w:rsid w:val="00F30A6C"/>
    <w:rsid w:val="00F31C98"/>
    <w:rsid w:val="00F32AF5"/>
    <w:rsid w:val="00F33F47"/>
    <w:rsid w:val="00F34BE2"/>
    <w:rsid w:val="00F3693B"/>
    <w:rsid w:val="00F406CA"/>
    <w:rsid w:val="00F40D80"/>
    <w:rsid w:val="00F4191F"/>
    <w:rsid w:val="00F42090"/>
    <w:rsid w:val="00F42875"/>
    <w:rsid w:val="00F42D08"/>
    <w:rsid w:val="00F42DDF"/>
    <w:rsid w:val="00F44D12"/>
    <w:rsid w:val="00F458DF"/>
    <w:rsid w:val="00F45999"/>
    <w:rsid w:val="00F45A4D"/>
    <w:rsid w:val="00F45F95"/>
    <w:rsid w:val="00F4640C"/>
    <w:rsid w:val="00F4663A"/>
    <w:rsid w:val="00F473BF"/>
    <w:rsid w:val="00F47419"/>
    <w:rsid w:val="00F47AF4"/>
    <w:rsid w:val="00F50492"/>
    <w:rsid w:val="00F50812"/>
    <w:rsid w:val="00F509D7"/>
    <w:rsid w:val="00F50FFA"/>
    <w:rsid w:val="00F526DC"/>
    <w:rsid w:val="00F5326A"/>
    <w:rsid w:val="00F5424A"/>
    <w:rsid w:val="00F54582"/>
    <w:rsid w:val="00F55526"/>
    <w:rsid w:val="00F559AD"/>
    <w:rsid w:val="00F55C0B"/>
    <w:rsid w:val="00F55F2C"/>
    <w:rsid w:val="00F56051"/>
    <w:rsid w:val="00F5647F"/>
    <w:rsid w:val="00F56B69"/>
    <w:rsid w:val="00F57071"/>
    <w:rsid w:val="00F5772D"/>
    <w:rsid w:val="00F57EDE"/>
    <w:rsid w:val="00F600C0"/>
    <w:rsid w:val="00F60B19"/>
    <w:rsid w:val="00F60EB2"/>
    <w:rsid w:val="00F6171E"/>
    <w:rsid w:val="00F61FFE"/>
    <w:rsid w:val="00F62D7B"/>
    <w:rsid w:val="00F62EC0"/>
    <w:rsid w:val="00F64CA1"/>
    <w:rsid w:val="00F64FB3"/>
    <w:rsid w:val="00F652B4"/>
    <w:rsid w:val="00F7012A"/>
    <w:rsid w:val="00F701D0"/>
    <w:rsid w:val="00F70DEC"/>
    <w:rsid w:val="00F71E92"/>
    <w:rsid w:val="00F72879"/>
    <w:rsid w:val="00F72DF3"/>
    <w:rsid w:val="00F73233"/>
    <w:rsid w:val="00F73A18"/>
    <w:rsid w:val="00F74542"/>
    <w:rsid w:val="00F74B57"/>
    <w:rsid w:val="00F74CCA"/>
    <w:rsid w:val="00F74DFD"/>
    <w:rsid w:val="00F75095"/>
    <w:rsid w:val="00F7595B"/>
    <w:rsid w:val="00F76376"/>
    <w:rsid w:val="00F7656E"/>
    <w:rsid w:val="00F775F8"/>
    <w:rsid w:val="00F776CE"/>
    <w:rsid w:val="00F804A3"/>
    <w:rsid w:val="00F80697"/>
    <w:rsid w:val="00F80923"/>
    <w:rsid w:val="00F809F5"/>
    <w:rsid w:val="00F81212"/>
    <w:rsid w:val="00F81418"/>
    <w:rsid w:val="00F817A1"/>
    <w:rsid w:val="00F822B5"/>
    <w:rsid w:val="00F831EF"/>
    <w:rsid w:val="00F845C6"/>
    <w:rsid w:val="00F85115"/>
    <w:rsid w:val="00F856E2"/>
    <w:rsid w:val="00F85D05"/>
    <w:rsid w:val="00F85F16"/>
    <w:rsid w:val="00F867F5"/>
    <w:rsid w:val="00F9017D"/>
    <w:rsid w:val="00F91B78"/>
    <w:rsid w:val="00F9203E"/>
    <w:rsid w:val="00F92891"/>
    <w:rsid w:val="00F94196"/>
    <w:rsid w:val="00F94DF3"/>
    <w:rsid w:val="00F957C8"/>
    <w:rsid w:val="00F96617"/>
    <w:rsid w:val="00FA0CC1"/>
    <w:rsid w:val="00FA2E51"/>
    <w:rsid w:val="00FA5BE4"/>
    <w:rsid w:val="00FA5CE5"/>
    <w:rsid w:val="00FA5E1E"/>
    <w:rsid w:val="00FA64E0"/>
    <w:rsid w:val="00FA6657"/>
    <w:rsid w:val="00FA6E8B"/>
    <w:rsid w:val="00FA6F7F"/>
    <w:rsid w:val="00FB02A4"/>
    <w:rsid w:val="00FB0647"/>
    <w:rsid w:val="00FB177B"/>
    <w:rsid w:val="00FB18D8"/>
    <w:rsid w:val="00FB20CD"/>
    <w:rsid w:val="00FB3388"/>
    <w:rsid w:val="00FB3B62"/>
    <w:rsid w:val="00FB4821"/>
    <w:rsid w:val="00FB4949"/>
    <w:rsid w:val="00FB5449"/>
    <w:rsid w:val="00FB6571"/>
    <w:rsid w:val="00FB6964"/>
    <w:rsid w:val="00FB71D0"/>
    <w:rsid w:val="00FC1319"/>
    <w:rsid w:val="00FC1372"/>
    <w:rsid w:val="00FC1B5B"/>
    <w:rsid w:val="00FC26A0"/>
    <w:rsid w:val="00FC29FC"/>
    <w:rsid w:val="00FC2ECE"/>
    <w:rsid w:val="00FC2F5A"/>
    <w:rsid w:val="00FC3479"/>
    <w:rsid w:val="00FC36D7"/>
    <w:rsid w:val="00FC3D70"/>
    <w:rsid w:val="00FC3F7F"/>
    <w:rsid w:val="00FC6784"/>
    <w:rsid w:val="00FC7ACB"/>
    <w:rsid w:val="00FD0259"/>
    <w:rsid w:val="00FD203F"/>
    <w:rsid w:val="00FD225E"/>
    <w:rsid w:val="00FD281E"/>
    <w:rsid w:val="00FD29CA"/>
    <w:rsid w:val="00FE027C"/>
    <w:rsid w:val="00FE042E"/>
    <w:rsid w:val="00FE0A80"/>
    <w:rsid w:val="00FE115F"/>
    <w:rsid w:val="00FE126B"/>
    <w:rsid w:val="00FE23A6"/>
    <w:rsid w:val="00FE5338"/>
    <w:rsid w:val="00FE5C08"/>
    <w:rsid w:val="00FE683A"/>
    <w:rsid w:val="00FE6A9C"/>
    <w:rsid w:val="00FF032F"/>
    <w:rsid w:val="00FF1302"/>
    <w:rsid w:val="00FF2F72"/>
    <w:rsid w:val="00FF2FE2"/>
    <w:rsid w:val="00FF3190"/>
    <w:rsid w:val="00FF3F2F"/>
    <w:rsid w:val="00FF41CE"/>
    <w:rsid w:val="00FF5BF9"/>
    <w:rsid w:val="00FF627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style="mso-position-vertical-relative:margin" fillcolor="#002395" stroke="f">
      <v:fill color="#002395"/>
      <v:stroke on="f"/>
    </o:shapedefaults>
    <o:shapelayout v:ext="edit">
      <o:idmap v:ext="edit" data="1"/>
    </o:shapelayout>
  </w:shapeDefaults>
  <w:decimalSymbol w:val=","/>
  <w:listSeparator w:val=";"/>
  <w14:docId w14:val="402586C4"/>
  <w15:docId w15:val="{67F1CFB2-743E-42B0-B57A-DA21617A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9"/>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3D7"/>
    <w:pPr>
      <w:spacing w:after="240"/>
      <w:jc w:val="both"/>
    </w:pPr>
    <w:rPr>
      <w:rFonts w:ascii="Verdana" w:hAnsi="Verdana"/>
      <w:lang w:val="en-GB" w:eastAsia="en-US"/>
    </w:rPr>
  </w:style>
  <w:style w:type="paragraph" w:styleId="Ttulo1">
    <w:name w:val="heading 1"/>
    <w:aliases w:val="chapitre,Titre 11,t1.T1.Titre 1,t1,TITRE 1 SL"/>
    <w:basedOn w:val="Normal"/>
    <w:next w:val="Body"/>
    <w:link w:val="Ttulo1Car"/>
    <w:qFormat/>
    <w:rsid w:val="007F38D2"/>
    <w:pPr>
      <w:keepNext/>
      <w:numPr>
        <w:numId w:val="3"/>
      </w:numPr>
      <w:spacing w:before="360"/>
      <w:outlineLvl w:val="0"/>
    </w:pPr>
    <w:rPr>
      <w:rFonts w:ascii="Century Gothic" w:hAnsi="Century Gothic"/>
      <w:b/>
      <w:smallCaps/>
    </w:rPr>
  </w:style>
  <w:style w:type="paragraph" w:styleId="Ttulo2">
    <w:name w:val="heading 2"/>
    <w:aliases w:val="Niveau 2,H2,paragraphe,t2,h2"/>
    <w:basedOn w:val="Normal"/>
    <w:next w:val="Normal"/>
    <w:link w:val="Ttulo2Car"/>
    <w:qFormat/>
    <w:rsid w:val="007F38D2"/>
    <w:pPr>
      <w:keepNext/>
      <w:numPr>
        <w:ilvl w:val="1"/>
        <w:numId w:val="3"/>
      </w:numPr>
      <w:spacing w:before="120"/>
      <w:outlineLvl w:val="1"/>
    </w:pPr>
    <w:rPr>
      <w:rFonts w:ascii="Century Gothic" w:hAnsi="Century Gothic"/>
      <w:b/>
    </w:rPr>
  </w:style>
  <w:style w:type="paragraph" w:styleId="Ttulo3">
    <w:name w:val="heading 3"/>
    <w:basedOn w:val="Normal"/>
    <w:next w:val="Body"/>
    <w:qFormat/>
    <w:rsid w:val="007F38D2"/>
    <w:pPr>
      <w:keepNext/>
      <w:numPr>
        <w:ilvl w:val="2"/>
        <w:numId w:val="28"/>
      </w:numPr>
      <w:spacing w:before="240" w:after="120" w:line="276" w:lineRule="auto"/>
      <w:outlineLvl w:val="2"/>
    </w:pPr>
    <w:rPr>
      <w:rFonts w:ascii="Century Gothic" w:hAnsi="Century Gothic"/>
      <w:color w:val="003399"/>
      <w:sz w:val="22"/>
      <w:lang w:val="es-ES"/>
    </w:rPr>
  </w:style>
  <w:style w:type="paragraph" w:styleId="Ttulo4">
    <w:name w:val="heading 4"/>
    <w:basedOn w:val="Normal"/>
    <w:next w:val="Body"/>
    <w:qFormat/>
    <w:rsid w:val="007F38D2"/>
    <w:pPr>
      <w:keepNext/>
      <w:numPr>
        <w:ilvl w:val="3"/>
        <w:numId w:val="28"/>
      </w:numPr>
      <w:spacing w:before="240" w:after="120" w:line="276" w:lineRule="auto"/>
      <w:outlineLvl w:val="3"/>
    </w:pPr>
    <w:rPr>
      <w:rFonts w:ascii="Century Gothic" w:hAnsi="Century Gothic"/>
      <w:b/>
      <w:color w:val="000000" w:themeColor="text1"/>
    </w:rPr>
  </w:style>
  <w:style w:type="paragraph" w:styleId="Ttulo5">
    <w:name w:val="heading 5"/>
    <w:basedOn w:val="Normal"/>
    <w:next w:val="Normal"/>
    <w:link w:val="Ttulo5Car"/>
    <w:qFormat/>
    <w:rsid w:val="007F38D2"/>
    <w:pPr>
      <w:numPr>
        <w:numId w:val="30"/>
      </w:numPr>
      <w:spacing w:before="240" w:after="60"/>
      <w:outlineLvl w:val="4"/>
    </w:pPr>
    <w:rPr>
      <w:rFonts w:ascii="Century Gothic" w:hAnsi="Century Gothic"/>
      <w:b/>
      <w:color w:val="003399"/>
    </w:rPr>
  </w:style>
  <w:style w:type="paragraph" w:styleId="Ttulo6">
    <w:name w:val="heading 6"/>
    <w:basedOn w:val="Normal"/>
    <w:next w:val="Normal"/>
    <w:qFormat/>
    <w:rsid w:val="00461D0A"/>
    <w:pPr>
      <w:tabs>
        <w:tab w:val="num" w:pos="0"/>
      </w:tabs>
      <w:spacing w:before="240" w:after="60"/>
      <w:outlineLvl w:val="5"/>
    </w:pPr>
    <w:rPr>
      <w:rFonts w:ascii="Arial" w:hAnsi="Arial"/>
      <w:i/>
      <w:sz w:val="22"/>
    </w:rPr>
  </w:style>
  <w:style w:type="paragraph" w:styleId="Ttulo7">
    <w:name w:val="heading 7"/>
    <w:basedOn w:val="Normal"/>
    <w:next w:val="Normal"/>
    <w:qFormat/>
    <w:rsid w:val="00461D0A"/>
    <w:pPr>
      <w:tabs>
        <w:tab w:val="num" w:pos="0"/>
      </w:tabs>
      <w:spacing w:before="240" w:after="60"/>
      <w:outlineLvl w:val="6"/>
    </w:pPr>
    <w:rPr>
      <w:rFonts w:ascii="Arial" w:hAnsi="Arial"/>
    </w:rPr>
  </w:style>
  <w:style w:type="paragraph" w:styleId="Ttulo8">
    <w:name w:val="heading 8"/>
    <w:basedOn w:val="Normal"/>
    <w:next w:val="Normal"/>
    <w:qFormat/>
    <w:rsid w:val="00461D0A"/>
    <w:pPr>
      <w:tabs>
        <w:tab w:val="num" w:pos="0"/>
      </w:tabs>
      <w:spacing w:before="240" w:after="60"/>
      <w:outlineLvl w:val="7"/>
    </w:pPr>
    <w:rPr>
      <w:rFonts w:ascii="Arial" w:hAnsi="Arial"/>
      <w:i/>
    </w:rPr>
  </w:style>
  <w:style w:type="paragraph" w:styleId="Ttulo9">
    <w:name w:val="heading 9"/>
    <w:aliases w:val="App Heading"/>
    <w:basedOn w:val="Normal"/>
    <w:next w:val="Normal"/>
    <w:uiPriority w:val="99"/>
    <w:qFormat/>
    <w:rsid w:val="00461D0A"/>
    <w:pPr>
      <w:tabs>
        <w:tab w:val="num" w:pos="0"/>
      </w:tabs>
      <w:spacing w:before="240" w:after="60"/>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1">
    <w:name w:val="Text 1"/>
    <w:basedOn w:val="Normal"/>
    <w:rsid w:val="00461D0A"/>
    <w:pPr>
      <w:ind w:left="482"/>
    </w:pPr>
  </w:style>
  <w:style w:type="character" w:customStyle="1" w:styleId="Ttulo1Car">
    <w:name w:val="Título 1 Car"/>
    <w:aliases w:val="chapitre Car,Titre 11 Car,t1.T1.Titre 1 Car,t1 Car,TITRE 1 SL Car"/>
    <w:basedOn w:val="Fuentedeprrafopredeter"/>
    <w:link w:val="Ttulo1"/>
    <w:rsid w:val="007F38D2"/>
    <w:rPr>
      <w:rFonts w:ascii="Century Gothic" w:hAnsi="Century Gothic"/>
      <w:b/>
      <w:smallCaps/>
      <w:lang w:val="en-GB" w:eastAsia="en-US"/>
    </w:rPr>
  </w:style>
  <w:style w:type="paragraph" w:customStyle="1" w:styleId="Text2">
    <w:name w:val="Text 2"/>
    <w:basedOn w:val="Normal"/>
    <w:rsid w:val="00461D0A"/>
    <w:pPr>
      <w:tabs>
        <w:tab w:val="left" w:pos="2302"/>
      </w:tabs>
      <w:ind w:left="1202"/>
    </w:pPr>
  </w:style>
  <w:style w:type="character" w:customStyle="1" w:styleId="Ttulo2Car">
    <w:name w:val="Título 2 Car"/>
    <w:aliases w:val="Niveau 2 Car,H2 Car,paragraphe Car,t2 Car,h2 Car"/>
    <w:basedOn w:val="Fuentedeprrafopredeter"/>
    <w:link w:val="Ttulo2"/>
    <w:rsid w:val="007F38D2"/>
    <w:rPr>
      <w:rFonts w:ascii="Century Gothic" w:hAnsi="Century Gothic"/>
      <w:b/>
      <w:lang w:val="en-GB" w:eastAsia="en-US"/>
    </w:r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Textodebloque">
    <w:name w:val="Block Text"/>
    <w:basedOn w:val="Normal"/>
    <w:rsid w:val="00461D0A"/>
    <w:pPr>
      <w:spacing w:after="120"/>
      <w:ind w:left="1440" w:right="1440"/>
    </w:pPr>
  </w:style>
  <w:style w:type="paragraph" w:styleId="Textoindependiente">
    <w:name w:val="Body Text"/>
    <w:basedOn w:val="Normal"/>
    <w:link w:val="TextoindependienteCar"/>
    <w:rsid w:val="00461D0A"/>
    <w:pPr>
      <w:spacing w:after="120"/>
    </w:pPr>
  </w:style>
  <w:style w:type="character" w:customStyle="1" w:styleId="TextoindependienteCar">
    <w:name w:val="Texto independiente Car"/>
    <w:basedOn w:val="Fuentedeprrafopredeter"/>
    <w:link w:val="Textoindependiente"/>
    <w:uiPriority w:val="99"/>
    <w:rsid w:val="009A5C2C"/>
    <w:rPr>
      <w:sz w:val="24"/>
      <w:lang w:val="fr-FR" w:eastAsia="en-US"/>
    </w:rPr>
  </w:style>
  <w:style w:type="paragraph" w:styleId="Textoindependiente2">
    <w:name w:val="Body Text 2"/>
    <w:basedOn w:val="Normal"/>
    <w:rsid w:val="00461D0A"/>
    <w:pPr>
      <w:spacing w:after="120" w:line="480" w:lineRule="auto"/>
    </w:pPr>
  </w:style>
  <w:style w:type="paragraph" w:styleId="Textoindependiente3">
    <w:name w:val="Body Text 3"/>
    <w:basedOn w:val="Normal"/>
    <w:rsid w:val="00461D0A"/>
    <w:pPr>
      <w:spacing w:after="120"/>
    </w:pPr>
    <w:rPr>
      <w:sz w:val="16"/>
    </w:rPr>
  </w:style>
  <w:style w:type="paragraph" w:styleId="Textoindependienteprimerasangra">
    <w:name w:val="Body Text First Indent"/>
    <w:basedOn w:val="Textoindependiente"/>
    <w:rsid w:val="00461D0A"/>
    <w:pPr>
      <w:ind w:firstLine="210"/>
    </w:pPr>
  </w:style>
  <w:style w:type="paragraph" w:styleId="Sangradetextonormal">
    <w:name w:val="Body Text Indent"/>
    <w:basedOn w:val="Normal"/>
    <w:rsid w:val="00461D0A"/>
    <w:pPr>
      <w:spacing w:after="120"/>
      <w:ind w:left="283"/>
    </w:pPr>
  </w:style>
  <w:style w:type="paragraph" w:styleId="Textoindependienteprimerasangra2">
    <w:name w:val="Body Text First Indent 2"/>
    <w:basedOn w:val="Sangradetextonormal"/>
    <w:rsid w:val="00461D0A"/>
    <w:pPr>
      <w:ind w:firstLine="210"/>
    </w:pPr>
  </w:style>
  <w:style w:type="paragraph" w:styleId="Sangra2detindependiente">
    <w:name w:val="Body Text Indent 2"/>
    <w:basedOn w:val="Normal"/>
    <w:rsid w:val="00461D0A"/>
    <w:pPr>
      <w:spacing w:after="120" w:line="480" w:lineRule="auto"/>
      <w:ind w:left="283"/>
    </w:pPr>
  </w:style>
  <w:style w:type="paragraph" w:styleId="Sangra3detindependiente">
    <w:name w:val="Body Text Indent 3"/>
    <w:basedOn w:val="Normal"/>
    <w:rsid w:val="00461D0A"/>
    <w:pPr>
      <w:spacing w:after="120"/>
      <w:ind w:left="283"/>
    </w:pPr>
    <w:rPr>
      <w:sz w:val="16"/>
    </w:rPr>
  </w:style>
  <w:style w:type="paragraph" w:styleId="Descripcin">
    <w:name w:val="caption"/>
    <w:aliases w:val="Caption1 Char Char Char Char Char Char Char Char,Caption1 Char Char Char Char Char Char Char Char Tegn Tegn Tegn Tegn Tegn,Caption1 Char Char Char Char Char Char Char Char Tegn Tegn Tegn,Char Char, Char Char Char,Tabelkop,Char"/>
    <w:basedOn w:val="Normal"/>
    <w:next w:val="Normal"/>
    <w:link w:val="DescripcinCar"/>
    <w:rsid w:val="00461D0A"/>
    <w:pPr>
      <w:spacing w:before="120" w:after="120"/>
    </w:pPr>
    <w:rPr>
      <w:b/>
    </w:rPr>
  </w:style>
  <w:style w:type="character" w:customStyle="1" w:styleId="DescripcinCar">
    <w:name w:val="Descripción Car"/>
    <w:aliases w:val="Caption1 Char Char Char Char Char Char Char Char Car,Caption1 Char Char Char Char Char Char Char Char Tegn Tegn Tegn Tegn Tegn Car,Caption1 Char Char Char Char Char Char Char Char Tegn Tegn Tegn Car,Char Char Car, Char Char Char Car"/>
    <w:basedOn w:val="Fuentedeprrafopredeter"/>
    <w:link w:val="Descripcin"/>
    <w:locked/>
    <w:rsid w:val="00846ADB"/>
    <w:rPr>
      <w:b/>
      <w:sz w:val="24"/>
      <w:lang w:val="en-GB" w:eastAsia="en-US"/>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Ttulo1"/>
    <w:rsid w:val="00461D0A"/>
    <w:pPr>
      <w:keepNext/>
      <w:spacing w:after="480"/>
      <w:jc w:val="center"/>
    </w:pPr>
    <w:rPr>
      <w:b/>
      <w:smallCaps/>
      <w:sz w:val="28"/>
    </w:rPr>
  </w:style>
  <w:style w:type="paragraph" w:styleId="Cierre">
    <w:name w:val="Closing"/>
    <w:basedOn w:val="Normal"/>
    <w:rsid w:val="00461D0A"/>
    <w:pPr>
      <w:ind w:left="4252"/>
    </w:pPr>
  </w:style>
  <w:style w:type="paragraph" w:styleId="Textocomentario">
    <w:name w:val="annotation text"/>
    <w:basedOn w:val="Normal"/>
    <w:link w:val="TextocomentarioCar"/>
    <w:rsid w:val="00461D0A"/>
  </w:style>
  <w:style w:type="character" w:customStyle="1" w:styleId="TextocomentarioCar">
    <w:name w:val="Texto comentario Car"/>
    <w:basedOn w:val="Fuentedeprrafopredeter"/>
    <w:link w:val="Textocomentario"/>
    <w:rsid w:val="00CD5BC5"/>
    <w:rPr>
      <w:lang w:val="fr-FR" w:eastAsia="en-US"/>
    </w:rPr>
  </w:style>
  <w:style w:type="paragraph" w:styleId="Fecha">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style>
  <w:style w:type="paragraph" w:styleId="Mapadeldocumento">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Textonotaalfinal">
    <w:name w:val="endnote text"/>
    <w:basedOn w:val="Normal"/>
    <w:semiHidden/>
    <w:rsid w:val="00461D0A"/>
  </w:style>
  <w:style w:type="paragraph" w:styleId="Direccinsobre">
    <w:name w:val="envelope address"/>
    <w:basedOn w:val="Normal"/>
    <w:rsid w:val="00461D0A"/>
    <w:pPr>
      <w:framePr w:w="7920" w:h="1980" w:hRule="exact" w:hSpace="180" w:wrap="auto" w:hAnchor="page" w:xAlign="center" w:yAlign="bottom"/>
      <w:spacing w:after="0"/>
    </w:pPr>
  </w:style>
  <w:style w:type="paragraph" w:styleId="Remitedesobre">
    <w:name w:val="envelope return"/>
    <w:basedOn w:val="Normal"/>
    <w:rsid w:val="00461D0A"/>
    <w:pPr>
      <w:spacing w:after="0"/>
    </w:pPr>
  </w:style>
  <w:style w:type="paragraph" w:styleId="Piedepgina">
    <w:name w:val="footer"/>
    <w:basedOn w:val="Normal"/>
    <w:link w:val="PiedepginaCar"/>
    <w:rsid w:val="00461D0A"/>
    <w:pPr>
      <w:spacing w:after="0"/>
      <w:ind w:right="-567"/>
      <w:jc w:val="left"/>
    </w:pPr>
    <w:rPr>
      <w:rFonts w:ascii="Arial" w:hAnsi="Arial"/>
      <w:sz w:val="16"/>
    </w:rPr>
  </w:style>
  <w:style w:type="character" w:customStyle="1" w:styleId="PiedepginaCar">
    <w:name w:val="Pie de página Car"/>
    <w:link w:val="Piedepgina"/>
    <w:rsid w:val="00EE60CF"/>
    <w:rPr>
      <w:rFonts w:ascii="Arial" w:hAnsi="Arial"/>
      <w:sz w:val="16"/>
      <w:lang w:val="fr-FR"/>
    </w:rPr>
  </w:style>
  <w:style w:type="paragraph" w:styleId="Textonotapie">
    <w:name w:val="footnote text"/>
    <w:aliases w:val="Schriftart: 9 pt,Schriftart: 10 pt,Schriftart: 8 pt,Podrozdział,Footnote,o,footnote text,Footnote Text Char Char,Fußnote,single space,FOOTNOTES,fn,Char Char Char,Note de bas de page2,Footnotes Char,footnote text Char,Footnotes,Char Cha,f"/>
    <w:basedOn w:val="Normal"/>
    <w:link w:val="TextonotapieCar"/>
    <w:qFormat/>
    <w:rsid w:val="00555A98"/>
    <w:pPr>
      <w:ind w:left="357" w:hanging="357"/>
    </w:pPr>
    <w:rPr>
      <w:rFonts w:ascii="Century Gothic" w:hAnsi="Century Gothic"/>
      <w:sz w:val="18"/>
      <w:lang w:val="es-ES"/>
    </w:rPr>
  </w:style>
  <w:style w:type="character" w:customStyle="1" w:styleId="TextonotapieCar">
    <w:name w:val="Texto nota pie Car"/>
    <w:aliases w:val="Schriftart: 9 pt Car,Schriftart: 10 pt Car,Schriftart: 8 pt Car,Podrozdział Car,Footnote Car,o Car,footnote text Car,Footnote Text Char Char Car,Fußnote Car,single space Car,FOOTNOTES Car,fn Car,Char Char Char Car,Footnotes Char Car"/>
    <w:basedOn w:val="Fuentedeprrafopredeter"/>
    <w:link w:val="Textonotapie"/>
    <w:rsid w:val="00555A98"/>
    <w:rPr>
      <w:rFonts w:ascii="Century Gothic" w:hAnsi="Century Gothic"/>
      <w:sz w:val="18"/>
      <w:lang w:val="es-ES" w:eastAsia="en-US"/>
    </w:rPr>
  </w:style>
  <w:style w:type="paragraph" w:styleId="Encabezado">
    <w:name w:val="header"/>
    <w:basedOn w:val="Normal"/>
    <w:link w:val="EncabezadoCar"/>
    <w:uiPriority w:val="99"/>
    <w:rsid w:val="00461D0A"/>
    <w:pPr>
      <w:tabs>
        <w:tab w:val="center" w:pos="4153"/>
        <w:tab w:val="right" w:pos="8306"/>
      </w:tabs>
    </w:pPr>
  </w:style>
  <w:style w:type="character" w:customStyle="1" w:styleId="EncabezadoCar">
    <w:name w:val="Encabezado Car"/>
    <w:link w:val="Encabezado"/>
    <w:uiPriority w:val="99"/>
    <w:rsid w:val="00EE60CF"/>
    <w:rPr>
      <w:sz w:val="24"/>
      <w:lang w:val="fr-FR"/>
    </w:rPr>
  </w:style>
  <w:style w:type="paragraph" w:styleId="ndice1">
    <w:name w:val="index 1"/>
    <w:basedOn w:val="Normal"/>
    <w:next w:val="Normal"/>
    <w:autoRedefine/>
    <w:semiHidden/>
    <w:rsid w:val="00461D0A"/>
    <w:pPr>
      <w:ind w:left="240" w:hanging="240"/>
    </w:pPr>
  </w:style>
  <w:style w:type="paragraph" w:styleId="ndice2">
    <w:name w:val="index 2"/>
    <w:basedOn w:val="Normal"/>
    <w:next w:val="Normal"/>
    <w:autoRedefine/>
    <w:semiHidden/>
    <w:rsid w:val="00461D0A"/>
    <w:pPr>
      <w:ind w:left="480" w:hanging="240"/>
    </w:pPr>
  </w:style>
  <w:style w:type="paragraph" w:styleId="ndice3">
    <w:name w:val="index 3"/>
    <w:basedOn w:val="Normal"/>
    <w:next w:val="Normal"/>
    <w:autoRedefine/>
    <w:semiHidden/>
    <w:rsid w:val="00461D0A"/>
    <w:pPr>
      <w:ind w:left="720" w:hanging="240"/>
    </w:pPr>
  </w:style>
  <w:style w:type="paragraph" w:styleId="ndice4">
    <w:name w:val="index 4"/>
    <w:basedOn w:val="Normal"/>
    <w:next w:val="Normal"/>
    <w:autoRedefine/>
    <w:semiHidden/>
    <w:rsid w:val="00461D0A"/>
    <w:pPr>
      <w:ind w:left="960" w:hanging="240"/>
    </w:pPr>
  </w:style>
  <w:style w:type="paragraph" w:styleId="ndice5">
    <w:name w:val="index 5"/>
    <w:basedOn w:val="Normal"/>
    <w:next w:val="Normal"/>
    <w:autoRedefine/>
    <w:semiHidden/>
    <w:rsid w:val="00461D0A"/>
    <w:pPr>
      <w:ind w:left="1200" w:hanging="240"/>
    </w:pPr>
  </w:style>
  <w:style w:type="paragraph" w:styleId="ndice6">
    <w:name w:val="index 6"/>
    <w:basedOn w:val="Normal"/>
    <w:next w:val="Normal"/>
    <w:autoRedefine/>
    <w:semiHidden/>
    <w:rsid w:val="00461D0A"/>
    <w:pPr>
      <w:ind w:left="1440" w:hanging="240"/>
    </w:pPr>
  </w:style>
  <w:style w:type="paragraph" w:styleId="ndice7">
    <w:name w:val="index 7"/>
    <w:basedOn w:val="Normal"/>
    <w:next w:val="Normal"/>
    <w:autoRedefine/>
    <w:semiHidden/>
    <w:rsid w:val="00461D0A"/>
    <w:pPr>
      <w:ind w:left="1680" w:hanging="240"/>
    </w:pPr>
  </w:style>
  <w:style w:type="paragraph" w:styleId="ndice8">
    <w:name w:val="index 8"/>
    <w:basedOn w:val="Normal"/>
    <w:next w:val="Normal"/>
    <w:autoRedefine/>
    <w:semiHidden/>
    <w:rsid w:val="00461D0A"/>
    <w:pPr>
      <w:ind w:left="1920" w:hanging="240"/>
    </w:pPr>
  </w:style>
  <w:style w:type="paragraph" w:styleId="ndice9">
    <w:name w:val="index 9"/>
    <w:basedOn w:val="Normal"/>
    <w:next w:val="Normal"/>
    <w:autoRedefine/>
    <w:semiHidden/>
    <w:rsid w:val="00461D0A"/>
    <w:pPr>
      <w:ind w:left="2160" w:hanging="240"/>
    </w:pPr>
  </w:style>
  <w:style w:type="paragraph" w:styleId="Ttulodendice">
    <w:name w:val="index heading"/>
    <w:basedOn w:val="Normal"/>
    <w:next w:val="ndice1"/>
    <w:semiHidden/>
    <w:rsid w:val="00461D0A"/>
    <w:rPr>
      <w:rFonts w:ascii="Arial" w:hAnsi="Arial"/>
      <w:b/>
    </w:rPr>
  </w:style>
  <w:style w:type="paragraph" w:styleId="Lista">
    <w:name w:val="List"/>
    <w:basedOn w:val="Normal"/>
    <w:rsid w:val="00461D0A"/>
    <w:pPr>
      <w:ind w:left="283" w:hanging="283"/>
    </w:pPr>
  </w:style>
  <w:style w:type="paragraph" w:styleId="Lista2">
    <w:name w:val="List 2"/>
    <w:basedOn w:val="Normal"/>
    <w:rsid w:val="00461D0A"/>
    <w:pPr>
      <w:ind w:left="566" w:hanging="283"/>
    </w:pPr>
  </w:style>
  <w:style w:type="paragraph" w:styleId="Lista3">
    <w:name w:val="List 3"/>
    <w:basedOn w:val="Normal"/>
    <w:rsid w:val="00461D0A"/>
    <w:pPr>
      <w:ind w:left="849" w:hanging="283"/>
    </w:pPr>
  </w:style>
  <w:style w:type="paragraph" w:styleId="Lista4">
    <w:name w:val="List 4"/>
    <w:basedOn w:val="Normal"/>
    <w:rsid w:val="00461D0A"/>
    <w:pPr>
      <w:ind w:left="1132" w:hanging="283"/>
    </w:pPr>
  </w:style>
  <w:style w:type="paragraph" w:styleId="Lista5">
    <w:name w:val="List 5"/>
    <w:basedOn w:val="Normal"/>
    <w:rsid w:val="00461D0A"/>
    <w:pPr>
      <w:ind w:left="1415" w:hanging="283"/>
    </w:pPr>
  </w:style>
  <w:style w:type="paragraph" w:styleId="Listaconvietas">
    <w:name w:val="List Bullet"/>
    <w:basedOn w:val="Normal"/>
    <w:rsid w:val="00577EC6"/>
    <w:pPr>
      <w:numPr>
        <w:numId w:val="4"/>
      </w:numPr>
    </w:pPr>
  </w:style>
  <w:style w:type="paragraph" w:styleId="Listaconvietas2">
    <w:name w:val="List Bullet 2"/>
    <w:basedOn w:val="Text2"/>
    <w:rsid w:val="00577EC6"/>
    <w:pPr>
      <w:numPr>
        <w:numId w:val="6"/>
      </w:numPr>
      <w:tabs>
        <w:tab w:val="clear" w:pos="2302"/>
      </w:tabs>
    </w:pPr>
  </w:style>
  <w:style w:type="paragraph" w:styleId="Listaconvietas3">
    <w:name w:val="List Bullet 3"/>
    <w:basedOn w:val="Text3"/>
    <w:rsid w:val="00577EC6"/>
    <w:pPr>
      <w:numPr>
        <w:numId w:val="7"/>
      </w:numPr>
      <w:tabs>
        <w:tab w:val="clear" w:pos="2302"/>
      </w:tabs>
    </w:pPr>
  </w:style>
  <w:style w:type="paragraph" w:styleId="Listaconvietas4">
    <w:name w:val="List Bullet 4"/>
    <w:basedOn w:val="Text4"/>
    <w:rsid w:val="00577EC6"/>
    <w:pPr>
      <w:numPr>
        <w:numId w:val="8"/>
      </w:numPr>
      <w:tabs>
        <w:tab w:val="clear" w:pos="2302"/>
      </w:tabs>
    </w:pPr>
  </w:style>
  <w:style w:type="paragraph" w:styleId="Listaconvietas5">
    <w:name w:val="List Bullet 5"/>
    <w:basedOn w:val="Normal"/>
    <w:autoRedefine/>
    <w:rsid w:val="00577EC6"/>
    <w:pPr>
      <w:numPr>
        <w:numId w:val="1"/>
      </w:numPr>
    </w:pPr>
  </w:style>
  <w:style w:type="paragraph" w:styleId="Continuarlista">
    <w:name w:val="List Continue"/>
    <w:basedOn w:val="Normal"/>
    <w:rsid w:val="00461D0A"/>
    <w:pPr>
      <w:spacing w:after="120"/>
      <w:ind w:left="283"/>
    </w:pPr>
  </w:style>
  <w:style w:type="paragraph" w:styleId="Continuarlista2">
    <w:name w:val="List Continue 2"/>
    <w:basedOn w:val="Normal"/>
    <w:rsid w:val="00461D0A"/>
    <w:pPr>
      <w:spacing w:after="120"/>
      <w:ind w:left="566"/>
    </w:pPr>
  </w:style>
  <w:style w:type="paragraph" w:styleId="Continuarlista3">
    <w:name w:val="List Continue 3"/>
    <w:basedOn w:val="Normal"/>
    <w:rsid w:val="00461D0A"/>
    <w:pPr>
      <w:spacing w:after="120"/>
      <w:ind w:left="849"/>
    </w:pPr>
  </w:style>
  <w:style w:type="paragraph" w:styleId="Continuarlista4">
    <w:name w:val="List Continue 4"/>
    <w:basedOn w:val="Normal"/>
    <w:rsid w:val="00461D0A"/>
    <w:pPr>
      <w:spacing w:after="120"/>
      <w:ind w:left="1132"/>
    </w:pPr>
  </w:style>
  <w:style w:type="paragraph" w:styleId="Continuarlista5">
    <w:name w:val="List Continue 5"/>
    <w:basedOn w:val="Normal"/>
    <w:rsid w:val="00461D0A"/>
    <w:pPr>
      <w:spacing w:after="120"/>
      <w:ind w:left="1415"/>
    </w:pPr>
  </w:style>
  <w:style w:type="paragraph" w:styleId="Listaconnmeros">
    <w:name w:val="List Number"/>
    <w:basedOn w:val="Normal"/>
    <w:rsid w:val="00577EC6"/>
    <w:pPr>
      <w:numPr>
        <w:numId w:val="14"/>
      </w:numPr>
    </w:pPr>
  </w:style>
  <w:style w:type="paragraph" w:styleId="Listaconnmeros2">
    <w:name w:val="List Number 2"/>
    <w:basedOn w:val="Text2"/>
    <w:rsid w:val="00577EC6"/>
    <w:pPr>
      <w:numPr>
        <w:numId w:val="16"/>
      </w:numPr>
      <w:tabs>
        <w:tab w:val="clear" w:pos="2302"/>
      </w:tabs>
    </w:pPr>
  </w:style>
  <w:style w:type="paragraph" w:styleId="Listaconnmeros3">
    <w:name w:val="List Number 3"/>
    <w:basedOn w:val="Text3"/>
    <w:rsid w:val="00577EC6"/>
    <w:pPr>
      <w:numPr>
        <w:numId w:val="17"/>
      </w:numPr>
      <w:tabs>
        <w:tab w:val="clear" w:pos="2302"/>
      </w:tabs>
    </w:pPr>
  </w:style>
  <w:style w:type="paragraph" w:styleId="Listaconnmeros4">
    <w:name w:val="List Number 4"/>
    <w:basedOn w:val="Text4"/>
    <w:rsid w:val="00577EC6"/>
    <w:pPr>
      <w:numPr>
        <w:numId w:val="18"/>
      </w:numPr>
      <w:tabs>
        <w:tab w:val="clear" w:pos="2302"/>
      </w:tabs>
    </w:pPr>
  </w:style>
  <w:style w:type="paragraph" w:styleId="Listaconnmeros5">
    <w:name w:val="List Number 5"/>
    <w:basedOn w:val="Normal"/>
    <w:rsid w:val="00577EC6"/>
    <w:pPr>
      <w:numPr>
        <w:numId w:val="2"/>
      </w:numPr>
    </w:pPr>
  </w:style>
  <w:style w:type="paragraph" w:styleId="Textomacro">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Encabezadodemensaje">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link w:val="SangranormalCar"/>
    <w:rsid w:val="00461D0A"/>
    <w:pPr>
      <w:ind w:left="720"/>
    </w:pPr>
  </w:style>
  <w:style w:type="character" w:customStyle="1" w:styleId="SangranormalCar">
    <w:name w:val="Sangría normal Car"/>
    <w:link w:val="Sangranormal"/>
    <w:rsid w:val="007A4813"/>
    <w:rPr>
      <w:sz w:val="24"/>
      <w:lang w:val="fr-FR"/>
    </w:rPr>
  </w:style>
  <w:style w:type="paragraph" w:styleId="Encabezadodenota">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Ttulo1"/>
    <w:next w:val="Text1"/>
    <w:rsid w:val="00577EC6"/>
    <w:pPr>
      <w:keepNext w:val="0"/>
      <w:spacing w:before="0"/>
      <w:outlineLvl w:val="9"/>
    </w:pPr>
    <w:rPr>
      <w:b w:val="0"/>
      <w:smallCaps w:val="0"/>
    </w:rPr>
  </w:style>
  <w:style w:type="paragraph" w:customStyle="1" w:styleId="NumPar2">
    <w:name w:val="NumPar 2"/>
    <w:basedOn w:val="Ttulo2"/>
    <w:next w:val="Text2"/>
    <w:rsid w:val="00577EC6"/>
    <w:pPr>
      <w:keepNext w:val="0"/>
      <w:outlineLvl w:val="9"/>
    </w:pPr>
    <w:rPr>
      <w:b w:val="0"/>
    </w:rPr>
  </w:style>
  <w:style w:type="paragraph" w:customStyle="1" w:styleId="NumPar3">
    <w:name w:val="NumPar 3"/>
    <w:basedOn w:val="Ttulo3"/>
    <w:next w:val="Text3"/>
    <w:rsid w:val="00577EC6"/>
    <w:pPr>
      <w:keepNext w:val="0"/>
      <w:outlineLvl w:val="9"/>
    </w:pPr>
    <w:rPr>
      <w:i/>
    </w:rPr>
  </w:style>
  <w:style w:type="paragraph" w:customStyle="1" w:styleId="NumPar4">
    <w:name w:val="NumPar 4"/>
    <w:basedOn w:val="Ttulo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Textosinformato">
    <w:name w:val="Plain Text"/>
    <w:basedOn w:val="Normal"/>
    <w:rsid w:val="00461D0A"/>
    <w:rPr>
      <w:rFonts w:ascii="Courier New" w:hAnsi="Courier New"/>
    </w:rPr>
  </w:style>
  <w:style w:type="paragraph" w:styleId="Saludo">
    <w:name w:val="Salutation"/>
    <w:basedOn w:val="Normal"/>
    <w:next w:val="Normal"/>
    <w:rsid w:val="00461D0A"/>
  </w:style>
  <w:style w:type="paragraph" w:styleId="Firma">
    <w:name w:val="Signature"/>
    <w:basedOn w:val="Normal"/>
    <w:next w:val="Enclosures"/>
    <w:rsid w:val="00461D0A"/>
    <w:pPr>
      <w:tabs>
        <w:tab w:val="left" w:pos="5103"/>
      </w:tabs>
      <w:spacing w:before="1200" w:after="0"/>
      <w:ind w:left="5103"/>
      <w:jc w:val="center"/>
    </w:pPr>
  </w:style>
  <w:style w:type="paragraph" w:styleId="Subttulo">
    <w:name w:val="Subtitle"/>
    <w:basedOn w:val="Normal"/>
    <w:qFormat/>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extoconsangra">
    <w:name w:val="table of authorities"/>
    <w:basedOn w:val="Normal"/>
    <w:next w:val="Normal"/>
    <w:semiHidden/>
    <w:rsid w:val="00461D0A"/>
    <w:pPr>
      <w:ind w:left="240" w:hanging="240"/>
    </w:pPr>
  </w:style>
  <w:style w:type="paragraph" w:styleId="Tabladeilustraciones">
    <w:name w:val="table of figures"/>
    <w:basedOn w:val="Normal"/>
    <w:next w:val="Normal"/>
    <w:uiPriority w:val="99"/>
    <w:rsid w:val="00C67258"/>
    <w:pPr>
      <w:spacing w:after="120"/>
      <w:ind w:left="482" w:hanging="482"/>
    </w:pPr>
    <w:rPr>
      <w:rFonts w:ascii="Century Gothic" w:hAnsi="Century Gothic"/>
      <w:sz w:val="18"/>
    </w:rPr>
  </w:style>
  <w:style w:type="paragraph" w:styleId="Puesto">
    <w:name w:val="Title"/>
    <w:basedOn w:val="Normal"/>
    <w:next w:val="SubTitle1"/>
    <w:qFormat/>
    <w:rsid w:val="00461D0A"/>
    <w:pPr>
      <w:spacing w:after="480"/>
      <w:jc w:val="center"/>
    </w:pPr>
    <w:rPr>
      <w:b/>
      <w:kern w:val="28"/>
      <w:sz w:val="48"/>
    </w:rPr>
  </w:style>
  <w:style w:type="paragraph" w:styleId="Encabezadodelista">
    <w:name w:val="toa heading"/>
    <w:basedOn w:val="Normal"/>
    <w:next w:val="Normal"/>
    <w:semiHidden/>
    <w:rsid w:val="00461D0A"/>
    <w:pPr>
      <w:spacing w:before="120"/>
    </w:pPr>
    <w:rPr>
      <w:rFonts w:ascii="Arial" w:hAnsi="Arial"/>
      <w:b/>
    </w:rPr>
  </w:style>
  <w:style w:type="paragraph" w:styleId="TDC1">
    <w:name w:val="toc 1"/>
    <w:basedOn w:val="Normal"/>
    <w:next w:val="Normal"/>
    <w:uiPriority w:val="39"/>
    <w:rsid w:val="003911FA"/>
    <w:pPr>
      <w:tabs>
        <w:tab w:val="right" w:leader="dot" w:pos="8640"/>
      </w:tabs>
      <w:spacing w:before="120" w:after="120"/>
      <w:ind w:left="482" w:right="720" w:hanging="482"/>
    </w:pPr>
    <w:rPr>
      <w:rFonts w:ascii="Century Gothic" w:hAnsi="Century Gothic"/>
      <w:caps/>
    </w:rPr>
  </w:style>
  <w:style w:type="paragraph" w:styleId="TDC2">
    <w:name w:val="toc 2"/>
    <w:basedOn w:val="Normal"/>
    <w:next w:val="Normal"/>
    <w:uiPriority w:val="39"/>
    <w:rsid w:val="003911FA"/>
    <w:pPr>
      <w:tabs>
        <w:tab w:val="right" w:leader="dot" w:pos="8640"/>
      </w:tabs>
      <w:spacing w:before="60" w:after="60"/>
      <w:ind w:left="1077" w:right="720" w:hanging="595"/>
    </w:pPr>
    <w:rPr>
      <w:rFonts w:ascii="Century Gothic" w:hAnsi="Century Gothic"/>
      <w:sz w:val="18"/>
    </w:rPr>
  </w:style>
  <w:style w:type="paragraph" w:styleId="TDC3">
    <w:name w:val="toc 3"/>
    <w:basedOn w:val="Normal"/>
    <w:next w:val="Normal"/>
    <w:uiPriority w:val="39"/>
    <w:qFormat/>
    <w:rsid w:val="003911FA"/>
    <w:pPr>
      <w:tabs>
        <w:tab w:val="right" w:leader="dot" w:pos="8640"/>
      </w:tabs>
      <w:spacing w:before="60" w:after="60"/>
      <w:ind w:left="1916" w:right="720" w:hanging="839"/>
    </w:pPr>
    <w:rPr>
      <w:rFonts w:ascii="Century Gothic" w:hAnsi="Century Gothic"/>
      <w:sz w:val="18"/>
    </w:rPr>
  </w:style>
  <w:style w:type="paragraph" w:styleId="TDC4">
    <w:name w:val="toc 4"/>
    <w:basedOn w:val="Normal"/>
    <w:next w:val="Normal"/>
    <w:uiPriority w:val="39"/>
    <w:rsid w:val="003911FA"/>
    <w:pPr>
      <w:tabs>
        <w:tab w:val="right" w:leader="dot" w:pos="8641"/>
      </w:tabs>
      <w:spacing w:before="60" w:after="60"/>
      <w:ind w:left="2880" w:right="720" w:hanging="964"/>
    </w:pPr>
    <w:rPr>
      <w:rFonts w:ascii="Century Gothic" w:hAnsi="Century Gothic"/>
      <w:sz w:val="16"/>
    </w:rPr>
  </w:style>
  <w:style w:type="paragraph" w:styleId="TDC5">
    <w:name w:val="toc 5"/>
    <w:basedOn w:val="Normal"/>
    <w:next w:val="Normal"/>
    <w:uiPriority w:val="39"/>
    <w:rsid w:val="00461D0A"/>
    <w:pPr>
      <w:tabs>
        <w:tab w:val="right" w:leader="dot" w:pos="8641"/>
      </w:tabs>
      <w:spacing w:before="240" w:after="120"/>
      <w:ind w:right="720"/>
    </w:pPr>
    <w:rPr>
      <w:caps/>
    </w:rPr>
  </w:style>
  <w:style w:type="paragraph" w:styleId="TDC6">
    <w:name w:val="toc 6"/>
    <w:basedOn w:val="Normal"/>
    <w:next w:val="Normal"/>
    <w:autoRedefine/>
    <w:uiPriority w:val="39"/>
    <w:rsid w:val="00461D0A"/>
    <w:pPr>
      <w:ind w:left="1200"/>
    </w:pPr>
  </w:style>
  <w:style w:type="paragraph" w:styleId="TDC7">
    <w:name w:val="toc 7"/>
    <w:basedOn w:val="Normal"/>
    <w:next w:val="Normal"/>
    <w:autoRedefine/>
    <w:uiPriority w:val="39"/>
    <w:rsid w:val="00461D0A"/>
    <w:pPr>
      <w:ind w:left="1440"/>
    </w:pPr>
  </w:style>
  <w:style w:type="paragraph" w:styleId="TDC8">
    <w:name w:val="toc 8"/>
    <w:basedOn w:val="Normal"/>
    <w:next w:val="Normal"/>
    <w:autoRedefine/>
    <w:uiPriority w:val="39"/>
    <w:rsid w:val="00461D0A"/>
    <w:pPr>
      <w:ind w:left="1680"/>
    </w:pPr>
  </w:style>
  <w:style w:type="paragraph" w:styleId="TDC9">
    <w:name w:val="toc 9"/>
    <w:basedOn w:val="Normal"/>
    <w:next w:val="Normal"/>
    <w:autoRedefine/>
    <w:uiPriority w:val="39"/>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ipervnculo">
    <w:name w:val="Hyperlink"/>
    <w:aliases w:val="Hyperlink - Header"/>
    <w:uiPriority w:val="99"/>
    <w:rsid w:val="006914AD"/>
    <w:rPr>
      <w:color w:val="0000FF"/>
      <w:u w:val="single"/>
    </w:rPr>
  </w:style>
  <w:style w:type="character" w:styleId="Refdenotaalpie">
    <w:name w:val="footnote reference"/>
    <w:aliases w:val="Footnote Refernece,BVI fnr,Fußnotenzeichen_Raxen,callout,Footnote Reference Number, BVI fnr,SUPERS,Footnote symbol,Footnote reference number,Times 10 Point,Exposant 3 Point,EN Footnote Reference,note TESI,-E Fußnotenzeichen,Ref,E,S"/>
    <w:uiPriority w:val="99"/>
    <w:qFormat/>
    <w:rsid w:val="00CD08CF"/>
    <w:rPr>
      <w:vertAlign w:val="superscript"/>
    </w:rPr>
  </w:style>
  <w:style w:type="table" w:styleId="Cuadrculavistosa-nfasis3">
    <w:name w:val="Colorful Grid Accent 3"/>
    <w:basedOn w:val="Tabla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xtodeglobo">
    <w:name w:val="Balloon Text"/>
    <w:basedOn w:val="Normal"/>
    <w:link w:val="TextodegloboCar"/>
    <w:rsid w:val="00E52A1D"/>
    <w:rPr>
      <w:rFonts w:ascii="Tahoma" w:hAnsi="Tahoma" w:cs="Tahoma"/>
      <w:sz w:val="16"/>
      <w:szCs w:val="16"/>
    </w:rPr>
  </w:style>
  <w:style w:type="character" w:customStyle="1" w:styleId="TextodegloboCar">
    <w:name w:val="Texto de globo Car"/>
    <w:basedOn w:val="Fuentedeprrafopredeter"/>
    <w:link w:val="Textodeglobo"/>
    <w:rsid w:val="009A5C2C"/>
    <w:rPr>
      <w:rFonts w:ascii="Tahoma" w:hAnsi="Tahoma" w:cs="Tahoma"/>
      <w:sz w:val="16"/>
      <w:szCs w:val="16"/>
      <w:lang w:val="fr-FR" w:eastAsia="en-US"/>
    </w:rPr>
  </w:style>
  <w:style w:type="paragraph" w:customStyle="1" w:styleId="DocumentTitle">
    <w:name w:val="Document Title"/>
    <w:basedOn w:val="Normal"/>
    <w:link w:val="DocumentTitleChar"/>
    <w:qFormat/>
    <w:rsid w:val="001E6AC6"/>
    <w:pPr>
      <w:jc w:val="center"/>
    </w:pPr>
    <w:rPr>
      <w:b/>
      <w:sz w:val="52"/>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approval">
    <w:name w:val="Footer approval"/>
    <w:basedOn w:val="Piedepgina"/>
    <w:link w:val="ApprovalfooterChar"/>
    <w:qFormat/>
    <w:rsid w:val="00ED7D13"/>
    <w:pPr>
      <w:tabs>
        <w:tab w:val="left" w:pos="6804"/>
      </w:tabs>
    </w:pPr>
    <w:rPr>
      <w:rFonts w:ascii="Verdana" w:hAnsi="Verdana"/>
      <w:sz w:val="13"/>
      <w:lang w:val="fr-BE"/>
    </w:rPr>
  </w:style>
  <w:style w:type="character" w:customStyle="1" w:styleId="ApprovalfooterChar">
    <w:name w:val="Approval_footer Char"/>
    <w:basedOn w:val="PiedepginaCar"/>
    <w:link w:val="Footerapproval"/>
    <w:rsid w:val="00EE60CF"/>
    <w:rPr>
      <w:rFonts w:ascii="Arial" w:hAnsi="Arial"/>
      <w:sz w:val="16"/>
      <w:lang w:val="fr-FR"/>
    </w:rPr>
  </w:style>
  <w:style w:type="paragraph" w:customStyle="1" w:styleId="FooterDate">
    <w:name w:val="Footer Date"/>
    <w:basedOn w:val="Piedepgina"/>
    <w:link w:val="FooterDateChar"/>
    <w:rsid w:val="00EE60CF"/>
    <w:pPr>
      <w:tabs>
        <w:tab w:val="right" w:pos="9240"/>
      </w:tabs>
    </w:pPr>
    <w:rPr>
      <w:rFonts w:ascii="Verdana" w:hAnsi="Verdana"/>
      <w:lang w:val="it-IT"/>
    </w:rPr>
  </w:style>
  <w:style w:type="character" w:customStyle="1" w:styleId="FooterDateChar">
    <w:name w:val="Footer Date Char"/>
    <w:link w:val="FooterDate"/>
    <w:rsid w:val="00EE60CF"/>
    <w:rPr>
      <w:rFonts w:ascii="Verdana" w:hAnsi="Verdana"/>
      <w:sz w:val="16"/>
      <w:lang w:val="it-IT"/>
    </w:rPr>
  </w:style>
  <w:style w:type="paragraph" w:customStyle="1" w:styleId="PageNumber1">
    <w:name w:val="Page Number1"/>
    <w:basedOn w:val="Piedepgina"/>
    <w:link w:val="PagenumberChar"/>
    <w:rsid w:val="00EE60CF"/>
    <w:pPr>
      <w:tabs>
        <w:tab w:val="right" w:pos="9240"/>
      </w:tabs>
      <w:ind w:right="-622"/>
    </w:pPr>
    <w:rPr>
      <w:rFonts w:ascii="Verdana" w:hAnsi="Verdana"/>
      <w:lang w:val="fr-BE"/>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HeaderTitle">
    <w:name w:val="Header Title"/>
    <w:basedOn w:val="Normal"/>
    <w:link w:val="HeaderTitleChar"/>
    <w:rsid w:val="002A726D"/>
    <w:pPr>
      <w:jc w:val="center"/>
    </w:pPr>
    <w:rPr>
      <w:b/>
      <w:color w:val="808080"/>
      <w:sz w:val="18"/>
      <w:szCs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Bulletpoint1">
    <w:name w:val="Bullet point1"/>
    <w:basedOn w:val="Sangranormal"/>
    <w:link w:val="Bulletpoint1Char"/>
    <w:qFormat/>
    <w:rsid w:val="007F3473"/>
    <w:pPr>
      <w:numPr>
        <w:numId w:val="20"/>
      </w:numPr>
      <w:spacing w:after="120"/>
      <w:jc w:val="left"/>
    </w:pPr>
    <w:rPr>
      <w:sz w:val="18"/>
    </w:rPr>
  </w:style>
  <w:style w:type="character" w:customStyle="1" w:styleId="Bulletpoint1Char">
    <w:name w:val="Bullet point1 Char"/>
    <w:basedOn w:val="SangranormalCar"/>
    <w:link w:val="Bulletpoint1"/>
    <w:rsid w:val="007F3473"/>
    <w:rPr>
      <w:rFonts w:ascii="Verdana" w:hAnsi="Verdana"/>
      <w:sz w:val="18"/>
      <w:lang w:val="en-GB" w:eastAsia="en-US"/>
    </w:rPr>
  </w:style>
  <w:style w:type="paragraph" w:customStyle="1" w:styleId="Heading">
    <w:name w:val="Heading"/>
    <w:basedOn w:val="TDC1"/>
    <w:link w:val="HeadingChar"/>
    <w:qFormat/>
    <w:rsid w:val="009370CD"/>
    <w:pPr>
      <w:widowControl w:val="0"/>
      <w:autoSpaceDE w:val="0"/>
      <w:autoSpaceDN w:val="0"/>
      <w:adjustRightInd w:val="0"/>
      <w:spacing w:after="0"/>
      <w:ind w:left="0" w:firstLine="0"/>
      <w:jc w:val="left"/>
    </w:pPr>
    <w:rPr>
      <w:b/>
      <w:u w:val="single"/>
    </w:rPr>
  </w:style>
  <w:style w:type="character" w:customStyle="1" w:styleId="HeadingChar">
    <w:name w:val="Heading Char"/>
    <w:link w:val="Heading"/>
    <w:rsid w:val="00B14205"/>
    <w:rPr>
      <w:rFonts w:ascii="Verdana" w:hAnsi="Verdana"/>
      <w:b/>
      <w:caps/>
      <w:u w:val="single"/>
      <w:lang w:val="fr-FR"/>
    </w:rPr>
  </w:style>
  <w:style w:type="paragraph" w:customStyle="1" w:styleId="BulletPoint2">
    <w:name w:val="Bullet Point 2"/>
    <w:basedOn w:val="Sangranormal"/>
    <w:link w:val="BulletPoint2Char"/>
    <w:qFormat/>
    <w:rsid w:val="00577EC6"/>
    <w:pPr>
      <w:numPr>
        <w:numId w:val="19"/>
      </w:numPr>
      <w:spacing w:after="120"/>
      <w:ind w:left="1077" w:hanging="357"/>
      <w:jc w:val="left"/>
    </w:pPr>
    <w:rPr>
      <w:sz w:val="18"/>
    </w:rPr>
  </w:style>
  <w:style w:type="character" w:customStyle="1" w:styleId="BulletPoint2Char">
    <w:name w:val="Bullet Point 2 Char"/>
    <w:link w:val="BulletPoint2"/>
    <w:rsid w:val="00577EC6"/>
    <w:rPr>
      <w:rFonts w:ascii="Verdana" w:hAnsi="Verdana"/>
      <w:sz w:val="18"/>
      <w:lang w:val="en-GB" w:eastAsia="en-US"/>
    </w:rPr>
  </w:style>
  <w:style w:type="paragraph" w:customStyle="1" w:styleId="Body">
    <w:name w:val="Body"/>
    <w:basedOn w:val="Normal"/>
    <w:link w:val="BodyChar"/>
    <w:qFormat/>
    <w:rsid w:val="00200E7B"/>
    <w:pPr>
      <w:spacing w:after="200" w:line="276" w:lineRule="auto"/>
    </w:pPr>
    <w:rPr>
      <w:rFonts w:ascii="Century Gothic" w:hAnsi="Century Gothic"/>
      <w:lang w:val="es-ES"/>
    </w:rPr>
  </w:style>
  <w:style w:type="character" w:customStyle="1" w:styleId="BodyChar">
    <w:name w:val="Body Char"/>
    <w:link w:val="Body"/>
    <w:rsid w:val="00200E7B"/>
    <w:rPr>
      <w:rFonts w:ascii="Century Gothic" w:hAnsi="Century Gothic"/>
      <w:lang w:val="es-ES" w:eastAsia="en-US"/>
    </w:rPr>
  </w:style>
  <w:style w:type="paragraph" w:customStyle="1" w:styleId="Heading2">
    <w:name w:val="Heading2"/>
    <w:basedOn w:val="Title2"/>
    <w:link w:val="Heading2Char"/>
    <w:qFormat/>
    <w:rsid w:val="009370CD"/>
    <w:pPr>
      <w:numPr>
        <w:numId w:val="0"/>
      </w:numPr>
    </w:pPr>
    <w:rPr>
      <w:b/>
      <w:i/>
    </w:rPr>
  </w:style>
  <w:style w:type="paragraph" w:customStyle="1" w:styleId="Title2">
    <w:name w:val="Title 2"/>
    <w:basedOn w:val="Normal"/>
    <w:rsid w:val="00B14205"/>
    <w:pPr>
      <w:numPr>
        <w:numId w:val="21"/>
      </w:numPr>
    </w:pPr>
  </w:style>
  <w:style w:type="character" w:customStyle="1" w:styleId="Heading2Char">
    <w:name w:val="Heading2 Char"/>
    <w:link w:val="Heading2"/>
    <w:rsid w:val="009370CD"/>
    <w:rPr>
      <w:rFonts w:ascii="Verdana" w:hAnsi="Verdana"/>
      <w:b/>
      <w:i/>
      <w:sz w:val="24"/>
      <w:lang w:val="fr-FR" w:eastAsia="en-US"/>
    </w:rPr>
  </w:style>
  <w:style w:type="table" w:styleId="Tablaconcuadrcula">
    <w:name w:val="Table Grid"/>
    <w:aliases w:val="Document Table"/>
    <w:basedOn w:val="Tabla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
    <w:name w:val="Style1"/>
    <w:basedOn w:val="Tablanormal"/>
    <w:rsid w:val="00EF7057"/>
    <w:tblPr/>
  </w:style>
  <w:style w:type="table" w:styleId="Tablaelegante">
    <w:name w:val="Table Elegant"/>
    <w:basedOn w:val="Tabla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tulodeTDC">
    <w:name w:val="TOC Heading"/>
    <w:basedOn w:val="Ttulo1"/>
    <w:next w:val="Normal"/>
    <w:unhideWhenUsed/>
    <w:qFormat/>
    <w:rsid w:val="005846FD"/>
    <w:pPr>
      <w:keepLines/>
      <w:numPr>
        <w:numId w:val="0"/>
      </w:numPr>
      <w:spacing w:before="480" w:after="0" w:line="276" w:lineRule="auto"/>
      <w:jc w:val="left"/>
      <w:outlineLvl w:val="9"/>
    </w:pPr>
    <w:rPr>
      <w:rFonts w:eastAsiaTheme="majorEastAsia" w:cstheme="majorBidi"/>
      <w:bCs/>
      <w:smallCaps w:val="0"/>
      <w:color w:val="365F91" w:themeColor="accent1" w:themeShade="BF"/>
      <w:sz w:val="28"/>
      <w:szCs w:val="28"/>
      <w:lang w:val="en-US"/>
    </w:rPr>
  </w:style>
  <w:style w:type="paragraph" w:customStyle="1" w:styleId="Subtitle">
    <w:name w:val="Subtitle_"/>
    <w:basedOn w:val="TDC2"/>
    <w:link w:val="SubtitleChar"/>
    <w:qFormat/>
    <w:rsid w:val="001D2A51"/>
    <w:pPr>
      <w:ind w:left="0" w:firstLine="0"/>
    </w:pPr>
    <w:rPr>
      <w:b/>
      <w:i/>
      <w:sz w:val="20"/>
    </w:rPr>
  </w:style>
  <w:style w:type="character" w:customStyle="1" w:styleId="SubtitleChar">
    <w:name w:val="Subtitle_ Char"/>
    <w:basedOn w:val="Heading2Char"/>
    <w:link w:val="Subtitle"/>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b/>
      <w:szCs w:val="18"/>
    </w:rPr>
  </w:style>
  <w:style w:type="character" w:customStyle="1" w:styleId="HeadingBodyChar">
    <w:name w:val="Heading Body Char"/>
    <w:basedOn w:val="Fuentedeprrafopredeter"/>
    <w:link w:val="HeadingBody"/>
    <w:rsid w:val="001D2A51"/>
    <w:rPr>
      <w:rFonts w:ascii="Verdana" w:hAnsi="Verdana"/>
      <w:b/>
      <w:szCs w:val="18"/>
      <w:lang w:val="en-GB" w:eastAsia="en-US"/>
    </w:rPr>
  </w:style>
  <w:style w:type="paragraph" w:customStyle="1" w:styleId="Titlepublication">
    <w:name w:val="Title publication"/>
    <w:basedOn w:val="Normal"/>
    <w:link w:val="TitlepublicationChar"/>
    <w:qFormat/>
    <w:rsid w:val="001D2A51"/>
    <w:pPr>
      <w:jc w:val="center"/>
    </w:pPr>
    <w:rPr>
      <w:b/>
      <w:color w:val="FF0000"/>
      <w:sz w:val="52"/>
      <w:szCs w:val="52"/>
    </w:rPr>
  </w:style>
  <w:style w:type="character" w:customStyle="1" w:styleId="TitlepublicationChar">
    <w:name w:val="Title publication Char"/>
    <w:basedOn w:val="Fuentedeprrafopredeter"/>
    <w:link w:val="Titlepublication"/>
    <w:rsid w:val="001D2A51"/>
    <w:rPr>
      <w:rFonts w:ascii="Verdana" w:hAnsi="Verdana"/>
      <w:b/>
      <w:color w:val="FF0000"/>
      <w:sz w:val="52"/>
      <w:szCs w:val="52"/>
      <w:lang w:val="en-GB" w:eastAsia="en-US"/>
    </w:rPr>
  </w:style>
  <w:style w:type="paragraph" w:customStyle="1" w:styleId="Subtitlepublication">
    <w:name w:val="Subtitle publication"/>
    <w:basedOn w:val="Normal"/>
    <w:link w:val="SubtitlepublicationChar"/>
    <w:qFormat/>
    <w:rsid w:val="003C7A25"/>
    <w:pPr>
      <w:jc w:val="center"/>
    </w:pPr>
    <w:rPr>
      <w:b/>
      <w:i/>
      <w:color w:val="FF0000"/>
      <w:sz w:val="32"/>
    </w:rPr>
  </w:style>
  <w:style w:type="character" w:customStyle="1" w:styleId="SubtitlepublicationChar">
    <w:name w:val="Subtitle publication Char"/>
    <w:basedOn w:val="Fuentedeprrafopredeter"/>
    <w:link w:val="Subtitlepublication"/>
    <w:rsid w:val="003C7A25"/>
    <w:rPr>
      <w:rFonts w:ascii="Verdana" w:hAnsi="Verdana"/>
      <w:b/>
      <w:i/>
      <w:color w:val="FF0000"/>
      <w:sz w:val="32"/>
      <w:lang w:val="en-GB" w:eastAsia="en-US"/>
    </w:rPr>
  </w:style>
  <w:style w:type="paragraph" w:customStyle="1" w:styleId="Editorname">
    <w:name w:val="Editor name"/>
    <w:basedOn w:val="Normal"/>
    <w:link w:val="EditornameChar"/>
    <w:qFormat/>
    <w:rsid w:val="001D2A51"/>
    <w:pPr>
      <w:jc w:val="center"/>
    </w:pPr>
    <w:rPr>
      <w:color w:val="FF0000"/>
    </w:rPr>
  </w:style>
  <w:style w:type="character" w:customStyle="1" w:styleId="EditornameChar">
    <w:name w:val="Editor name Char"/>
    <w:basedOn w:val="Fuentedeprrafopredeter"/>
    <w:link w:val="Editorname"/>
    <w:rsid w:val="001D2A51"/>
    <w:rPr>
      <w:rFonts w:ascii="Verdana" w:hAnsi="Verdana"/>
      <w:color w:val="FF0000"/>
      <w:sz w:val="24"/>
      <w:lang w:val="en-GB" w:eastAsia="en-US"/>
    </w:rPr>
  </w:style>
  <w:style w:type="paragraph" w:customStyle="1" w:styleId="Backcoversummary">
    <w:name w:val="Backcover_summary"/>
    <w:basedOn w:val="Normal"/>
    <w:link w:val="BackcoversummaryChar"/>
    <w:qFormat/>
    <w:rsid w:val="001D2A51"/>
    <w:rPr>
      <w:color w:val="FF0000"/>
    </w:rPr>
  </w:style>
  <w:style w:type="character" w:customStyle="1" w:styleId="BackcoversummaryChar">
    <w:name w:val="Backcover_summary Char"/>
    <w:basedOn w:val="Fuentedeprrafopredeter"/>
    <w:link w:val="Backcoversummary"/>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i/>
      <w:color w:val="FF0000"/>
      <w:sz w:val="18"/>
    </w:rPr>
  </w:style>
  <w:style w:type="character" w:customStyle="1" w:styleId="BackcovercategoryChar">
    <w:name w:val="Backcover_category Char"/>
    <w:basedOn w:val="Fuentedeprrafopredeter"/>
    <w:link w:val="Backcovercategory"/>
    <w:rsid w:val="001D2A51"/>
    <w:rPr>
      <w:rFonts w:ascii="Verdana" w:hAnsi="Verdana"/>
      <w:i/>
      <w:color w:val="FF0000"/>
      <w:sz w:val="18"/>
      <w:lang w:val="en-GB" w:eastAsia="en-US"/>
    </w:rPr>
  </w:style>
  <w:style w:type="paragraph" w:customStyle="1" w:styleId="Default">
    <w:name w:val="Default"/>
    <w:rsid w:val="005B2625"/>
    <w:pPr>
      <w:autoSpaceDE w:val="0"/>
      <w:autoSpaceDN w:val="0"/>
      <w:adjustRightInd w:val="0"/>
    </w:pPr>
    <w:rPr>
      <w:rFonts w:ascii="EC Square Sans Pro" w:hAnsi="EC Square Sans Pro" w:cs="EC Square Sans Pro"/>
      <w:color w:val="000000"/>
      <w:sz w:val="24"/>
      <w:szCs w:val="24"/>
      <w:lang w:val="en-GB"/>
    </w:rPr>
  </w:style>
  <w:style w:type="paragraph" w:customStyle="1" w:styleId="BasicParagraph">
    <w:name w:val="[Basic Paragraph]"/>
    <w:basedOn w:val="Normal"/>
    <w:uiPriority w:val="99"/>
    <w:rsid w:val="005B2625"/>
    <w:pPr>
      <w:autoSpaceDE w:val="0"/>
      <w:autoSpaceDN w:val="0"/>
      <w:adjustRightInd w:val="0"/>
      <w:spacing w:after="0" w:line="288" w:lineRule="auto"/>
      <w:jc w:val="left"/>
      <w:textAlignment w:val="center"/>
    </w:pPr>
    <w:rPr>
      <w:rFonts w:ascii="EC Square Sans Pro" w:hAnsi="EC Square Sans Pro"/>
      <w:color w:val="000000"/>
      <w:szCs w:val="24"/>
      <w:lang w:eastAsia="nl-BE"/>
    </w:rPr>
  </w:style>
  <w:style w:type="character" w:styleId="Refdecomentario">
    <w:name w:val="annotation reference"/>
    <w:basedOn w:val="Fuentedeprrafopredeter"/>
    <w:rsid w:val="00CD5BC5"/>
    <w:rPr>
      <w:sz w:val="16"/>
      <w:szCs w:val="16"/>
    </w:rPr>
  </w:style>
  <w:style w:type="paragraph" w:styleId="Asuntodelcomentario">
    <w:name w:val="annotation subject"/>
    <w:basedOn w:val="Textocomentario"/>
    <w:next w:val="Textocomentario"/>
    <w:link w:val="AsuntodelcomentarioCar"/>
    <w:rsid w:val="00CD5BC5"/>
    <w:rPr>
      <w:b/>
      <w:bCs/>
    </w:rPr>
  </w:style>
  <w:style w:type="character" w:customStyle="1" w:styleId="AsuntodelcomentarioCar">
    <w:name w:val="Asunto del comentario Car"/>
    <w:basedOn w:val="TextocomentarioCar"/>
    <w:link w:val="Asuntodelcomentario"/>
    <w:rsid w:val="00CD5BC5"/>
    <w:rPr>
      <w:b/>
      <w:bCs/>
      <w:lang w:val="fr-FR" w:eastAsia="en-US"/>
    </w:rPr>
  </w:style>
  <w:style w:type="paragraph" w:customStyle="1" w:styleId="TableTitle">
    <w:name w:val="Table Title"/>
    <w:basedOn w:val="Normal"/>
    <w:rsid w:val="009A5C2C"/>
    <w:pPr>
      <w:spacing w:after="0"/>
      <w:jc w:val="center"/>
    </w:pPr>
    <w:rPr>
      <w:rFonts w:ascii="Calibri" w:hAnsi="Calibri"/>
      <w:b/>
      <w:bCs/>
      <w:sz w:val="22"/>
      <w:lang w:eastAsia="en-GB"/>
    </w:rPr>
  </w:style>
  <w:style w:type="paragraph" w:customStyle="1" w:styleId="NormalLeftCol">
    <w:name w:val="Normal LeftCol"/>
    <w:basedOn w:val="Normal"/>
    <w:locked/>
    <w:rsid w:val="009A5C2C"/>
    <w:pPr>
      <w:pBdr>
        <w:bottom w:val="single" w:sz="6" w:space="1" w:color="auto"/>
        <w:right w:val="single" w:sz="6" w:space="1" w:color="auto"/>
      </w:pBdr>
      <w:shd w:val="pct10" w:color="auto" w:fill="auto"/>
      <w:overflowPunct w:val="0"/>
      <w:autoSpaceDE w:val="0"/>
      <w:autoSpaceDN w:val="0"/>
      <w:adjustRightInd w:val="0"/>
      <w:spacing w:after="120" w:line="276" w:lineRule="auto"/>
      <w:jc w:val="right"/>
      <w:textAlignment w:val="baseline"/>
    </w:pPr>
    <w:rPr>
      <w:rFonts w:ascii="Calibri" w:hAnsi="Calibri"/>
      <w:noProof/>
      <w:sz w:val="22"/>
      <w:szCs w:val="22"/>
      <w:lang w:eastAsia="en-GB"/>
    </w:rPr>
  </w:style>
  <w:style w:type="paragraph" w:customStyle="1" w:styleId="Glossary">
    <w:name w:val="Glossary"/>
    <w:basedOn w:val="Normal"/>
    <w:locked/>
    <w:rsid w:val="009A5C2C"/>
    <w:pPr>
      <w:tabs>
        <w:tab w:val="left" w:pos="2835"/>
      </w:tabs>
      <w:spacing w:after="120" w:line="276" w:lineRule="auto"/>
      <w:ind w:left="2835" w:hanging="2835"/>
    </w:pPr>
    <w:rPr>
      <w:rFonts w:ascii="Calibri" w:hAnsi="Calibri"/>
      <w:sz w:val="22"/>
      <w:szCs w:val="22"/>
      <w:lang w:eastAsia="en-GB"/>
    </w:rPr>
  </w:style>
  <w:style w:type="paragraph" w:customStyle="1" w:styleId="Participants">
    <w:name w:val="Participants"/>
    <w:basedOn w:val="Normal"/>
    <w:next w:val="Copies"/>
    <w:locked/>
    <w:rsid w:val="009A5C2C"/>
    <w:pPr>
      <w:tabs>
        <w:tab w:val="left" w:pos="2512"/>
        <w:tab w:val="left" w:pos="2762"/>
        <w:tab w:val="left" w:pos="5642"/>
        <w:tab w:val="left" w:pos="6362"/>
        <w:tab w:val="left" w:pos="6720"/>
      </w:tabs>
      <w:spacing w:before="480" w:after="0" w:line="276" w:lineRule="auto"/>
      <w:ind w:left="1792" w:hanging="1792"/>
    </w:pPr>
    <w:rPr>
      <w:rFonts w:ascii="Calibri" w:hAnsi="Calibri"/>
      <w:sz w:val="22"/>
      <w:szCs w:val="22"/>
      <w:lang w:eastAsia="en-GB"/>
    </w:rPr>
  </w:style>
  <w:style w:type="paragraph" w:customStyle="1" w:styleId="Copies">
    <w:name w:val="Copies"/>
    <w:basedOn w:val="Normal"/>
    <w:next w:val="Normal"/>
    <w:locked/>
    <w:rsid w:val="009A5C2C"/>
    <w:pPr>
      <w:tabs>
        <w:tab w:val="left" w:pos="2512"/>
        <w:tab w:val="left" w:pos="2762"/>
        <w:tab w:val="left" w:pos="5642"/>
        <w:tab w:val="left" w:pos="6362"/>
        <w:tab w:val="left" w:pos="6720"/>
      </w:tabs>
      <w:spacing w:before="480" w:after="0" w:line="276" w:lineRule="auto"/>
      <w:ind w:left="1792" w:hanging="1792"/>
    </w:pPr>
    <w:rPr>
      <w:rFonts w:ascii="Calibri" w:hAnsi="Calibri"/>
      <w:sz w:val="22"/>
      <w:szCs w:val="22"/>
      <w:lang w:eastAsia="en-GB"/>
    </w:rPr>
  </w:style>
  <w:style w:type="paragraph" w:customStyle="1" w:styleId="FITTable">
    <w:name w:val="FIT Table"/>
    <w:basedOn w:val="Normal"/>
    <w:locked/>
    <w:rsid w:val="009A5C2C"/>
    <w:pPr>
      <w:spacing w:before="60" w:after="60" w:line="276" w:lineRule="auto"/>
    </w:pPr>
    <w:rPr>
      <w:rFonts w:ascii="Calibri" w:hAnsi="Calibri"/>
      <w:sz w:val="22"/>
      <w:szCs w:val="22"/>
      <w:lang w:eastAsia="en-GB"/>
    </w:rPr>
  </w:style>
  <w:style w:type="paragraph" w:customStyle="1" w:styleId="Disclaimer">
    <w:name w:val="Disclaimer"/>
    <w:basedOn w:val="Normal"/>
    <w:locked/>
    <w:rsid w:val="009A5C2C"/>
    <w:pPr>
      <w:keepLines/>
      <w:pBdr>
        <w:top w:val="single" w:sz="4" w:space="1" w:color="auto"/>
      </w:pBdr>
      <w:spacing w:before="480" w:after="0" w:line="276" w:lineRule="auto"/>
    </w:pPr>
    <w:rPr>
      <w:rFonts w:ascii="Calibri" w:hAnsi="Calibri"/>
      <w:i/>
      <w:sz w:val="22"/>
      <w:szCs w:val="22"/>
      <w:lang w:eastAsia="en-GB"/>
    </w:rPr>
  </w:style>
  <w:style w:type="paragraph" w:styleId="Prrafodelista">
    <w:name w:val="List Paragraph"/>
    <w:aliases w:val="List Paragraph 1,Llista Nivell1,Lista de nivel 1,Lettre d'introduction,Table of contents numbered,Paragraphe de liste PBLH,BULLET 1,List Bulletized,List Paragraph Char Char,Bullet Points,Liste Paragraf,Listenabsatz1,Elenco Bullet point"/>
    <w:basedOn w:val="Normal"/>
    <w:link w:val="PrrafodelistaCar"/>
    <w:uiPriority w:val="34"/>
    <w:qFormat/>
    <w:rsid w:val="008F22D3"/>
    <w:pPr>
      <w:spacing w:after="120" w:line="276" w:lineRule="auto"/>
      <w:ind w:left="709"/>
    </w:pPr>
    <w:rPr>
      <w:szCs w:val="22"/>
      <w:lang w:eastAsia="en-GB"/>
    </w:rPr>
  </w:style>
  <w:style w:type="character" w:customStyle="1" w:styleId="PrrafodelistaCar">
    <w:name w:val="Párrafo de lista Car"/>
    <w:aliases w:val="List Paragraph 1 Car,Llista Nivell1 Car,Lista de nivel 1 Car,Lettre d'introduction Car,Table of contents numbered Car,Paragraphe de liste PBLH Car,BULLET 1 Car,List Bulletized Car,List Paragraph Char Char Car,Bullet Points Car"/>
    <w:basedOn w:val="Fuentedeprrafopredeter"/>
    <w:link w:val="Prrafodelista"/>
    <w:uiPriority w:val="34"/>
    <w:locked/>
    <w:rsid w:val="008F22D3"/>
    <w:rPr>
      <w:rFonts w:ascii="Verdana" w:hAnsi="Verdana"/>
      <w:szCs w:val="22"/>
      <w:lang w:val="en-GB" w:eastAsia="en-GB"/>
    </w:rPr>
  </w:style>
  <w:style w:type="character" w:styleId="Nmerodepgina">
    <w:name w:val="page number"/>
    <w:basedOn w:val="Fuentedeprrafopredeter"/>
    <w:rsid w:val="009A5C2C"/>
  </w:style>
  <w:style w:type="character" w:styleId="Textoennegrita">
    <w:name w:val="Strong"/>
    <w:basedOn w:val="Fuentedeprrafopredeter"/>
    <w:uiPriority w:val="22"/>
    <w:qFormat/>
    <w:rsid w:val="009A5C2C"/>
    <w:rPr>
      <w:b/>
    </w:rPr>
  </w:style>
  <w:style w:type="paragraph" w:customStyle="1" w:styleId="Heading1Annex">
    <w:name w:val="Heading 1 Annex"/>
    <w:basedOn w:val="Ttulo1"/>
    <w:next w:val="Normal"/>
    <w:rsid w:val="009A5C2C"/>
    <w:pPr>
      <w:keepLines/>
      <w:pageBreakBefore/>
      <w:numPr>
        <w:numId w:val="0"/>
      </w:numPr>
      <w:overflowPunct w:val="0"/>
      <w:autoSpaceDE w:val="0"/>
      <w:autoSpaceDN w:val="0"/>
      <w:adjustRightInd w:val="0"/>
      <w:spacing w:after="120" w:line="276" w:lineRule="auto"/>
      <w:textAlignment w:val="baseline"/>
    </w:pPr>
    <w:rPr>
      <w:rFonts w:ascii="Calibri" w:hAnsi="Calibri"/>
      <w:noProof/>
      <w:color w:val="003399"/>
      <w:sz w:val="36"/>
      <w:szCs w:val="22"/>
      <w:lang w:eastAsia="en-GB"/>
    </w:rPr>
  </w:style>
  <w:style w:type="paragraph" w:customStyle="1" w:styleId="HistoryTable">
    <w:name w:val="HistoryTable"/>
    <w:basedOn w:val="Normal"/>
    <w:locked/>
    <w:rsid w:val="009A5C2C"/>
    <w:pPr>
      <w:spacing w:before="60" w:after="60" w:line="276" w:lineRule="auto"/>
    </w:pPr>
    <w:rPr>
      <w:rFonts w:ascii="Calibri" w:hAnsi="Calibri"/>
      <w:szCs w:val="22"/>
      <w:lang w:eastAsia="fr-FR"/>
    </w:rPr>
  </w:style>
  <w:style w:type="character" w:styleId="nfasis">
    <w:name w:val="Emphasis"/>
    <w:basedOn w:val="Fuentedeprrafopredeter"/>
    <w:qFormat/>
    <w:rsid w:val="009A5C2C"/>
    <w:rPr>
      <w:i/>
    </w:rPr>
  </w:style>
  <w:style w:type="character" w:styleId="Refdenotaalfinal">
    <w:name w:val="endnote reference"/>
    <w:basedOn w:val="Fuentedeprrafopredeter"/>
    <w:semiHidden/>
    <w:rsid w:val="009A5C2C"/>
    <w:rPr>
      <w:vertAlign w:val="superscript"/>
    </w:rPr>
  </w:style>
  <w:style w:type="character" w:styleId="Hipervnculovisitado">
    <w:name w:val="FollowedHyperlink"/>
    <w:basedOn w:val="Fuentedeprrafopredeter"/>
    <w:rsid w:val="009A5C2C"/>
    <w:rPr>
      <w:color w:val="800080"/>
      <w:u w:val="single"/>
    </w:rPr>
  </w:style>
  <w:style w:type="character" w:styleId="Nmerodelnea">
    <w:name w:val="line number"/>
    <w:basedOn w:val="Fuentedeprrafopredeter"/>
    <w:rsid w:val="009A5C2C"/>
  </w:style>
  <w:style w:type="paragraph" w:customStyle="1" w:styleId="FooterLine">
    <w:name w:val="FooterLine"/>
    <w:basedOn w:val="Piedepgina"/>
    <w:next w:val="Piedepgina"/>
    <w:rsid w:val="009A5C2C"/>
    <w:pPr>
      <w:pBdr>
        <w:top w:val="single" w:sz="4" w:space="1" w:color="auto"/>
      </w:pBdr>
      <w:tabs>
        <w:tab w:val="right" w:pos="8647"/>
      </w:tabs>
      <w:spacing w:before="120" w:line="276" w:lineRule="auto"/>
      <w:ind w:right="0"/>
      <w:jc w:val="both"/>
    </w:pPr>
    <w:rPr>
      <w:szCs w:val="22"/>
      <w:lang w:val="fi-FI" w:eastAsia="en-GB"/>
    </w:rPr>
  </w:style>
  <w:style w:type="paragraph" w:customStyle="1" w:styleId="Citation">
    <w:name w:val="Citation"/>
    <w:basedOn w:val="Normal"/>
    <w:locked/>
    <w:rsid w:val="009A5C2C"/>
    <w:pPr>
      <w:spacing w:before="60" w:after="60" w:line="240" w:lineRule="atLeast"/>
      <w:ind w:left="454" w:right="454"/>
    </w:pPr>
    <w:rPr>
      <w:rFonts w:ascii="Calibri" w:hAnsi="Calibri"/>
      <w:i/>
      <w:sz w:val="22"/>
      <w:szCs w:val="22"/>
      <w:lang w:eastAsia="en-GB"/>
    </w:rPr>
  </w:style>
  <w:style w:type="paragraph" w:customStyle="1" w:styleId="brol">
    <w:name w:val="brol"/>
    <w:basedOn w:val="Normal"/>
    <w:next w:val="Listaconvietas2"/>
    <w:qFormat/>
    <w:locked/>
    <w:rsid w:val="009A5C2C"/>
    <w:pPr>
      <w:numPr>
        <w:numId w:val="25"/>
      </w:numPr>
      <w:spacing w:after="120" w:line="276" w:lineRule="auto"/>
      <w:ind w:left="992" w:hanging="357"/>
    </w:pPr>
    <w:rPr>
      <w:rFonts w:ascii="Calibri" w:hAnsi="Calibri"/>
      <w:sz w:val="22"/>
      <w:szCs w:val="22"/>
      <w:lang w:eastAsia="en-GB"/>
    </w:rPr>
  </w:style>
  <w:style w:type="paragraph" w:customStyle="1" w:styleId="brol3">
    <w:name w:val="brol3"/>
    <w:basedOn w:val="Listaconvietas2"/>
    <w:next w:val="Listaconvietas3"/>
    <w:qFormat/>
    <w:locked/>
    <w:rsid w:val="009A5C2C"/>
    <w:pPr>
      <w:numPr>
        <w:numId w:val="26"/>
      </w:numPr>
      <w:spacing w:after="120" w:line="276" w:lineRule="auto"/>
      <w:ind w:left="1560"/>
    </w:pPr>
    <w:rPr>
      <w:rFonts w:ascii="Calibri" w:hAnsi="Calibri"/>
      <w:sz w:val="22"/>
      <w:szCs w:val="22"/>
      <w:lang w:eastAsia="en-GB"/>
    </w:rPr>
  </w:style>
  <w:style w:type="paragraph" w:customStyle="1" w:styleId="Tabletext">
    <w:name w:val="Tabletext"/>
    <w:basedOn w:val="Normal"/>
    <w:locked/>
    <w:rsid w:val="009A5C2C"/>
    <w:pPr>
      <w:keepLines/>
      <w:widowControl w:val="0"/>
      <w:spacing w:after="120" w:line="240" w:lineRule="atLeast"/>
    </w:pPr>
    <w:rPr>
      <w:rFonts w:ascii="Calibri" w:hAnsi="Calibri"/>
      <w:szCs w:val="22"/>
      <w:lang w:val="en-US" w:eastAsia="en-GB"/>
    </w:rPr>
  </w:style>
  <w:style w:type="paragraph" w:customStyle="1" w:styleId="MainTitle">
    <w:name w:val="Main Title"/>
    <w:basedOn w:val="Normal"/>
    <w:locked/>
    <w:rsid w:val="009A5C2C"/>
    <w:pPr>
      <w:widowControl w:val="0"/>
      <w:spacing w:before="480" w:after="60" w:line="276" w:lineRule="auto"/>
      <w:jc w:val="center"/>
    </w:pPr>
    <w:rPr>
      <w:rFonts w:ascii="Arial" w:hAnsi="Arial"/>
      <w:b/>
      <w:kern w:val="28"/>
      <w:sz w:val="32"/>
      <w:szCs w:val="22"/>
      <w:lang w:val="en-US" w:eastAsia="en-GB"/>
    </w:rPr>
  </w:style>
  <w:style w:type="paragraph" w:customStyle="1" w:styleId="TableText0">
    <w:name w:val="Table Text"/>
    <w:basedOn w:val="Textoindependiente"/>
    <w:locked/>
    <w:rsid w:val="009A5C2C"/>
    <w:pPr>
      <w:overflowPunct w:val="0"/>
      <w:autoSpaceDE w:val="0"/>
      <w:autoSpaceDN w:val="0"/>
      <w:adjustRightInd w:val="0"/>
      <w:spacing w:after="0" w:line="276" w:lineRule="auto"/>
      <w:ind w:left="28" w:right="28"/>
    </w:pPr>
    <w:rPr>
      <w:rFonts w:ascii="Arial" w:hAnsi="Arial"/>
      <w:szCs w:val="22"/>
      <w:lang w:val="en-US" w:eastAsia="en-GB"/>
    </w:rPr>
  </w:style>
  <w:style w:type="character" w:customStyle="1" w:styleId="InfoBlueChar">
    <w:name w:val="InfoBlue Char"/>
    <w:basedOn w:val="Fuentedeprrafopredeter"/>
    <w:link w:val="InfoBlue"/>
    <w:locked/>
    <w:rsid w:val="009A5C2C"/>
    <w:rPr>
      <w:i/>
      <w:iCs/>
      <w:vanish/>
      <w:color w:val="0000FF"/>
      <w:shd w:val="pct15" w:color="auto" w:fill="auto"/>
      <w:lang w:val="en-GB" w:eastAsia="en-US"/>
    </w:rPr>
  </w:style>
  <w:style w:type="paragraph" w:customStyle="1" w:styleId="InfoBlue">
    <w:name w:val="InfoBlue"/>
    <w:basedOn w:val="Normal"/>
    <w:next w:val="Textoindependiente"/>
    <w:link w:val="InfoBlueChar"/>
    <w:autoRedefine/>
    <w:locked/>
    <w:rsid w:val="009A5C2C"/>
    <w:pPr>
      <w:widowControl w:val="0"/>
      <w:pBdr>
        <w:top w:val="single" w:sz="4" w:space="1" w:color="auto"/>
        <w:left w:val="single" w:sz="4" w:space="19" w:color="auto"/>
        <w:bottom w:val="single" w:sz="4" w:space="1" w:color="auto"/>
        <w:right w:val="single" w:sz="4" w:space="4" w:color="auto"/>
      </w:pBdr>
      <w:shd w:val="pct15" w:color="auto" w:fill="auto"/>
      <w:spacing w:before="120" w:after="120" w:line="240" w:lineRule="atLeast"/>
      <w:ind w:left="284"/>
      <w:contextualSpacing/>
    </w:pPr>
    <w:rPr>
      <w:i/>
      <w:iCs/>
      <w:vanish/>
      <w:color w:val="0000FF"/>
    </w:rPr>
  </w:style>
  <w:style w:type="paragraph" w:customStyle="1" w:styleId="DefaultText">
    <w:name w:val="Default Text"/>
    <w:basedOn w:val="Normal"/>
    <w:locked/>
    <w:rsid w:val="009A5C2C"/>
    <w:pPr>
      <w:autoSpaceDE w:val="0"/>
      <w:autoSpaceDN w:val="0"/>
      <w:adjustRightInd w:val="0"/>
      <w:spacing w:before="60" w:after="60" w:line="276" w:lineRule="auto"/>
    </w:pPr>
    <w:rPr>
      <w:rFonts w:ascii="Arial" w:hAnsi="Arial"/>
      <w:noProof/>
      <w:szCs w:val="22"/>
      <w:lang w:val="en-US" w:eastAsia="en-GB"/>
    </w:rPr>
  </w:style>
  <w:style w:type="paragraph" w:customStyle="1" w:styleId="ItalicizedTableText">
    <w:name w:val="Italicized Table Text"/>
    <w:basedOn w:val="Normal"/>
    <w:locked/>
    <w:rsid w:val="009A5C2C"/>
    <w:pPr>
      <w:widowControl w:val="0"/>
      <w:autoSpaceDE w:val="0"/>
      <w:autoSpaceDN w:val="0"/>
      <w:adjustRightInd w:val="0"/>
      <w:spacing w:after="0" w:line="276" w:lineRule="auto"/>
    </w:pPr>
    <w:rPr>
      <w:rFonts w:ascii="Arial" w:hAnsi="Arial" w:cs="Arial"/>
      <w:i/>
      <w:iCs/>
      <w:szCs w:val="22"/>
      <w:lang w:val="en-US" w:eastAsia="en-GB"/>
    </w:rPr>
  </w:style>
  <w:style w:type="paragraph" w:customStyle="1" w:styleId="TableHeading">
    <w:name w:val="Table Heading"/>
    <w:basedOn w:val="Normal"/>
    <w:locked/>
    <w:rsid w:val="009A5C2C"/>
    <w:pPr>
      <w:widowControl w:val="0"/>
      <w:autoSpaceDE w:val="0"/>
      <w:autoSpaceDN w:val="0"/>
      <w:adjustRightInd w:val="0"/>
      <w:spacing w:after="0" w:line="276" w:lineRule="auto"/>
    </w:pPr>
    <w:rPr>
      <w:rFonts w:ascii="Arial" w:hAnsi="Arial" w:cs="Arial"/>
      <w:b/>
      <w:bCs/>
      <w:szCs w:val="22"/>
      <w:lang w:val="en-US" w:eastAsia="en-GB"/>
    </w:rPr>
  </w:style>
  <w:style w:type="paragraph" w:customStyle="1" w:styleId="Paragraph2">
    <w:name w:val="Paragraph2"/>
    <w:basedOn w:val="Normal"/>
    <w:locked/>
    <w:rsid w:val="009A5C2C"/>
    <w:pPr>
      <w:widowControl w:val="0"/>
      <w:spacing w:before="80" w:after="0" w:line="240" w:lineRule="atLeast"/>
      <w:ind w:left="720"/>
    </w:pPr>
    <w:rPr>
      <w:rFonts w:ascii="Calibri" w:hAnsi="Calibri"/>
      <w:color w:val="000000"/>
      <w:szCs w:val="22"/>
      <w:lang w:val="en-AU" w:eastAsia="en-GB"/>
    </w:rPr>
  </w:style>
  <w:style w:type="paragraph" w:customStyle="1" w:styleId="ItalicizedText">
    <w:name w:val="Italicized Text"/>
    <w:basedOn w:val="Normal"/>
    <w:locked/>
    <w:rsid w:val="009A5C2C"/>
    <w:pPr>
      <w:keepLines/>
      <w:widowControl w:val="0"/>
      <w:autoSpaceDE w:val="0"/>
      <w:autoSpaceDN w:val="0"/>
      <w:adjustRightInd w:val="0"/>
      <w:spacing w:after="100" w:line="276" w:lineRule="auto"/>
    </w:pPr>
    <w:rPr>
      <w:rFonts w:ascii="Arial" w:hAnsi="Arial" w:cs="Arial"/>
      <w:i/>
      <w:iCs/>
      <w:szCs w:val="22"/>
      <w:lang w:val="en-US" w:eastAsia="en-GB"/>
    </w:rPr>
  </w:style>
  <w:style w:type="paragraph" w:customStyle="1" w:styleId="StyleinfoblueLeft0cm">
    <w:name w:val="Style infoblue + Left:  0 cm"/>
    <w:basedOn w:val="Normal"/>
    <w:locked/>
    <w:rsid w:val="009A5C2C"/>
    <w:pPr>
      <w:spacing w:after="120" w:line="240" w:lineRule="atLeast"/>
    </w:pPr>
    <w:rPr>
      <w:rFonts w:ascii="Calibri" w:hAnsi="Calibri"/>
      <w:i/>
      <w:iCs/>
      <w:color w:val="0000FF"/>
      <w:szCs w:val="22"/>
      <w:lang w:val="fr-BE" w:eastAsia="zh-CN"/>
    </w:rPr>
  </w:style>
  <w:style w:type="paragraph" w:customStyle="1" w:styleId="StyleBodyText10ptItalicBlue">
    <w:name w:val="Style Body Text + 10 pt Italic Blue"/>
    <w:basedOn w:val="Textoindependiente"/>
    <w:locked/>
    <w:rsid w:val="009A5C2C"/>
    <w:pPr>
      <w:spacing w:line="276" w:lineRule="auto"/>
    </w:pPr>
    <w:rPr>
      <w:rFonts w:ascii="Calibri" w:hAnsi="Calibri"/>
      <w:i/>
      <w:iCs/>
      <w:color w:val="0000FF"/>
      <w:szCs w:val="22"/>
      <w:lang w:eastAsia="en-GB"/>
    </w:rPr>
  </w:style>
  <w:style w:type="character" w:styleId="Textodelmarcadordeposicin">
    <w:name w:val="Placeholder Text"/>
    <w:uiPriority w:val="99"/>
    <w:semiHidden/>
    <w:rsid w:val="009A5C2C"/>
    <w:rPr>
      <w:color w:val="808080"/>
    </w:rPr>
  </w:style>
  <w:style w:type="paragraph" w:customStyle="1" w:styleId="StyleStyleHeading212ptJustified">
    <w:name w:val="Style Style Heading 2 + 12 pt + Justified"/>
    <w:basedOn w:val="Normal"/>
    <w:uiPriority w:val="99"/>
    <w:locked/>
    <w:rsid w:val="009A5C2C"/>
    <w:pPr>
      <w:keepNext/>
      <w:numPr>
        <w:ilvl w:val="1"/>
        <w:numId w:val="22"/>
      </w:numPr>
      <w:spacing w:before="240" w:after="60" w:line="276" w:lineRule="auto"/>
      <w:outlineLvl w:val="1"/>
    </w:pPr>
    <w:rPr>
      <w:rFonts w:ascii="Arial" w:eastAsia="PMingLiU" w:hAnsi="Arial" w:cs="Arial"/>
      <w:b/>
      <w:bCs/>
      <w:szCs w:val="22"/>
      <w:lang w:eastAsia="en-GB"/>
    </w:rPr>
  </w:style>
  <w:style w:type="paragraph" w:customStyle="1" w:styleId="Style2">
    <w:name w:val="Style2"/>
    <w:basedOn w:val="ListNumber1Level2"/>
    <w:next w:val="ListNumber1Level3"/>
    <w:qFormat/>
    <w:locked/>
    <w:rsid w:val="009A5C2C"/>
    <w:pPr>
      <w:numPr>
        <w:ilvl w:val="0"/>
        <w:numId w:val="27"/>
      </w:numPr>
      <w:spacing w:after="120" w:line="276" w:lineRule="auto"/>
      <w:ind w:left="1378" w:hanging="357"/>
    </w:pPr>
    <w:rPr>
      <w:rFonts w:ascii="Calibri" w:hAnsi="Calibri"/>
      <w:sz w:val="22"/>
      <w:szCs w:val="22"/>
      <w:lang w:eastAsia="en-GB"/>
    </w:rPr>
  </w:style>
  <w:style w:type="paragraph" w:customStyle="1" w:styleId="Numbering-alphabets-indented">
    <w:name w:val="Numbering - alphabets - indented"/>
    <w:basedOn w:val="Normal"/>
    <w:uiPriority w:val="99"/>
    <w:locked/>
    <w:rsid w:val="009A5C2C"/>
    <w:pPr>
      <w:numPr>
        <w:numId w:val="23"/>
      </w:numPr>
      <w:spacing w:after="60" w:line="276" w:lineRule="auto"/>
    </w:pPr>
    <w:rPr>
      <w:rFonts w:ascii="Calibri" w:hAnsi="Calibri"/>
      <w:sz w:val="21"/>
      <w:szCs w:val="22"/>
      <w:lang w:eastAsia="en-GB"/>
    </w:rPr>
  </w:style>
  <w:style w:type="paragraph" w:customStyle="1" w:styleId="PM2-Body">
    <w:name w:val="PM2-Body"/>
    <w:basedOn w:val="Normal"/>
    <w:qFormat/>
    <w:locked/>
    <w:rsid w:val="009A5C2C"/>
    <w:pPr>
      <w:spacing w:before="40" w:after="100" w:line="276" w:lineRule="auto"/>
    </w:pPr>
    <w:rPr>
      <w:rFonts w:asciiTheme="minorHAnsi" w:eastAsia="PMingLiU" w:hAnsiTheme="minorHAnsi" w:cstheme="minorHAnsi"/>
      <w:sz w:val="21"/>
      <w:szCs w:val="22"/>
      <w:lang w:val="en-CA" w:eastAsia="en-GB"/>
    </w:rPr>
  </w:style>
  <w:style w:type="paragraph" w:customStyle="1" w:styleId="PM2-Heading2MidText">
    <w:name w:val="PM2-Heading2+MidText"/>
    <w:basedOn w:val="Normal"/>
    <w:qFormat/>
    <w:locked/>
    <w:rsid w:val="009A5C2C"/>
    <w:pPr>
      <w:keepNext/>
      <w:tabs>
        <w:tab w:val="num" w:pos="1492"/>
      </w:tabs>
      <w:spacing w:before="120" w:after="20" w:line="276" w:lineRule="auto"/>
      <w:ind w:left="1492" w:hanging="360"/>
      <w:outlineLvl w:val="1"/>
    </w:pPr>
    <w:rPr>
      <w:rFonts w:ascii="Calibri" w:eastAsia="PMingLiU" w:hAnsi="Calibri" w:cs="Arial"/>
      <w:b/>
      <w:bCs/>
      <w:color w:val="000000" w:themeColor="text1"/>
      <w:sz w:val="25"/>
      <w:szCs w:val="22"/>
      <w:lang w:eastAsia="en-GB"/>
    </w:rPr>
  </w:style>
  <w:style w:type="paragraph" w:styleId="Revisin">
    <w:name w:val="Revision"/>
    <w:hidden/>
    <w:uiPriority w:val="99"/>
    <w:semiHidden/>
    <w:rsid w:val="009A5C2C"/>
    <w:pPr>
      <w:spacing w:after="120" w:line="276" w:lineRule="auto"/>
    </w:pPr>
    <w:rPr>
      <w:rFonts w:ascii="Calibri" w:hAnsi="Calibri"/>
      <w:sz w:val="22"/>
      <w:szCs w:val="22"/>
      <w:lang w:val="en-GB" w:eastAsia="en-US"/>
    </w:rPr>
  </w:style>
  <w:style w:type="paragraph" w:customStyle="1" w:styleId="PM2-BulletList">
    <w:name w:val="PM2-BulletList"/>
    <w:basedOn w:val="Normal"/>
    <w:qFormat/>
    <w:locked/>
    <w:rsid w:val="009A5C2C"/>
    <w:pPr>
      <w:numPr>
        <w:numId w:val="24"/>
      </w:numPr>
      <w:spacing w:after="0" w:line="276" w:lineRule="auto"/>
    </w:pPr>
    <w:rPr>
      <w:rFonts w:asciiTheme="minorHAnsi" w:eastAsia="PMingLiU" w:hAnsiTheme="minorHAnsi" w:cstheme="minorHAnsi"/>
      <w:sz w:val="21"/>
      <w:szCs w:val="22"/>
      <w:lang w:val="en-CA" w:eastAsia="en-GB"/>
    </w:rPr>
  </w:style>
  <w:style w:type="paragraph" w:customStyle="1" w:styleId="PM2-NoHeadingBold">
    <w:name w:val="PM2-NoHeadingBold"/>
    <w:basedOn w:val="Normal"/>
    <w:qFormat/>
    <w:locked/>
    <w:rsid w:val="009A5C2C"/>
    <w:pPr>
      <w:spacing w:before="80" w:after="0" w:line="276" w:lineRule="auto"/>
    </w:pPr>
    <w:rPr>
      <w:rFonts w:asciiTheme="minorHAnsi" w:eastAsia="PMingLiU" w:hAnsiTheme="minorHAnsi" w:cstheme="minorHAnsi"/>
      <w:b/>
      <w:sz w:val="21"/>
      <w:szCs w:val="24"/>
      <w:lang w:val="en-CA" w:eastAsia="en-GB"/>
    </w:rPr>
  </w:style>
  <w:style w:type="table" w:customStyle="1" w:styleId="TableGrid1">
    <w:name w:val="Table Grid1"/>
    <w:basedOn w:val="Tablanormal"/>
    <w:locked/>
    <w:rsid w:val="009A5C2C"/>
    <w:pPr>
      <w:spacing w:after="12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2-ListHeadingBold">
    <w:name w:val="PM2-ListHeadingBold"/>
    <w:basedOn w:val="Normal"/>
    <w:autoRedefine/>
    <w:qFormat/>
    <w:locked/>
    <w:rsid w:val="009A5C2C"/>
    <w:pPr>
      <w:spacing w:before="200" w:after="0" w:line="276" w:lineRule="auto"/>
    </w:pPr>
    <w:rPr>
      <w:rFonts w:asciiTheme="minorHAnsi" w:eastAsia="PMingLiU" w:hAnsiTheme="minorHAnsi"/>
      <w:b/>
      <w:sz w:val="21"/>
      <w:szCs w:val="24"/>
      <w:lang w:val="en-US" w:eastAsia="en-GB"/>
    </w:rPr>
  </w:style>
  <w:style w:type="paragraph" w:customStyle="1" w:styleId="infoblue0">
    <w:name w:val="infoblue"/>
    <w:basedOn w:val="Normal"/>
    <w:link w:val="infoblueChar0"/>
    <w:locked/>
    <w:rsid w:val="009A5C2C"/>
    <w:pPr>
      <w:spacing w:after="120" w:line="240" w:lineRule="atLeast"/>
      <w:ind w:left="720"/>
    </w:pPr>
    <w:rPr>
      <w:rFonts w:ascii="Calibri" w:eastAsia="SimSun" w:hAnsi="Calibri"/>
      <w:i/>
      <w:iCs/>
      <w:color w:val="0000FF"/>
      <w:szCs w:val="22"/>
      <w:lang w:val="fr-BE" w:eastAsia="zh-CN"/>
    </w:rPr>
  </w:style>
  <w:style w:type="character" w:customStyle="1" w:styleId="infoblueChar0">
    <w:name w:val="infoblue Char"/>
    <w:link w:val="infoblue0"/>
    <w:rsid w:val="009A5C2C"/>
    <w:rPr>
      <w:rFonts w:ascii="Calibri" w:eastAsia="SimSun" w:hAnsi="Calibri"/>
      <w:i/>
      <w:iCs/>
      <w:color w:val="0000FF"/>
      <w:sz w:val="24"/>
      <w:szCs w:val="22"/>
      <w:lang w:val="fr-BE" w:eastAsia="zh-CN"/>
    </w:rPr>
  </w:style>
  <w:style w:type="paragraph" w:customStyle="1" w:styleId="Guidance">
    <w:name w:val="Guidance"/>
    <w:basedOn w:val="infoblue0"/>
    <w:link w:val="GuidanceChar"/>
    <w:qFormat/>
    <w:locked/>
    <w:rsid w:val="009A5C2C"/>
    <w:rPr>
      <w:rFonts w:ascii="Arial" w:hAnsi="Arial" w:cs="Arial"/>
      <w:color w:val="7F7F7F"/>
    </w:rPr>
  </w:style>
  <w:style w:type="character" w:customStyle="1" w:styleId="GuidanceChar">
    <w:name w:val="Guidance Char"/>
    <w:link w:val="Guidance"/>
    <w:locked/>
    <w:rsid w:val="009A5C2C"/>
    <w:rPr>
      <w:rFonts w:ascii="Arial" w:eastAsia="SimSun" w:hAnsi="Arial" w:cs="Arial"/>
      <w:i/>
      <w:iCs/>
      <w:color w:val="7F7F7F"/>
      <w:sz w:val="24"/>
      <w:szCs w:val="22"/>
      <w:lang w:val="fr-BE" w:eastAsia="zh-CN"/>
    </w:rPr>
  </w:style>
  <w:style w:type="character" w:customStyle="1" w:styleId="WW8Num33z1">
    <w:name w:val="WW8Num33z1"/>
    <w:uiPriority w:val="99"/>
    <w:locked/>
    <w:rsid w:val="009A5C2C"/>
    <w:rPr>
      <w:rFonts w:ascii="Courier New" w:hAnsi="Courier New"/>
    </w:rPr>
  </w:style>
  <w:style w:type="paragraph" w:customStyle="1" w:styleId="TableContent">
    <w:name w:val="Table Content"/>
    <w:basedOn w:val="Normal"/>
    <w:qFormat/>
    <w:rsid w:val="009A5C2C"/>
    <w:pPr>
      <w:spacing w:after="60"/>
    </w:pPr>
    <w:rPr>
      <w:rFonts w:ascii="Calibri" w:hAnsi="Calibri"/>
      <w:sz w:val="22"/>
      <w:szCs w:val="22"/>
    </w:rPr>
  </w:style>
  <w:style w:type="paragraph" w:customStyle="1" w:styleId="Style3">
    <w:name w:val="Style3"/>
    <w:basedOn w:val="Normal"/>
    <w:next w:val="Descripcin"/>
    <w:qFormat/>
    <w:locked/>
    <w:rsid w:val="009A5C2C"/>
    <w:pPr>
      <w:spacing w:after="120" w:line="276" w:lineRule="auto"/>
    </w:pPr>
    <w:rPr>
      <w:rFonts w:ascii="Calibri" w:hAnsi="Calibri"/>
      <w:sz w:val="22"/>
      <w:szCs w:val="22"/>
      <w:lang w:eastAsia="en-GB"/>
    </w:rPr>
  </w:style>
  <w:style w:type="paragraph" w:styleId="Bibliografa">
    <w:name w:val="Bibliography"/>
    <w:basedOn w:val="Normal"/>
    <w:next w:val="Normal"/>
    <w:uiPriority w:val="37"/>
    <w:unhideWhenUsed/>
    <w:rsid w:val="009A5C2C"/>
    <w:pPr>
      <w:spacing w:after="120" w:line="276" w:lineRule="auto"/>
      <w:ind w:left="680" w:hanging="680"/>
    </w:pPr>
    <w:rPr>
      <w:rFonts w:ascii="Calibri" w:hAnsi="Calibri"/>
      <w:sz w:val="22"/>
      <w:szCs w:val="22"/>
      <w:lang w:eastAsia="en-GB"/>
    </w:rPr>
  </w:style>
  <w:style w:type="table" w:customStyle="1" w:styleId="GridTable4-Accent11">
    <w:name w:val="Grid Table 4 - Accent 11"/>
    <w:basedOn w:val="Tablanormal"/>
    <w:uiPriority w:val="49"/>
    <w:rsid w:val="009A5C2C"/>
    <w:rPr>
      <w:rFonts w:ascii="Calibri" w:hAnsi="Calibri"/>
      <w:sz w:val="22"/>
      <w:szCs w:val="22"/>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wCTableText">
    <w:name w:val="PwC Table Text"/>
    <w:basedOn w:val="Tablanormal"/>
    <w:uiPriority w:val="99"/>
    <w:qFormat/>
    <w:rsid w:val="00846ADB"/>
    <w:pPr>
      <w:spacing w:before="60" w:after="60"/>
    </w:pPr>
    <w:rPr>
      <w:rFonts w:ascii="Georgia" w:eastAsiaTheme="minorHAnsi" w:hAnsi="Georgia" w:cstheme="minorBidi"/>
      <w:lang w:val="en-GB" w:eastAsia="en-US"/>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Normalright">
    <w:name w:val="Normal right"/>
    <w:basedOn w:val="Normal"/>
    <w:qFormat/>
    <w:rsid w:val="00846ADB"/>
    <w:pPr>
      <w:tabs>
        <w:tab w:val="center" w:pos="4153"/>
        <w:tab w:val="right" w:pos="8306"/>
      </w:tabs>
      <w:spacing w:before="20" w:after="20"/>
      <w:jc w:val="right"/>
    </w:pPr>
    <w:rPr>
      <w:rFonts w:ascii="Arial Narrow" w:hAnsi="Arial Narrow"/>
      <w:lang w:val="en-US" w:eastAsia="fr-FR"/>
    </w:rPr>
  </w:style>
  <w:style w:type="paragraph" w:customStyle="1" w:styleId="StyleHeading3BodyCalibriNounderline">
    <w:name w:val="Style Heading 3 + +Body (Calibri) No underline"/>
    <w:basedOn w:val="Ttulo3"/>
    <w:rsid w:val="00846ADB"/>
    <w:pPr>
      <w:spacing w:before="60"/>
    </w:pPr>
    <w:rPr>
      <w:rFonts w:asciiTheme="minorHAnsi" w:hAnsiTheme="minorHAnsi"/>
      <w:b/>
      <w:iCs/>
      <w:color w:val="002060"/>
    </w:rPr>
  </w:style>
  <w:style w:type="paragraph" w:customStyle="1" w:styleId="StyleHeading1chapitreTitre11t1T1Titre1t1TITRE1SLVer">
    <w:name w:val="Style Heading 1chapitreTitre 11t1.T1.Titre 1t1TITRE 1 SL + Ver..."/>
    <w:basedOn w:val="Ttulo1"/>
    <w:rsid w:val="00DC3830"/>
    <w:pPr>
      <w:jc w:val="left"/>
    </w:pPr>
    <w:rPr>
      <w:bCs/>
      <w:sz w:val="22"/>
    </w:rPr>
  </w:style>
  <w:style w:type="paragraph" w:customStyle="1" w:styleId="CaptionFigures">
    <w:name w:val="Caption Figures"/>
    <w:basedOn w:val="Descripcin"/>
    <w:rsid w:val="00A80742"/>
    <w:pPr>
      <w:jc w:val="center"/>
    </w:pPr>
    <w:rPr>
      <w:bCs/>
      <w:sz w:val="18"/>
    </w:rPr>
  </w:style>
  <w:style w:type="paragraph" w:customStyle="1" w:styleId="StyleHeading2Niveau2H2paragraphet2h2Verdana11ptBefo">
    <w:name w:val="Style Heading 2Niveau 2H2paragraphet2h2 + Verdana 11 pt Befo..."/>
    <w:basedOn w:val="Ttulo2"/>
    <w:rsid w:val="002E729C"/>
    <w:pPr>
      <w:spacing w:after="120" w:line="276" w:lineRule="auto"/>
    </w:pPr>
    <w:rPr>
      <w:bCs/>
      <w:color w:val="003399"/>
      <w:sz w:val="22"/>
    </w:rPr>
  </w:style>
  <w:style w:type="paragraph" w:customStyle="1" w:styleId="StyleHeading3CustomColorRGB051153Before6ptAfter">
    <w:name w:val="Style Heading 3 + Custom Color(RGB(051153)) Before:  6 pt After..."/>
    <w:basedOn w:val="Ttulo3"/>
    <w:rsid w:val="00501E75"/>
    <w:pPr>
      <w:ind w:left="1922"/>
    </w:pPr>
    <w:rPr>
      <w:iCs/>
    </w:rPr>
  </w:style>
  <w:style w:type="paragraph" w:customStyle="1" w:styleId="StyleHeading2Niveau2H2paragraphet2h2CustomColorRGB05">
    <w:name w:val="Style Heading 2Niveau 2H2paragraphet2h2 + Custom Color(RGB(05..."/>
    <w:basedOn w:val="Ttulo2"/>
    <w:rsid w:val="00176642"/>
    <w:pPr>
      <w:spacing w:after="120" w:line="276" w:lineRule="auto"/>
    </w:pPr>
    <w:rPr>
      <w:bCs/>
      <w:color w:val="003399"/>
      <w:sz w:val="24"/>
    </w:rPr>
  </w:style>
  <w:style w:type="table" w:customStyle="1" w:styleId="DocumentTable1">
    <w:name w:val="Document Table1"/>
    <w:basedOn w:val="Tablanormal"/>
    <w:next w:val="Tablaconcuadrcula"/>
    <w:rsid w:val="00AB67F0"/>
    <w:pPr>
      <w:spacing w:after="12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2">
    <w:name w:val="Document Table2"/>
    <w:basedOn w:val="Tablanormal"/>
    <w:next w:val="Tablaconcuadrcula"/>
    <w:rsid w:val="00E332AB"/>
    <w:pPr>
      <w:spacing w:after="12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0A3E8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0A3E8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2901D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2901D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0A606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s">
    <w:name w:val="Bullets"/>
    <w:basedOn w:val="Normal"/>
    <w:link w:val="BulletsCar"/>
    <w:qFormat/>
    <w:rsid w:val="006450A2"/>
    <w:pPr>
      <w:numPr>
        <w:numId w:val="29"/>
      </w:numPr>
      <w:spacing w:before="120" w:after="0"/>
    </w:pPr>
    <w:rPr>
      <w:rFonts w:ascii="Arial" w:hAnsi="Arial"/>
      <w:noProof/>
      <w:sz w:val="22"/>
      <w:szCs w:val="24"/>
      <w:lang w:val="es-ES" w:eastAsia="es-ES"/>
    </w:rPr>
  </w:style>
  <w:style w:type="character" w:customStyle="1" w:styleId="BulletsCar">
    <w:name w:val="Bullets Car"/>
    <w:link w:val="Bullets"/>
    <w:rsid w:val="006450A2"/>
    <w:rPr>
      <w:rFonts w:ascii="Arial" w:hAnsi="Arial"/>
      <w:noProof/>
      <w:sz w:val="22"/>
      <w:szCs w:val="24"/>
      <w:lang w:val="es-ES" w:eastAsia="es-ES"/>
    </w:rPr>
  </w:style>
  <w:style w:type="table" w:styleId="Listamedia2">
    <w:name w:val="Medium List 2"/>
    <w:basedOn w:val="Tablanormal"/>
    <w:uiPriority w:val="66"/>
    <w:rsid w:val="009A553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3F344B"/>
    <w:pPr>
      <w:spacing w:before="100" w:beforeAutospacing="1" w:after="100" w:afterAutospacing="1"/>
      <w:jc w:val="left"/>
    </w:pPr>
    <w:rPr>
      <w:rFonts w:ascii="Times New Roman" w:eastAsiaTheme="minorEastAsia" w:hAnsi="Times New Roman"/>
      <w:sz w:val="24"/>
      <w:szCs w:val="24"/>
      <w:lang w:val="es-ES" w:eastAsia="es-ES"/>
    </w:rPr>
  </w:style>
  <w:style w:type="table" w:customStyle="1" w:styleId="Tablaconcuadrcula1">
    <w:name w:val="Tabla con cuadrícula1"/>
    <w:basedOn w:val="Tablanormal"/>
    <w:next w:val="Tablaconcuadrcula"/>
    <w:uiPriority w:val="59"/>
    <w:rsid w:val="00A71B5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7F38D2"/>
    <w:rPr>
      <w:rFonts w:ascii="Century Gothic" w:hAnsi="Century Gothic"/>
      <w:b/>
      <w:color w:val="003399"/>
      <w:lang w:val="en-GB" w:eastAsia="en-US"/>
    </w:rPr>
  </w:style>
  <w:style w:type="character" w:customStyle="1" w:styleId="apple-converted-space">
    <w:name w:val="apple-converted-space"/>
    <w:basedOn w:val="Fuentedeprrafopredeter"/>
    <w:rsid w:val="00F74542"/>
  </w:style>
  <w:style w:type="paragraph" w:customStyle="1" w:styleId="Descripcin1">
    <w:name w:val="Descripción1"/>
    <w:basedOn w:val="Descripcin"/>
    <w:link w:val="CaptionCar"/>
    <w:qFormat/>
    <w:rsid w:val="002A13F2"/>
    <w:pPr>
      <w:keepNext/>
      <w:spacing w:before="0" w:after="48"/>
    </w:pPr>
    <w:rPr>
      <w:rFonts w:ascii="Century Gothic" w:hAnsi="Century Gothic"/>
      <w:sz w:val="18"/>
      <w:lang w:val="es-ES"/>
    </w:rPr>
  </w:style>
  <w:style w:type="character" w:customStyle="1" w:styleId="CaptionCar">
    <w:name w:val="Caption Car"/>
    <w:basedOn w:val="DescripcinCar"/>
    <w:link w:val="Descripcin1"/>
    <w:rsid w:val="002A13F2"/>
    <w:rPr>
      <w:rFonts w:ascii="Century Gothic" w:hAnsi="Century Gothic"/>
      <w:b/>
      <w:sz w:val="18"/>
      <w:lang w:val="es-ES" w:eastAsia="en-US"/>
    </w:rPr>
  </w:style>
  <w:style w:type="table" w:styleId="Sombreadoclaro">
    <w:name w:val="Light Shading"/>
    <w:basedOn w:val="Tablanormal"/>
    <w:uiPriority w:val="60"/>
    <w:rsid w:val="003A2F5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5154">
      <w:bodyDiv w:val="1"/>
      <w:marLeft w:val="0"/>
      <w:marRight w:val="0"/>
      <w:marTop w:val="0"/>
      <w:marBottom w:val="0"/>
      <w:divBdr>
        <w:top w:val="none" w:sz="0" w:space="0" w:color="auto"/>
        <w:left w:val="none" w:sz="0" w:space="0" w:color="auto"/>
        <w:bottom w:val="none" w:sz="0" w:space="0" w:color="auto"/>
        <w:right w:val="none" w:sz="0" w:space="0" w:color="auto"/>
      </w:divBdr>
    </w:div>
    <w:div w:id="57827720">
      <w:bodyDiv w:val="1"/>
      <w:marLeft w:val="0"/>
      <w:marRight w:val="0"/>
      <w:marTop w:val="0"/>
      <w:marBottom w:val="0"/>
      <w:divBdr>
        <w:top w:val="none" w:sz="0" w:space="0" w:color="auto"/>
        <w:left w:val="none" w:sz="0" w:space="0" w:color="auto"/>
        <w:bottom w:val="none" w:sz="0" w:space="0" w:color="auto"/>
        <w:right w:val="none" w:sz="0" w:space="0" w:color="auto"/>
      </w:divBdr>
    </w:div>
    <w:div w:id="109591883">
      <w:bodyDiv w:val="1"/>
      <w:marLeft w:val="0"/>
      <w:marRight w:val="0"/>
      <w:marTop w:val="0"/>
      <w:marBottom w:val="0"/>
      <w:divBdr>
        <w:top w:val="none" w:sz="0" w:space="0" w:color="auto"/>
        <w:left w:val="none" w:sz="0" w:space="0" w:color="auto"/>
        <w:bottom w:val="none" w:sz="0" w:space="0" w:color="auto"/>
        <w:right w:val="none" w:sz="0" w:space="0" w:color="auto"/>
      </w:divBdr>
    </w:div>
    <w:div w:id="170728129">
      <w:bodyDiv w:val="1"/>
      <w:marLeft w:val="0"/>
      <w:marRight w:val="0"/>
      <w:marTop w:val="0"/>
      <w:marBottom w:val="0"/>
      <w:divBdr>
        <w:top w:val="none" w:sz="0" w:space="0" w:color="auto"/>
        <w:left w:val="none" w:sz="0" w:space="0" w:color="auto"/>
        <w:bottom w:val="none" w:sz="0" w:space="0" w:color="auto"/>
        <w:right w:val="none" w:sz="0" w:space="0" w:color="auto"/>
      </w:divBdr>
    </w:div>
    <w:div w:id="175849334">
      <w:bodyDiv w:val="1"/>
      <w:marLeft w:val="0"/>
      <w:marRight w:val="0"/>
      <w:marTop w:val="0"/>
      <w:marBottom w:val="0"/>
      <w:divBdr>
        <w:top w:val="none" w:sz="0" w:space="0" w:color="auto"/>
        <w:left w:val="none" w:sz="0" w:space="0" w:color="auto"/>
        <w:bottom w:val="none" w:sz="0" w:space="0" w:color="auto"/>
        <w:right w:val="none" w:sz="0" w:space="0" w:color="auto"/>
      </w:divBdr>
      <w:divsChild>
        <w:div w:id="21440658">
          <w:marLeft w:val="446"/>
          <w:marRight w:val="0"/>
          <w:marTop w:val="0"/>
          <w:marBottom w:val="0"/>
          <w:divBdr>
            <w:top w:val="none" w:sz="0" w:space="0" w:color="auto"/>
            <w:left w:val="none" w:sz="0" w:space="0" w:color="auto"/>
            <w:bottom w:val="none" w:sz="0" w:space="0" w:color="auto"/>
            <w:right w:val="none" w:sz="0" w:space="0" w:color="auto"/>
          </w:divBdr>
        </w:div>
        <w:div w:id="1025401355">
          <w:marLeft w:val="446"/>
          <w:marRight w:val="0"/>
          <w:marTop w:val="0"/>
          <w:marBottom w:val="0"/>
          <w:divBdr>
            <w:top w:val="none" w:sz="0" w:space="0" w:color="auto"/>
            <w:left w:val="none" w:sz="0" w:space="0" w:color="auto"/>
            <w:bottom w:val="none" w:sz="0" w:space="0" w:color="auto"/>
            <w:right w:val="none" w:sz="0" w:space="0" w:color="auto"/>
          </w:divBdr>
        </w:div>
        <w:div w:id="1564370271">
          <w:marLeft w:val="446"/>
          <w:marRight w:val="0"/>
          <w:marTop w:val="0"/>
          <w:marBottom w:val="0"/>
          <w:divBdr>
            <w:top w:val="none" w:sz="0" w:space="0" w:color="auto"/>
            <w:left w:val="none" w:sz="0" w:space="0" w:color="auto"/>
            <w:bottom w:val="none" w:sz="0" w:space="0" w:color="auto"/>
            <w:right w:val="none" w:sz="0" w:space="0" w:color="auto"/>
          </w:divBdr>
        </w:div>
        <w:div w:id="2028142751">
          <w:marLeft w:val="446"/>
          <w:marRight w:val="0"/>
          <w:marTop w:val="0"/>
          <w:marBottom w:val="0"/>
          <w:divBdr>
            <w:top w:val="none" w:sz="0" w:space="0" w:color="auto"/>
            <w:left w:val="none" w:sz="0" w:space="0" w:color="auto"/>
            <w:bottom w:val="none" w:sz="0" w:space="0" w:color="auto"/>
            <w:right w:val="none" w:sz="0" w:space="0" w:color="auto"/>
          </w:divBdr>
        </w:div>
        <w:div w:id="2125804396">
          <w:marLeft w:val="446"/>
          <w:marRight w:val="0"/>
          <w:marTop w:val="0"/>
          <w:marBottom w:val="0"/>
          <w:divBdr>
            <w:top w:val="none" w:sz="0" w:space="0" w:color="auto"/>
            <w:left w:val="none" w:sz="0" w:space="0" w:color="auto"/>
            <w:bottom w:val="none" w:sz="0" w:space="0" w:color="auto"/>
            <w:right w:val="none" w:sz="0" w:space="0" w:color="auto"/>
          </w:divBdr>
        </w:div>
      </w:divsChild>
    </w:div>
    <w:div w:id="177700031">
      <w:bodyDiv w:val="1"/>
      <w:marLeft w:val="0"/>
      <w:marRight w:val="0"/>
      <w:marTop w:val="0"/>
      <w:marBottom w:val="0"/>
      <w:divBdr>
        <w:top w:val="none" w:sz="0" w:space="0" w:color="auto"/>
        <w:left w:val="none" w:sz="0" w:space="0" w:color="auto"/>
        <w:bottom w:val="none" w:sz="0" w:space="0" w:color="auto"/>
        <w:right w:val="none" w:sz="0" w:space="0" w:color="auto"/>
      </w:divBdr>
    </w:div>
    <w:div w:id="178008408">
      <w:bodyDiv w:val="1"/>
      <w:marLeft w:val="0"/>
      <w:marRight w:val="0"/>
      <w:marTop w:val="0"/>
      <w:marBottom w:val="0"/>
      <w:divBdr>
        <w:top w:val="none" w:sz="0" w:space="0" w:color="auto"/>
        <w:left w:val="none" w:sz="0" w:space="0" w:color="auto"/>
        <w:bottom w:val="none" w:sz="0" w:space="0" w:color="auto"/>
        <w:right w:val="none" w:sz="0" w:space="0" w:color="auto"/>
      </w:divBdr>
      <w:divsChild>
        <w:div w:id="78869916">
          <w:marLeft w:val="0"/>
          <w:marRight w:val="0"/>
          <w:marTop w:val="0"/>
          <w:marBottom w:val="390"/>
          <w:divBdr>
            <w:top w:val="none" w:sz="0" w:space="0" w:color="auto"/>
            <w:left w:val="none" w:sz="0" w:space="0" w:color="auto"/>
            <w:bottom w:val="none" w:sz="0" w:space="0" w:color="auto"/>
            <w:right w:val="none" w:sz="0" w:space="0" w:color="auto"/>
          </w:divBdr>
          <w:divsChild>
            <w:div w:id="1295940503">
              <w:marLeft w:val="0"/>
              <w:marRight w:val="0"/>
              <w:marTop w:val="0"/>
              <w:marBottom w:val="0"/>
              <w:divBdr>
                <w:top w:val="none" w:sz="0" w:space="0" w:color="auto"/>
                <w:left w:val="none" w:sz="0" w:space="0" w:color="auto"/>
                <w:bottom w:val="none" w:sz="0" w:space="0" w:color="auto"/>
                <w:right w:val="none" w:sz="0" w:space="0" w:color="auto"/>
              </w:divBdr>
              <w:divsChild>
                <w:div w:id="4803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6554">
          <w:marLeft w:val="0"/>
          <w:marRight w:val="0"/>
          <w:marTop w:val="0"/>
          <w:marBottom w:val="390"/>
          <w:divBdr>
            <w:top w:val="none" w:sz="0" w:space="0" w:color="auto"/>
            <w:left w:val="none" w:sz="0" w:space="0" w:color="auto"/>
            <w:bottom w:val="none" w:sz="0" w:space="0" w:color="auto"/>
            <w:right w:val="none" w:sz="0" w:space="0" w:color="auto"/>
          </w:divBdr>
          <w:divsChild>
            <w:div w:id="1976519577">
              <w:marLeft w:val="0"/>
              <w:marRight w:val="0"/>
              <w:marTop w:val="0"/>
              <w:marBottom w:val="0"/>
              <w:divBdr>
                <w:top w:val="none" w:sz="0" w:space="0" w:color="auto"/>
                <w:left w:val="none" w:sz="0" w:space="0" w:color="auto"/>
                <w:bottom w:val="none" w:sz="0" w:space="0" w:color="auto"/>
                <w:right w:val="none" w:sz="0" w:space="0" w:color="auto"/>
              </w:divBdr>
              <w:divsChild>
                <w:div w:id="1473717517">
                  <w:marLeft w:val="0"/>
                  <w:marRight w:val="0"/>
                  <w:marTop w:val="0"/>
                  <w:marBottom w:val="0"/>
                  <w:divBdr>
                    <w:top w:val="none" w:sz="0" w:space="0" w:color="auto"/>
                    <w:left w:val="none" w:sz="0" w:space="0" w:color="auto"/>
                    <w:bottom w:val="none" w:sz="0" w:space="0" w:color="auto"/>
                    <w:right w:val="none" w:sz="0" w:space="0" w:color="auto"/>
                  </w:divBdr>
                  <w:divsChild>
                    <w:div w:id="875704629">
                      <w:marLeft w:val="0"/>
                      <w:marRight w:val="0"/>
                      <w:marTop w:val="0"/>
                      <w:marBottom w:val="0"/>
                      <w:divBdr>
                        <w:top w:val="none" w:sz="0" w:space="0" w:color="auto"/>
                        <w:left w:val="none" w:sz="0" w:space="0" w:color="auto"/>
                        <w:bottom w:val="none" w:sz="0" w:space="0" w:color="auto"/>
                        <w:right w:val="none" w:sz="0" w:space="0" w:color="auto"/>
                      </w:divBdr>
                      <w:divsChild>
                        <w:div w:id="6839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43133">
      <w:bodyDiv w:val="1"/>
      <w:marLeft w:val="0"/>
      <w:marRight w:val="0"/>
      <w:marTop w:val="0"/>
      <w:marBottom w:val="0"/>
      <w:divBdr>
        <w:top w:val="none" w:sz="0" w:space="0" w:color="auto"/>
        <w:left w:val="none" w:sz="0" w:space="0" w:color="auto"/>
        <w:bottom w:val="none" w:sz="0" w:space="0" w:color="auto"/>
        <w:right w:val="none" w:sz="0" w:space="0" w:color="auto"/>
      </w:divBdr>
    </w:div>
    <w:div w:id="199513375">
      <w:bodyDiv w:val="1"/>
      <w:marLeft w:val="0"/>
      <w:marRight w:val="0"/>
      <w:marTop w:val="0"/>
      <w:marBottom w:val="0"/>
      <w:divBdr>
        <w:top w:val="none" w:sz="0" w:space="0" w:color="auto"/>
        <w:left w:val="none" w:sz="0" w:space="0" w:color="auto"/>
        <w:bottom w:val="none" w:sz="0" w:space="0" w:color="auto"/>
        <w:right w:val="none" w:sz="0" w:space="0" w:color="auto"/>
      </w:divBdr>
    </w:div>
    <w:div w:id="200094522">
      <w:bodyDiv w:val="1"/>
      <w:marLeft w:val="0"/>
      <w:marRight w:val="0"/>
      <w:marTop w:val="0"/>
      <w:marBottom w:val="0"/>
      <w:divBdr>
        <w:top w:val="none" w:sz="0" w:space="0" w:color="auto"/>
        <w:left w:val="none" w:sz="0" w:space="0" w:color="auto"/>
        <w:bottom w:val="none" w:sz="0" w:space="0" w:color="auto"/>
        <w:right w:val="none" w:sz="0" w:space="0" w:color="auto"/>
      </w:divBdr>
    </w:div>
    <w:div w:id="354422462">
      <w:bodyDiv w:val="1"/>
      <w:marLeft w:val="0"/>
      <w:marRight w:val="0"/>
      <w:marTop w:val="0"/>
      <w:marBottom w:val="0"/>
      <w:divBdr>
        <w:top w:val="none" w:sz="0" w:space="0" w:color="auto"/>
        <w:left w:val="none" w:sz="0" w:space="0" w:color="auto"/>
        <w:bottom w:val="none" w:sz="0" w:space="0" w:color="auto"/>
        <w:right w:val="none" w:sz="0" w:space="0" w:color="auto"/>
      </w:divBdr>
    </w:div>
    <w:div w:id="360857468">
      <w:bodyDiv w:val="1"/>
      <w:marLeft w:val="0"/>
      <w:marRight w:val="0"/>
      <w:marTop w:val="0"/>
      <w:marBottom w:val="0"/>
      <w:divBdr>
        <w:top w:val="none" w:sz="0" w:space="0" w:color="auto"/>
        <w:left w:val="none" w:sz="0" w:space="0" w:color="auto"/>
        <w:bottom w:val="none" w:sz="0" w:space="0" w:color="auto"/>
        <w:right w:val="none" w:sz="0" w:space="0" w:color="auto"/>
      </w:divBdr>
    </w:div>
    <w:div w:id="360908484">
      <w:bodyDiv w:val="1"/>
      <w:marLeft w:val="0"/>
      <w:marRight w:val="0"/>
      <w:marTop w:val="0"/>
      <w:marBottom w:val="0"/>
      <w:divBdr>
        <w:top w:val="none" w:sz="0" w:space="0" w:color="auto"/>
        <w:left w:val="none" w:sz="0" w:space="0" w:color="auto"/>
        <w:bottom w:val="none" w:sz="0" w:space="0" w:color="auto"/>
        <w:right w:val="none" w:sz="0" w:space="0" w:color="auto"/>
      </w:divBdr>
    </w:div>
    <w:div w:id="407728703">
      <w:bodyDiv w:val="1"/>
      <w:marLeft w:val="0"/>
      <w:marRight w:val="0"/>
      <w:marTop w:val="0"/>
      <w:marBottom w:val="0"/>
      <w:divBdr>
        <w:top w:val="none" w:sz="0" w:space="0" w:color="auto"/>
        <w:left w:val="none" w:sz="0" w:space="0" w:color="auto"/>
        <w:bottom w:val="none" w:sz="0" w:space="0" w:color="auto"/>
        <w:right w:val="none" w:sz="0" w:space="0" w:color="auto"/>
      </w:divBdr>
    </w:div>
    <w:div w:id="417747707">
      <w:bodyDiv w:val="1"/>
      <w:marLeft w:val="0"/>
      <w:marRight w:val="0"/>
      <w:marTop w:val="0"/>
      <w:marBottom w:val="0"/>
      <w:divBdr>
        <w:top w:val="none" w:sz="0" w:space="0" w:color="auto"/>
        <w:left w:val="none" w:sz="0" w:space="0" w:color="auto"/>
        <w:bottom w:val="none" w:sz="0" w:space="0" w:color="auto"/>
        <w:right w:val="none" w:sz="0" w:space="0" w:color="auto"/>
      </w:divBdr>
      <w:divsChild>
        <w:div w:id="536888832">
          <w:marLeft w:val="1886"/>
          <w:marRight w:val="0"/>
          <w:marTop w:val="0"/>
          <w:marBottom w:val="0"/>
          <w:divBdr>
            <w:top w:val="none" w:sz="0" w:space="0" w:color="auto"/>
            <w:left w:val="none" w:sz="0" w:space="0" w:color="auto"/>
            <w:bottom w:val="none" w:sz="0" w:space="0" w:color="auto"/>
            <w:right w:val="none" w:sz="0" w:space="0" w:color="auto"/>
          </w:divBdr>
        </w:div>
        <w:div w:id="805589004">
          <w:marLeft w:val="1886"/>
          <w:marRight w:val="0"/>
          <w:marTop w:val="0"/>
          <w:marBottom w:val="0"/>
          <w:divBdr>
            <w:top w:val="none" w:sz="0" w:space="0" w:color="auto"/>
            <w:left w:val="none" w:sz="0" w:space="0" w:color="auto"/>
            <w:bottom w:val="none" w:sz="0" w:space="0" w:color="auto"/>
            <w:right w:val="none" w:sz="0" w:space="0" w:color="auto"/>
          </w:divBdr>
        </w:div>
        <w:div w:id="874193876">
          <w:marLeft w:val="1886"/>
          <w:marRight w:val="0"/>
          <w:marTop w:val="0"/>
          <w:marBottom w:val="0"/>
          <w:divBdr>
            <w:top w:val="none" w:sz="0" w:space="0" w:color="auto"/>
            <w:left w:val="none" w:sz="0" w:space="0" w:color="auto"/>
            <w:bottom w:val="none" w:sz="0" w:space="0" w:color="auto"/>
            <w:right w:val="none" w:sz="0" w:space="0" w:color="auto"/>
          </w:divBdr>
        </w:div>
      </w:divsChild>
    </w:div>
    <w:div w:id="482043202">
      <w:bodyDiv w:val="1"/>
      <w:marLeft w:val="0"/>
      <w:marRight w:val="0"/>
      <w:marTop w:val="0"/>
      <w:marBottom w:val="0"/>
      <w:divBdr>
        <w:top w:val="none" w:sz="0" w:space="0" w:color="auto"/>
        <w:left w:val="none" w:sz="0" w:space="0" w:color="auto"/>
        <w:bottom w:val="none" w:sz="0" w:space="0" w:color="auto"/>
        <w:right w:val="none" w:sz="0" w:space="0" w:color="auto"/>
      </w:divBdr>
      <w:divsChild>
        <w:div w:id="414667526">
          <w:marLeft w:val="446"/>
          <w:marRight w:val="0"/>
          <w:marTop w:val="0"/>
          <w:marBottom w:val="0"/>
          <w:divBdr>
            <w:top w:val="none" w:sz="0" w:space="0" w:color="auto"/>
            <w:left w:val="none" w:sz="0" w:space="0" w:color="auto"/>
            <w:bottom w:val="none" w:sz="0" w:space="0" w:color="auto"/>
            <w:right w:val="none" w:sz="0" w:space="0" w:color="auto"/>
          </w:divBdr>
        </w:div>
        <w:div w:id="462847252">
          <w:marLeft w:val="446"/>
          <w:marRight w:val="0"/>
          <w:marTop w:val="0"/>
          <w:marBottom w:val="0"/>
          <w:divBdr>
            <w:top w:val="none" w:sz="0" w:space="0" w:color="auto"/>
            <w:left w:val="none" w:sz="0" w:space="0" w:color="auto"/>
            <w:bottom w:val="none" w:sz="0" w:space="0" w:color="auto"/>
            <w:right w:val="none" w:sz="0" w:space="0" w:color="auto"/>
          </w:divBdr>
        </w:div>
        <w:div w:id="532545830">
          <w:marLeft w:val="446"/>
          <w:marRight w:val="0"/>
          <w:marTop w:val="0"/>
          <w:marBottom w:val="0"/>
          <w:divBdr>
            <w:top w:val="none" w:sz="0" w:space="0" w:color="auto"/>
            <w:left w:val="none" w:sz="0" w:space="0" w:color="auto"/>
            <w:bottom w:val="none" w:sz="0" w:space="0" w:color="auto"/>
            <w:right w:val="none" w:sz="0" w:space="0" w:color="auto"/>
          </w:divBdr>
        </w:div>
      </w:divsChild>
    </w:div>
    <w:div w:id="489056690">
      <w:bodyDiv w:val="1"/>
      <w:marLeft w:val="0"/>
      <w:marRight w:val="0"/>
      <w:marTop w:val="0"/>
      <w:marBottom w:val="0"/>
      <w:divBdr>
        <w:top w:val="none" w:sz="0" w:space="0" w:color="auto"/>
        <w:left w:val="none" w:sz="0" w:space="0" w:color="auto"/>
        <w:bottom w:val="none" w:sz="0" w:space="0" w:color="auto"/>
        <w:right w:val="none" w:sz="0" w:space="0" w:color="auto"/>
      </w:divBdr>
    </w:div>
    <w:div w:id="516505544">
      <w:bodyDiv w:val="1"/>
      <w:marLeft w:val="0"/>
      <w:marRight w:val="0"/>
      <w:marTop w:val="0"/>
      <w:marBottom w:val="0"/>
      <w:divBdr>
        <w:top w:val="none" w:sz="0" w:space="0" w:color="auto"/>
        <w:left w:val="none" w:sz="0" w:space="0" w:color="auto"/>
        <w:bottom w:val="none" w:sz="0" w:space="0" w:color="auto"/>
        <w:right w:val="none" w:sz="0" w:space="0" w:color="auto"/>
      </w:divBdr>
    </w:div>
    <w:div w:id="541483388">
      <w:bodyDiv w:val="1"/>
      <w:marLeft w:val="0"/>
      <w:marRight w:val="0"/>
      <w:marTop w:val="0"/>
      <w:marBottom w:val="0"/>
      <w:divBdr>
        <w:top w:val="none" w:sz="0" w:space="0" w:color="auto"/>
        <w:left w:val="none" w:sz="0" w:space="0" w:color="auto"/>
        <w:bottom w:val="none" w:sz="0" w:space="0" w:color="auto"/>
        <w:right w:val="none" w:sz="0" w:space="0" w:color="auto"/>
      </w:divBdr>
      <w:divsChild>
        <w:div w:id="1342851520">
          <w:marLeft w:val="0"/>
          <w:marRight w:val="0"/>
          <w:marTop w:val="300"/>
          <w:marBottom w:val="300"/>
          <w:divBdr>
            <w:top w:val="none" w:sz="0" w:space="0" w:color="auto"/>
            <w:left w:val="none" w:sz="0" w:space="0" w:color="auto"/>
            <w:bottom w:val="none" w:sz="0" w:space="0" w:color="auto"/>
            <w:right w:val="none" w:sz="0" w:space="0" w:color="auto"/>
          </w:divBdr>
          <w:divsChild>
            <w:div w:id="1069111918">
              <w:marLeft w:val="0"/>
              <w:marRight w:val="0"/>
              <w:marTop w:val="0"/>
              <w:marBottom w:val="0"/>
              <w:divBdr>
                <w:top w:val="none" w:sz="0" w:space="0" w:color="auto"/>
                <w:left w:val="none" w:sz="0" w:space="0" w:color="auto"/>
                <w:bottom w:val="none" w:sz="0" w:space="0" w:color="auto"/>
                <w:right w:val="none" w:sz="0" w:space="0" w:color="auto"/>
              </w:divBdr>
            </w:div>
            <w:div w:id="21144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3090">
      <w:bodyDiv w:val="1"/>
      <w:marLeft w:val="0"/>
      <w:marRight w:val="0"/>
      <w:marTop w:val="0"/>
      <w:marBottom w:val="0"/>
      <w:divBdr>
        <w:top w:val="none" w:sz="0" w:space="0" w:color="auto"/>
        <w:left w:val="none" w:sz="0" w:space="0" w:color="auto"/>
        <w:bottom w:val="none" w:sz="0" w:space="0" w:color="auto"/>
        <w:right w:val="none" w:sz="0" w:space="0" w:color="auto"/>
      </w:divBdr>
    </w:div>
    <w:div w:id="573704158">
      <w:bodyDiv w:val="1"/>
      <w:marLeft w:val="0"/>
      <w:marRight w:val="0"/>
      <w:marTop w:val="0"/>
      <w:marBottom w:val="0"/>
      <w:divBdr>
        <w:top w:val="none" w:sz="0" w:space="0" w:color="auto"/>
        <w:left w:val="none" w:sz="0" w:space="0" w:color="auto"/>
        <w:bottom w:val="none" w:sz="0" w:space="0" w:color="auto"/>
        <w:right w:val="none" w:sz="0" w:space="0" w:color="auto"/>
      </w:divBdr>
    </w:div>
    <w:div w:id="596520413">
      <w:bodyDiv w:val="1"/>
      <w:marLeft w:val="0"/>
      <w:marRight w:val="0"/>
      <w:marTop w:val="0"/>
      <w:marBottom w:val="0"/>
      <w:divBdr>
        <w:top w:val="none" w:sz="0" w:space="0" w:color="auto"/>
        <w:left w:val="none" w:sz="0" w:space="0" w:color="auto"/>
        <w:bottom w:val="none" w:sz="0" w:space="0" w:color="auto"/>
        <w:right w:val="none" w:sz="0" w:space="0" w:color="auto"/>
      </w:divBdr>
    </w:div>
    <w:div w:id="599990679">
      <w:bodyDiv w:val="1"/>
      <w:marLeft w:val="0"/>
      <w:marRight w:val="0"/>
      <w:marTop w:val="0"/>
      <w:marBottom w:val="0"/>
      <w:divBdr>
        <w:top w:val="none" w:sz="0" w:space="0" w:color="auto"/>
        <w:left w:val="none" w:sz="0" w:space="0" w:color="auto"/>
        <w:bottom w:val="none" w:sz="0" w:space="0" w:color="auto"/>
        <w:right w:val="none" w:sz="0" w:space="0" w:color="auto"/>
      </w:divBdr>
    </w:div>
    <w:div w:id="649208757">
      <w:bodyDiv w:val="1"/>
      <w:marLeft w:val="0"/>
      <w:marRight w:val="0"/>
      <w:marTop w:val="0"/>
      <w:marBottom w:val="0"/>
      <w:divBdr>
        <w:top w:val="none" w:sz="0" w:space="0" w:color="auto"/>
        <w:left w:val="none" w:sz="0" w:space="0" w:color="auto"/>
        <w:bottom w:val="none" w:sz="0" w:space="0" w:color="auto"/>
        <w:right w:val="none" w:sz="0" w:space="0" w:color="auto"/>
      </w:divBdr>
    </w:div>
    <w:div w:id="657421760">
      <w:bodyDiv w:val="1"/>
      <w:marLeft w:val="0"/>
      <w:marRight w:val="0"/>
      <w:marTop w:val="0"/>
      <w:marBottom w:val="0"/>
      <w:divBdr>
        <w:top w:val="none" w:sz="0" w:space="0" w:color="auto"/>
        <w:left w:val="none" w:sz="0" w:space="0" w:color="auto"/>
        <w:bottom w:val="none" w:sz="0" w:space="0" w:color="auto"/>
        <w:right w:val="none" w:sz="0" w:space="0" w:color="auto"/>
      </w:divBdr>
    </w:div>
    <w:div w:id="678701298">
      <w:bodyDiv w:val="1"/>
      <w:marLeft w:val="0"/>
      <w:marRight w:val="0"/>
      <w:marTop w:val="0"/>
      <w:marBottom w:val="0"/>
      <w:divBdr>
        <w:top w:val="none" w:sz="0" w:space="0" w:color="auto"/>
        <w:left w:val="none" w:sz="0" w:space="0" w:color="auto"/>
        <w:bottom w:val="none" w:sz="0" w:space="0" w:color="auto"/>
        <w:right w:val="none" w:sz="0" w:space="0" w:color="auto"/>
      </w:divBdr>
    </w:div>
    <w:div w:id="685526231">
      <w:bodyDiv w:val="1"/>
      <w:marLeft w:val="0"/>
      <w:marRight w:val="0"/>
      <w:marTop w:val="0"/>
      <w:marBottom w:val="0"/>
      <w:divBdr>
        <w:top w:val="none" w:sz="0" w:space="0" w:color="auto"/>
        <w:left w:val="none" w:sz="0" w:space="0" w:color="auto"/>
        <w:bottom w:val="none" w:sz="0" w:space="0" w:color="auto"/>
        <w:right w:val="none" w:sz="0" w:space="0" w:color="auto"/>
      </w:divBdr>
    </w:div>
    <w:div w:id="700397100">
      <w:bodyDiv w:val="1"/>
      <w:marLeft w:val="0"/>
      <w:marRight w:val="0"/>
      <w:marTop w:val="0"/>
      <w:marBottom w:val="0"/>
      <w:divBdr>
        <w:top w:val="none" w:sz="0" w:space="0" w:color="auto"/>
        <w:left w:val="none" w:sz="0" w:space="0" w:color="auto"/>
        <w:bottom w:val="none" w:sz="0" w:space="0" w:color="auto"/>
        <w:right w:val="none" w:sz="0" w:space="0" w:color="auto"/>
      </w:divBdr>
    </w:div>
    <w:div w:id="731659720">
      <w:bodyDiv w:val="1"/>
      <w:marLeft w:val="0"/>
      <w:marRight w:val="0"/>
      <w:marTop w:val="0"/>
      <w:marBottom w:val="0"/>
      <w:divBdr>
        <w:top w:val="none" w:sz="0" w:space="0" w:color="auto"/>
        <w:left w:val="none" w:sz="0" w:space="0" w:color="auto"/>
        <w:bottom w:val="none" w:sz="0" w:space="0" w:color="auto"/>
        <w:right w:val="none" w:sz="0" w:space="0" w:color="auto"/>
      </w:divBdr>
    </w:div>
    <w:div w:id="743646438">
      <w:bodyDiv w:val="1"/>
      <w:marLeft w:val="0"/>
      <w:marRight w:val="0"/>
      <w:marTop w:val="0"/>
      <w:marBottom w:val="0"/>
      <w:divBdr>
        <w:top w:val="none" w:sz="0" w:space="0" w:color="auto"/>
        <w:left w:val="none" w:sz="0" w:space="0" w:color="auto"/>
        <w:bottom w:val="none" w:sz="0" w:space="0" w:color="auto"/>
        <w:right w:val="none" w:sz="0" w:space="0" w:color="auto"/>
      </w:divBdr>
    </w:div>
    <w:div w:id="758134381">
      <w:bodyDiv w:val="1"/>
      <w:marLeft w:val="0"/>
      <w:marRight w:val="0"/>
      <w:marTop w:val="0"/>
      <w:marBottom w:val="0"/>
      <w:divBdr>
        <w:top w:val="none" w:sz="0" w:space="0" w:color="auto"/>
        <w:left w:val="none" w:sz="0" w:space="0" w:color="auto"/>
        <w:bottom w:val="none" w:sz="0" w:space="0" w:color="auto"/>
        <w:right w:val="none" w:sz="0" w:space="0" w:color="auto"/>
      </w:divBdr>
    </w:div>
    <w:div w:id="776101151">
      <w:bodyDiv w:val="1"/>
      <w:marLeft w:val="0"/>
      <w:marRight w:val="0"/>
      <w:marTop w:val="0"/>
      <w:marBottom w:val="0"/>
      <w:divBdr>
        <w:top w:val="none" w:sz="0" w:space="0" w:color="auto"/>
        <w:left w:val="none" w:sz="0" w:space="0" w:color="auto"/>
        <w:bottom w:val="none" w:sz="0" w:space="0" w:color="auto"/>
        <w:right w:val="none" w:sz="0" w:space="0" w:color="auto"/>
      </w:divBdr>
    </w:div>
    <w:div w:id="811599942">
      <w:bodyDiv w:val="1"/>
      <w:marLeft w:val="0"/>
      <w:marRight w:val="0"/>
      <w:marTop w:val="0"/>
      <w:marBottom w:val="0"/>
      <w:divBdr>
        <w:top w:val="none" w:sz="0" w:space="0" w:color="auto"/>
        <w:left w:val="none" w:sz="0" w:space="0" w:color="auto"/>
        <w:bottom w:val="none" w:sz="0" w:space="0" w:color="auto"/>
        <w:right w:val="none" w:sz="0" w:space="0" w:color="auto"/>
      </w:divBdr>
    </w:div>
    <w:div w:id="843980874">
      <w:bodyDiv w:val="1"/>
      <w:marLeft w:val="0"/>
      <w:marRight w:val="0"/>
      <w:marTop w:val="0"/>
      <w:marBottom w:val="0"/>
      <w:divBdr>
        <w:top w:val="none" w:sz="0" w:space="0" w:color="auto"/>
        <w:left w:val="none" w:sz="0" w:space="0" w:color="auto"/>
        <w:bottom w:val="none" w:sz="0" w:space="0" w:color="auto"/>
        <w:right w:val="none" w:sz="0" w:space="0" w:color="auto"/>
      </w:divBdr>
    </w:div>
    <w:div w:id="879702994">
      <w:bodyDiv w:val="1"/>
      <w:marLeft w:val="0"/>
      <w:marRight w:val="0"/>
      <w:marTop w:val="0"/>
      <w:marBottom w:val="0"/>
      <w:divBdr>
        <w:top w:val="none" w:sz="0" w:space="0" w:color="auto"/>
        <w:left w:val="none" w:sz="0" w:space="0" w:color="auto"/>
        <w:bottom w:val="none" w:sz="0" w:space="0" w:color="auto"/>
        <w:right w:val="none" w:sz="0" w:space="0" w:color="auto"/>
      </w:divBdr>
    </w:div>
    <w:div w:id="909388451">
      <w:bodyDiv w:val="1"/>
      <w:marLeft w:val="0"/>
      <w:marRight w:val="0"/>
      <w:marTop w:val="0"/>
      <w:marBottom w:val="0"/>
      <w:divBdr>
        <w:top w:val="none" w:sz="0" w:space="0" w:color="auto"/>
        <w:left w:val="none" w:sz="0" w:space="0" w:color="auto"/>
        <w:bottom w:val="none" w:sz="0" w:space="0" w:color="auto"/>
        <w:right w:val="none" w:sz="0" w:space="0" w:color="auto"/>
      </w:divBdr>
    </w:div>
    <w:div w:id="915241240">
      <w:bodyDiv w:val="1"/>
      <w:marLeft w:val="0"/>
      <w:marRight w:val="0"/>
      <w:marTop w:val="0"/>
      <w:marBottom w:val="0"/>
      <w:divBdr>
        <w:top w:val="none" w:sz="0" w:space="0" w:color="auto"/>
        <w:left w:val="none" w:sz="0" w:space="0" w:color="auto"/>
        <w:bottom w:val="none" w:sz="0" w:space="0" w:color="auto"/>
        <w:right w:val="none" w:sz="0" w:space="0" w:color="auto"/>
      </w:divBdr>
    </w:div>
    <w:div w:id="928922998">
      <w:bodyDiv w:val="1"/>
      <w:marLeft w:val="0"/>
      <w:marRight w:val="0"/>
      <w:marTop w:val="0"/>
      <w:marBottom w:val="0"/>
      <w:divBdr>
        <w:top w:val="none" w:sz="0" w:space="0" w:color="auto"/>
        <w:left w:val="none" w:sz="0" w:space="0" w:color="auto"/>
        <w:bottom w:val="none" w:sz="0" w:space="0" w:color="auto"/>
        <w:right w:val="none" w:sz="0" w:space="0" w:color="auto"/>
      </w:divBdr>
    </w:div>
    <w:div w:id="934702783">
      <w:bodyDiv w:val="1"/>
      <w:marLeft w:val="0"/>
      <w:marRight w:val="0"/>
      <w:marTop w:val="0"/>
      <w:marBottom w:val="0"/>
      <w:divBdr>
        <w:top w:val="none" w:sz="0" w:space="0" w:color="auto"/>
        <w:left w:val="none" w:sz="0" w:space="0" w:color="auto"/>
        <w:bottom w:val="none" w:sz="0" w:space="0" w:color="auto"/>
        <w:right w:val="none" w:sz="0" w:space="0" w:color="auto"/>
      </w:divBdr>
    </w:div>
    <w:div w:id="940839445">
      <w:bodyDiv w:val="1"/>
      <w:marLeft w:val="0"/>
      <w:marRight w:val="0"/>
      <w:marTop w:val="0"/>
      <w:marBottom w:val="0"/>
      <w:divBdr>
        <w:top w:val="none" w:sz="0" w:space="0" w:color="auto"/>
        <w:left w:val="none" w:sz="0" w:space="0" w:color="auto"/>
        <w:bottom w:val="none" w:sz="0" w:space="0" w:color="auto"/>
        <w:right w:val="none" w:sz="0" w:space="0" w:color="auto"/>
      </w:divBdr>
    </w:div>
    <w:div w:id="1001008545">
      <w:bodyDiv w:val="1"/>
      <w:marLeft w:val="0"/>
      <w:marRight w:val="0"/>
      <w:marTop w:val="0"/>
      <w:marBottom w:val="0"/>
      <w:divBdr>
        <w:top w:val="none" w:sz="0" w:space="0" w:color="auto"/>
        <w:left w:val="none" w:sz="0" w:space="0" w:color="auto"/>
        <w:bottom w:val="none" w:sz="0" w:space="0" w:color="auto"/>
        <w:right w:val="none" w:sz="0" w:space="0" w:color="auto"/>
      </w:divBdr>
      <w:divsChild>
        <w:div w:id="1204515116">
          <w:marLeft w:val="1886"/>
          <w:marRight w:val="0"/>
          <w:marTop w:val="0"/>
          <w:marBottom w:val="0"/>
          <w:divBdr>
            <w:top w:val="none" w:sz="0" w:space="0" w:color="auto"/>
            <w:left w:val="none" w:sz="0" w:space="0" w:color="auto"/>
            <w:bottom w:val="none" w:sz="0" w:space="0" w:color="auto"/>
            <w:right w:val="none" w:sz="0" w:space="0" w:color="auto"/>
          </w:divBdr>
        </w:div>
        <w:div w:id="721827846">
          <w:marLeft w:val="1886"/>
          <w:marRight w:val="0"/>
          <w:marTop w:val="0"/>
          <w:marBottom w:val="0"/>
          <w:divBdr>
            <w:top w:val="none" w:sz="0" w:space="0" w:color="auto"/>
            <w:left w:val="none" w:sz="0" w:space="0" w:color="auto"/>
            <w:bottom w:val="none" w:sz="0" w:space="0" w:color="auto"/>
            <w:right w:val="none" w:sz="0" w:space="0" w:color="auto"/>
          </w:divBdr>
        </w:div>
        <w:div w:id="621231407">
          <w:marLeft w:val="1886"/>
          <w:marRight w:val="0"/>
          <w:marTop w:val="0"/>
          <w:marBottom w:val="0"/>
          <w:divBdr>
            <w:top w:val="none" w:sz="0" w:space="0" w:color="auto"/>
            <w:left w:val="none" w:sz="0" w:space="0" w:color="auto"/>
            <w:bottom w:val="none" w:sz="0" w:space="0" w:color="auto"/>
            <w:right w:val="none" w:sz="0" w:space="0" w:color="auto"/>
          </w:divBdr>
        </w:div>
      </w:divsChild>
    </w:div>
    <w:div w:id="1022048764">
      <w:bodyDiv w:val="1"/>
      <w:marLeft w:val="0"/>
      <w:marRight w:val="0"/>
      <w:marTop w:val="0"/>
      <w:marBottom w:val="0"/>
      <w:divBdr>
        <w:top w:val="none" w:sz="0" w:space="0" w:color="auto"/>
        <w:left w:val="none" w:sz="0" w:space="0" w:color="auto"/>
        <w:bottom w:val="none" w:sz="0" w:space="0" w:color="auto"/>
        <w:right w:val="none" w:sz="0" w:space="0" w:color="auto"/>
      </w:divBdr>
    </w:div>
    <w:div w:id="1067151409">
      <w:bodyDiv w:val="1"/>
      <w:marLeft w:val="0"/>
      <w:marRight w:val="0"/>
      <w:marTop w:val="0"/>
      <w:marBottom w:val="0"/>
      <w:divBdr>
        <w:top w:val="none" w:sz="0" w:space="0" w:color="auto"/>
        <w:left w:val="none" w:sz="0" w:space="0" w:color="auto"/>
        <w:bottom w:val="none" w:sz="0" w:space="0" w:color="auto"/>
        <w:right w:val="none" w:sz="0" w:space="0" w:color="auto"/>
      </w:divBdr>
    </w:div>
    <w:div w:id="1087582298">
      <w:bodyDiv w:val="1"/>
      <w:marLeft w:val="0"/>
      <w:marRight w:val="0"/>
      <w:marTop w:val="0"/>
      <w:marBottom w:val="0"/>
      <w:divBdr>
        <w:top w:val="none" w:sz="0" w:space="0" w:color="auto"/>
        <w:left w:val="none" w:sz="0" w:space="0" w:color="auto"/>
        <w:bottom w:val="none" w:sz="0" w:space="0" w:color="auto"/>
        <w:right w:val="none" w:sz="0" w:space="0" w:color="auto"/>
      </w:divBdr>
    </w:div>
    <w:div w:id="1100372800">
      <w:bodyDiv w:val="1"/>
      <w:marLeft w:val="0"/>
      <w:marRight w:val="0"/>
      <w:marTop w:val="0"/>
      <w:marBottom w:val="0"/>
      <w:divBdr>
        <w:top w:val="none" w:sz="0" w:space="0" w:color="auto"/>
        <w:left w:val="none" w:sz="0" w:space="0" w:color="auto"/>
        <w:bottom w:val="none" w:sz="0" w:space="0" w:color="auto"/>
        <w:right w:val="none" w:sz="0" w:space="0" w:color="auto"/>
      </w:divBdr>
      <w:divsChild>
        <w:div w:id="422841197">
          <w:marLeft w:val="0"/>
          <w:marRight w:val="0"/>
          <w:marTop w:val="300"/>
          <w:marBottom w:val="300"/>
          <w:divBdr>
            <w:top w:val="none" w:sz="0" w:space="0" w:color="auto"/>
            <w:left w:val="none" w:sz="0" w:space="0" w:color="auto"/>
            <w:bottom w:val="none" w:sz="0" w:space="0" w:color="auto"/>
            <w:right w:val="none" w:sz="0" w:space="0" w:color="auto"/>
          </w:divBdr>
          <w:divsChild>
            <w:div w:id="409501275">
              <w:marLeft w:val="0"/>
              <w:marRight w:val="0"/>
              <w:marTop w:val="0"/>
              <w:marBottom w:val="0"/>
              <w:divBdr>
                <w:top w:val="none" w:sz="0" w:space="0" w:color="auto"/>
                <w:left w:val="none" w:sz="0" w:space="0" w:color="auto"/>
                <w:bottom w:val="none" w:sz="0" w:space="0" w:color="auto"/>
                <w:right w:val="none" w:sz="0" w:space="0" w:color="auto"/>
              </w:divBdr>
            </w:div>
            <w:div w:id="9546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3632">
      <w:bodyDiv w:val="1"/>
      <w:marLeft w:val="0"/>
      <w:marRight w:val="0"/>
      <w:marTop w:val="0"/>
      <w:marBottom w:val="0"/>
      <w:divBdr>
        <w:top w:val="none" w:sz="0" w:space="0" w:color="auto"/>
        <w:left w:val="none" w:sz="0" w:space="0" w:color="auto"/>
        <w:bottom w:val="none" w:sz="0" w:space="0" w:color="auto"/>
        <w:right w:val="none" w:sz="0" w:space="0" w:color="auto"/>
      </w:divBdr>
    </w:div>
    <w:div w:id="1140728362">
      <w:bodyDiv w:val="1"/>
      <w:marLeft w:val="0"/>
      <w:marRight w:val="0"/>
      <w:marTop w:val="0"/>
      <w:marBottom w:val="0"/>
      <w:divBdr>
        <w:top w:val="none" w:sz="0" w:space="0" w:color="auto"/>
        <w:left w:val="none" w:sz="0" w:space="0" w:color="auto"/>
        <w:bottom w:val="none" w:sz="0" w:space="0" w:color="auto"/>
        <w:right w:val="none" w:sz="0" w:space="0" w:color="auto"/>
      </w:divBdr>
    </w:div>
    <w:div w:id="1151168581">
      <w:bodyDiv w:val="1"/>
      <w:marLeft w:val="0"/>
      <w:marRight w:val="0"/>
      <w:marTop w:val="0"/>
      <w:marBottom w:val="0"/>
      <w:divBdr>
        <w:top w:val="none" w:sz="0" w:space="0" w:color="auto"/>
        <w:left w:val="none" w:sz="0" w:space="0" w:color="auto"/>
        <w:bottom w:val="none" w:sz="0" w:space="0" w:color="auto"/>
        <w:right w:val="none" w:sz="0" w:space="0" w:color="auto"/>
      </w:divBdr>
    </w:div>
    <w:div w:id="1156453297">
      <w:bodyDiv w:val="1"/>
      <w:marLeft w:val="0"/>
      <w:marRight w:val="0"/>
      <w:marTop w:val="0"/>
      <w:marBottom w:val="0"/>
      <w:divBdr>
        <w:top w:val="none" w:sz="0" w:space="0" w:color="auto"/>
        <w:left w:val="none" w:sz="0" w:space="0" w:color="auto"/>
        <w:bottom w:val="none" w:sz="0" w:space="0" w:color="auto"/>
        <w:right w:val="none" w:sz="0" w:space="0" w:color="auto"/>
      </w:divBdr>
      <w:divsChild>
        <w:div w:id="1251233752">
          <w:marLeft w:val="1886"/>
          <w:marRight w:val="0"/>
          <w:marTop w:val="0"/>
          <w:marBottom w:val="0"/>
          <w:divBdr>
            <w:top w:val="none" w:sz="0" w:space="0" w:color="auto"/>
            <w:left w:val="none" w:sz="0" w:space="0" w:color="auto"/>
            <w:bottom w:val="none" w:sz="0" w:space="0" w:color="auto"/>
            <w:right w:val="none" w:sz="0" w:space="0" w:color="auto"/>
          </w:divBdr>
        </w:div>
        <w:div w:id="1770618853">
          <w:marLeft w:val="1886"/>
          <w:marRight w:val="0"/>
          <w:marTop w:val="0"/>
          <w:marBottom w:val="0"/>
          <w:divBdr>
            <w:top w:val="none" w:sz="0" w:space="0" w:color="auto"/>
            <w:left w:val="none" w:sz="0" w:space="0" w:color="auto"/>
            <w:bottom w:val="none" w:sz="0" w:space="0" w:color="auto"/>
            <w:right w:val="none" w:sz="0" w:space="0" w:color="auto"/>
          </w:divBdr>
        </w:div>
        <w:div w:id="615718012">
          <w:marLeft w:val="1886"/>
          <w:marRight w:val="0"/>
          <w:marTop w:val="0"/>
          <w:marBottom w:val="0"/>
          <w:divBdr>
            <w:top w:val="none" w:sz="0" w:space="0" w:color="auto"/>
            <w:left w:val="none" w:sz="0" w:space="0" w:color="auto"/>
            <w:bottom w:val="none" w:sz="0" w:space="0" w:color="auto"/>
            <w:right w:val="none" w:sz="0" w:space="0" w:color="auto"/>
          </w:divBdr>
        </w:div>
        <w:div w:id="1508594752">
          <w:marLeft w:val="1886"/>
          <w:marRight w:val="0"/>
          <w:marTop w:val="0"/>
          <w:marBottom w:val="0"/>
          <w:divBdr>
            <w:top w:val="none" w:sz="0" w:space="0" w:color="auto"/>
            <w:left w:val="none" w:sz="0" w:space="0" w:color="auto"/>
            <w:bottom w:val="none" w:sz="0" w:space="0" w:color="auto"/>
            <w:right w:val="none" w:sz="0" w:space="0" w:color="auto"/>
          </w:divBdr>
        </w:div>
      </w:divsChild>
    </w:div>
    <w:div w:id="1159421547">
      <w:bodyDiv w:val="1"/>
      <w:marLeft w:val="0"/>
      <w:marRight w:val="0"/>
      <w:marTop w:val="0"/>
      <w:marBottom w:val="0"/>
      <w:divBdr>
        <w:top w:val="none" w:sz="0" w:space="0" w:color="auto"/>
        <w:left w:val="none" w:sz="0" w:space="0" w:color="auto"/>
        <w:bottom w:val="none" w:sz="0" w:space="0" w:color="auto"/>
        <w:right w:val="none" w:sz="0" w:space="0" w:color="auto"/>
      </w:divBdr>
    </w:div>
    <w:div w:id="1167744105">
      <w:bodyDiv w:val="1"/>
      <w:marLeft w:val="0"/>
      <w:marRight w:val="0"/>
      <w:marTop w:val="0"/>
      <w:marBottom w:val="0"/>
      <w:divBdr>
        <w:top w:val="none" w:sz="0" w:space="0" w:color="auto"/>
        <w:left w:val="none" w:sz="0" w:space="0" w:color="auto"/>
        <w:bottom w:val="none" w:sz="0" w:space="0" w:color="auto"/>
        <w:right w:val="none" w:sz="0" w:space="0" w:color="auto"/>
      </w:divBdr>
    </w:div>
    <w:div w:id="1174688772">
      <w:bodyDiv w:val="1"/>
      <w:marLeft w:val="0"/>
      <w:marRight w:val="0"/>
      <w:marTop w:val="0"/>
      <w:marBottom w:val="0"/>
      <w:divBdr>
        <w:top w:val="none" w:sz="0" w:space="0" w:color="auto"/>
        <w:left w:val="none" w:sz="0" w:space="0" w:color="auto"/>
        <w:bottom w:val="none" w:sz="0" w:space="0" w:color="auto"/>
        <w:right w:val="none" w:sz="0" w:space="0" w:color="auto"/>
      </w:divBdr>
    </w:div>
    <w:div w:id="1178538666">
      <w:bodyDiv w:val="1"/>
      <w:marLeft w:val="0"/>
      <w:marRight w:val="0"/>
      <w:marTop w:val="0"/>
      <w:marBottom w:val="0"/>
      <w:divBdr>
        <w:top w:val="none" w:sz="0" w:space="0" w:color="auto"/>
        <w:left w:val="none" w:sz="0" w:space="0" w:color="auto"/>
        <w:bottom w:val="none" w:sz="0" w:space="0" w:color="auto"/>
        <w:right w:val="none" w:sz="0" w:space="0" w:color="auto"/>
      </w:divBdr>
    </w:div>
    <w:div w:id="1202283693">
      <w:bodyDiv w:val="1"/>
      <w:marLeft w:val="0"/>
      <w:marRight w:val="0"/>
      <w:marTop w:val="0"/>
      <w:marBottom w:val="0"/>
      <w:divBdr>
        <w:top w:val="none" w:sz="0" w:space="0" w:color="auto"/>
        <w:left w:val="none" w:sz="0" w:space="0" w:color="auto"/>
        <w:bottom w:val="none" w:sz="0" w:space="0" w:color="auto"/>
        <w:right w:val="none" w:sz="0" w:space="0" w:color="auto"/>
      </w:divBdr>
    </w:div>
    <w:div w:id="1245534107">
      <w:bodyDiv w:val="1"/>
      <w:marLeft w:val="0"/>
      <w:marRight w:val="0"/>
      <w:marTop w:val="0"/>
      <w:marBottom w:val="0"/>
      <w:divBdr>
        <w:top w:val="none" w:sz="0" w:space="0" w:color="auto"/>
        <w:left w:val="none" w:sz="0" w:space="0" w:color="auto"/>
        <w:bottom w:val="none" w:sz="0" w:space="0" w:color="auto"/>
        <w:right w:val="none" w:sz="0" w:space="0" w:color="auto"/>
      </w:divBdr>
    </w:div>
    <w:div w:id="1287159474">
      <w:bodyDiv w:val="1"/>
      <w:marLeft w:val="0"/>
      <w:marRight w:val="0"/>
      <w:marTop w:val="0"/>
      <w:marBottom w:val="0"/>
      <w:divBdr>
        <w:top w:val="none" w:sz="0" w:space="0" w:color="auto"/>
        <w:left w:val="none" w:sz="0" w:space="0" w:color="auto"/>
        <w:bottom w:val="none" w:sz="0" w:space="0" w:color="auto"/>
        <w:right w:val="none" w:sz="0" w:space="0" w:color="auto"/>
      </w:divBdr>
    </w:div>
    <w:div w:id="1327005305">
      <w:bodyDiv w:val="1"/>
      <w:marLeft w:val="0"/>
      <w:marRight w:val="0"/>
      <w:marTop w:val="0"/>
      <w:marBottom w:val="0"/>
      <w:divBdr>
        <w:top w:val="none" w:sz="0" w:space="0" w:color="auto"/>
        <w:left w:val="none" w:sz="0" w:space="0" w:color="auto"/>
        <w:bottom w:val="none" w:sz="0" w:space="0" w:color="auto"/>
        <w:right w:val="none" w:sz="0" w:space="0" w:color="auto"/>
      </w:divBdr>
    </w:div>
    <w:div w:id="1348294227">
      <w:bodyDiv w:val="1"/>
      <w:marLeft w:val="0"/>
      <w:marRight w:val="0"/>
      <w:marTop w:val="0"/>
      <w:marBottom w:val="0"/>
      <w:divBdr>
        <w:top w:val="none" w:sz="0" w:space="0" w:color="auto"/>
        <w:left w:val="none" w:sz="0" w:space="0" w:color="auto"/>
        <w:bottom w:val="none" w:sz="0" w:space="0" w:color="auto"/>
        <w:right w:val="none" w:sz="0" w:space="0" w:color="auto"/>
      </w:divBdr>
    </w:div>
    <w:div w:id="1377704372">
      <w:bodyDiv w:val="1"/>
      <w:marLeft w:val="0"/>
      <w:marRight w:val="0"/>
      <w:marTop w:val="0"/>
      <w:marBottom w:val="0"/>
      <w:divBdr>
        <w:top w:val="none" w:sz="0" w:space="0" w:color="auto"/>
        <w:left w:val="none" w:sz="0" w:space="0" w:color="auto"/>
        <w:bottom w:val="none" w:sz="0" w:space="0" w:color="auto"/>
        <w:right w:val="none" w:sz="0" w:space="0" w:color="auto"/>
      </w:divBdr>
      <w:divsChild>
        <w:div w:id="335574752">
          <w:marLeft w:val="1080"/>
          <w:marRight w:val="0"/>
          <w:marTop w:val="100"/>
          <w:marBottom w:val="0"/>
          <w:divBdr>
            <w:top w:val="none" w:sz="0" w:space="0" w:color="auto"/>
            <w:left w:val="none" w:sz="0" w:space="0" w:color="auto"/>
            <w:bottom w:val="none" w:sz="0" w:space="0" w:color="auto"/>
            <w:right w:val="none" w:sz="0" w:space="0" w:color="auto"/>
          </w:divBdr>
        </w:div>
        <w:div w:id="733698905">
          <w:marLeft w:val="360"/>
          <w:marRight w:val="0"/>
          <w:marTop w:val="200"/>
          <w:marBottom w:val="0"/>
          <w:divBdr>
            <w:top w:val="none" w:sz="0" w:space="0" w:color="auto"/>
            <w:left w:val="none" w:sz="0" w:space="0" w:color="auto"/>
            <w:bottom w:val="none" w:sz="0" w:space="0" w:color="auto"/>
            <w:right w:val="none" w:sz="0" w:space="0" w:color="auto"/>
          </w:divBdr>
        </w:div>
        <w:div w:id="1943536926">
          <w:marLeft w:val="1080"/>
          <w:marRight w:val="0"/>
          <w:marTop w:val="100"/>
          <w:marBottom w:val="0"/>
          <w:divBdr>
            <w:top w:val="none" w:sz="0" w:space="0" w:color="auto"/>
            <w:left w:val="none" w:sz="0" w:space="0" w:color="auto"/>
            <w:bottom w:val="none" w:sz="0" w:space="0" w:color="auto"/>
            <w:right w:val="none" w:sz="0" w:space="0" w:color="auto"/>
          </w:divBdr>
        </w:div>
      </w:divsChild>
    </w:div>
    <w:div w:id="1389526073">
      <w:bodyDiv w:val="1"/>
      <w:marLeft w:val="0"/>
      <w:marRight w:val="0"/>
      <w:marTop w:val="0"/>
      <w:marBottom w:val="0"/>
      <w:divBdr>
        <w:top w:val="none" w:sz="0" w:space="0" w:color="auto"/>
        <w:left w:val="none" w:sz="0" w:space="0" w:color="auto"/>
        <w:bottom w:val="none" w:sz="0" w:space="0" w:color="auto"/>
        <w:right w:val="none" w:sz="0" w:space="0" w:color="auto"/>
      </w:divBdr>
    </w:div>
    <w:div w:id="1391344751">
      <w:bodyDiv w:val="1"/>
      <w:marLeft w:val="0"/>
      <w:marRight w:val="0"/>
      <w:marTop w:val="0"/>
      <w:marBottom w:val="0"/>
      <w:divBdr>
        <w:top w:val="none" w:sz="0" w:space="0" w:color="auto"/>
        <w:left w:val="none" w:sz="0" w:space="0" w:color="auto"/>
        <w:bottom w:val="none" w:sz="0" w:space="0" w:color="auto"/>
        <w:right w:val="none" w:sz="0" w:space="0" w:color="auto"/>
      </w:divBdr>
    </w:div>
    <w:div w:id="1445613584">
      <w:bodyDiv w:val="1"/>
      <w:marLeft w:val="0"/>
      <w:marRight w:val="0"/>
      <w:marTop w:val="0"/>
      <w:marBottom w:val="0"/>
      <w:divBdr>
        <w:top w:val="none" w:sz="0" w:space="0" w:color="auto"/>
        <w:left w:val="none" w:sz="0" w:space="0" w:color="auto"/>
        <w:bottom w:val="none" w:sz="0" w:space="0" w:color="auto"/>
        <w:right w:val="none" w:sz="0" w:space="0" w:color="auto"/>
      </w:divBdr>
    </w:div>
    <w:div w:id="1457286936">
      <w:bodyDiv w:val="1"/>
      <w:marLeft w:val="0"/>
      <w:marRight w:val="0"/>
      <w:marTop w:val="0"/>
      <w:marBottom w:val="0"/>
      <w:divBdr>
        <w:top w:val="none" w:sz="0" w:space="0" w:color="auto"/>
        <w:left w:val="none" w:sz="0" w:space="0" w:color="auto"/>
        <w:bottom w:val="none" w:sz="0" w:space="0" w:color="auto"/>
        <w:right w:val="none" w:sz="0" w:space="0" w:color="auto"/>
      </w:divBdr>
    </w:div>
    <w:div w:id="1469862901">
      <w:bodyDiv w:val="1"/>
      <w:marLeft w:val="0"/>
      <w:marRight w:val="0"/>
      <w:marTop w:val="0"/>
      <w:marBottom w:val="0"/>
      <w:divBdr>
        <w:top w:val="none" w:sz="0" w:space="0" w:color="auto"/>
        <w:left w:val="none" w:sz="0" w:space="0" w:color="auto"/>
        <w:bottom w:val="none" w:sz="0" w:space="0" w:color="auto"/>
        <w:right w:val="none" w:sz="0" w:space="0" w:color="auto"/>
      </w:divBdr>
      <w:divsChild>
        <w:div w:id="663775118">
          <w:marLeft w:val="446"/>
          <w:marRight w:val="0"/>
          <w:marTop w:val="0"/>
          <w:marBottom w:val="0"/>
          <w:divBdr>
            <w:top w:val="none" w:sz="0" w:space="0" w:color="auto"/>
            <w:left w:val="none" w:sz="0" w:space="0" w:color="auto"/>
            <w:bottom w:val="none" w:sz="0" w:space="0" w:color="auto"/>
            <w:right w:val="none" w:sz="0" w:space="0" w:color="auto"/>
          </w:divBdr>
        </w:div>
        <w:div w:id="1265916656">
          <w:marLeft w:val="446"/>
          <w:marRight w:val="0"/>
          <w:marTop w:val="0"/>
          <w:marBottom w:val="0"/>
          <w:divBdr>
            <w:top w:val="none" w:sz="0" w:space="0" w:color="auto"/>
            <w:left w:val="none" w:sz="0" w:space="0" w:color="auto"/>
            <w:bottom w:val="none" w:sz="0" w:space="0" w:color="auto"/>
            <w:right w:val="none" w:sz="0" w:space="0" w:color="auto"/>
          </w:divBdr>
        </w:div>
        <w:div w:id="1375737773">
          <w:marLeft w:val="446"/>
          <w:marRight w:val="0"/>
          <w:marTop w:val="0"/>
          <w:marBottom w:val="0"/>
          <w:divBdr>
            <w:top w:val="none" w:sz="0" w:space="0" w:color="auto"/>
            <w:left w:val="none" w:sz="0" w:space="0" w:color="auto"/>
            <w:bottom w:val="none" w:sz="0" w:space="0" w:color="auto"/>
            <w:right w:val="none" w:sz="0" w:space="0" w:color="auto"/>
          </w:divBdr>
        </w:div>
      </w:divsChild>
    </w:div>
    <w:div w:id="1517504317">
      <w:bodyDiv w:val="1"/>
      <w:marLeft w:val="0"/>
      <w:marRight w:val="0"/>
      <w:marTop w:val="0"/>
      <w:marBottom w:val="0"/>
      <w:divBdr>
        <w:top w:val="none" w:sz="0" w:space="0" w:color="auto"/>
        <w:left w:val="none" w:sz="0" w:space="0" w:color="auto"/>
        <w:bottom w:val="none" w:sz="0" w:space="0" w:color="auto"/>
        <w:right w:val="none" w:sz="0" w:space="0" w:color="auto"/>
      </w:divBdr>
    </w:div>
    <w:div w:id="1523855289">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46479484">
      <w:bodyDiv w:val="1"/>
      <w:marLeft w:val="0"/>
      <w:marRight w:val="0"/>
      <w:marTop w:val="0"/>
      <w:marBottom w:val="0"/>
      <w:divBdr>
        <w:top w:val="none" w:sz="0" w:space="0" w:color="auto"/>
        <w:left w:val="none" w:sz="0" w:space="0" w:color="auto"/>
        <w:bottom w:val="none" w:sz="0" w:space="0" w:color="auto"/>
        <w:right w:val="none" w:sz="0" w:space="0" w:color="auto"/>
      </w:divBdr>
    </w:div>
    <w:div w:id="1550804650">
      <w:bodyDiv w:val="1"/>
      <w:marLeft w:val="0"/>
      <w:marRight w:val="0"/>
      <w:marTop w:val="0"/>
      <w:marBottom w:val="0"/>
      <w:divBdr>
        <w:top w:val="none" w:sz="0" w:space="0" w:color="auto"/>
        <w:left w:val="none" w:sz="0" w:space="0" w:color="auto"/>
        <w:bottom w:val="none" w:sz="0" w:space="0" w:color="auto"/>
        <w:right w:val="none" w:sz="0" w:space="0" w:color="auto"/>
      </w:divBdr>
    </w:div>
    <w:div w:id="1625964205">
      <w:bodyDiv w:val="1"/>
      <w:marLeft w:val="0"/>
      <w:marRight w:val="0"/>
      <w:marTop w:val="0"/>
      <w:marBottom w:val="0"/>
      <w:divBdr>
        <w:top w:val="none" w:sz="0" w:space="0" w:color="auto"/>
        <w:left w:val="none" w:sz="0" w:space="0" w:color="auto"/>
        <w:bottom w:val="none" w:sz="0" w:space="0" w:color="auto"/>
        <w:right w:val="none" w:sz="0" w:space="0" w:color="auto"/>
      </w:divBdr>
    </w:div>
    <w:div w:id="1664627212">
      <w:bodyDiv w:val="1"/>
      <w:marLeft w:val="0"/>
      <w:marRight w:val="0"/>
      <w:marTop w:val="0"/>
      <w:marBottom w:val="0"/>
      <w:divBdr>
        <w:top w:val="none" w:sz="0" w:space="0" w:color="auto"/>
        <w:left w:val="none" w:sz="0" w:space="0" w:color="auto"/>
        <w:bottom w:val="none" w:sz="0" w:space="0" w:color="auto"/>
        <w:right w:val="none" w:sz="0" w:space="0" w:color="auto"/>
      </w:divBdr>
    </w:div>
    <w:div w:id="1684673176">
      <w:bodyDiv w:val="1"/>
      <w:marLeft w:val="0"/>
      <w:marRight w:val="0"/>
      <w:marTop w:val="0"/>
      <w:marBottom w:val="0"/>
      <w:divBdr>
        <w:top w:val="none" w:sz="0" w:space="0" w:color="auto"/>
        <w:left w:val="none" w:sz="0" w:space="0" w:color="auto"/>
        <w:bottom w:val="none" w:sz="0" w:space="0" w:color="auto"/>
        <w:right w:val="none" w:sz="0" w:space="0" w:color="auto"/>
      </w:divBdr>
    </w:div>
    <w:div w:id="1723677471">
      <w:bodyDiv w:val="1"/>
      <w:marLeft w:val="0"/>
      <w:marRight w:val="0"/>
      <w:marTop w:val="0"/>
      <w:marBottom w:val="0"/>
      <w:divBdr>
        <w:top w:val="none" w:sz="0" w:space="0" w:color="auto"/>
        <w:left w:val="none" w:sz="0" w:space="0" w:color="auto"/>
        <w:bottom w:val="none" w:sz="0" w:space="0" w:color="auto"/>
        <w:right w:val="none" w:sz="0" w:space="0" w:color="auto"/>
      </w:divBdr>
    </w:div>
    <w:div w:id="1727988860">
      <w:bodyDiv w:val="1"/>
      <w:marLeft w:val="0"/>
      <w:marRight w:val="0"/>
      <w:marTop w:val="0"/>
      <w:marBottom w:val="0"/>
      <w:divBdr>
        <w:top w:val="none" w:sz="0" w:space="0" w:color="auto"/>
        <w:left w:val="none" w:sz="0" w:space="0" w:color="auto"/>
        <w:bottom w:val="none" w:sz="0" w:space="0" w:color="auto"/>
        <w:right w:val="none" w:sz="0" w:space="0" w:color="auto"/>
      </w:divBdr>
    </w:div>
    <w:div w:id="1746758627">
      <w:bodyDiv w:val="1"/>
      <w:marLeft w:val="0"/>
      <w:marRight w:val="0"/>
      <w:marTop w:val="0"/>
      <w:marBottom w:val="0"/>
      <w:divBdr>
        <w:top w:val="none" w:sz="0" w:space="0" w:color="auto"/>
        <w:left w:val="none" w:sz="0" w:space="0" w:color="auto"/>
        <w:bottom w:val="none" w:sz="0" w:space="0" w:color="auto"/>
        <w:right w:val="none" w:sz="0" w:space="0" w:color="auto"/>
      </w:divBdr>
    </w:div>
    <w:div w:id="1784302547">
      <w:bodyDiv w:val="1"/>
      <w:marLeft w:val="0"/>
      <w:marRight w:val="0"/>
      <w:marTop w:val="0"/>
      <w:marBottom w:val="0"/>
      <w:divBdr>
        <w:top w:val="none" w:sz="0" w:space="0" w:color="auto"/>
        <w:left w:val="none" w:sz="0" w:space="0" w:color="auto"/>
        <w:bottom w:val="none" w:sz="0" w:space="0" w:color="auto"/>
        <w:right w:val="none" w:sz="0" w:space="0" w:color="auto"/>
      </w:divBdr>
    </w:div>
    <w:div w:id="1785231495">
      <w:bodyDiv w:val="1"/>
      <w:marLeft w:val="0"/>
      <w:marRight w:val="0"/>
      <w:marTop w:val="0"/>
      <w:marBottom w:val="0"/>
      <w:divBdr>
        <w:top w:val="none" w:sz="0" w:space="0" w:color="auto"/>
        <w:left w:val="none" w:sz="0" w:space="0" w:color="auto"/>
        <w:bottom w:val="none" w:sz="0" w:space="0" w:color="auto"/>
        <w:right w:val="none" w:sz="0" w:space="0" w:color="auto"/>
      </w:divBdr>
    </w:div>
    <w:div w:id="1827550662">
      <w:bodyDiv w:val="1"/>
      <w:marLeft w:val="0"/>
      <w:marRight w:val="0"/>
      <w:marTop w:val="0"/>
      <w:marBottom w:val="0"/>
      <w:divBdr>
        <w:top w:val="none" w:sz="0" w:space="0" w:color="auto"/>
        <w:left w:val="none" w:sz="0" w:space="0" w:color="auto"/>
        <w:bottom w:val="none" w:sz="0" w:space="0" w:color="auto"/>
        <w:right w:val="none" w:sz="0" w:space="0" w:color="auto"/>
      </w:divBdr>
    </w:div>
    <w:div w:id="1830170178">
      <w:bodyDiv w:val="1"/>
      <w:marLeft w:val="0"/>
      <w:marRight w:val="0"/>
      <w:marTop w:val="0"/>
      <w:marBottom w:val="0"/>
      <w:divBdr>
        <w:top w:val="none" w:sz="0" w:space="0" w:color="auto"/>
        <w:left w:val="none" w:sz="0" w:space="0" w:color="auto"/>
        <w:bottom w:val="none" w:sz="0" w:space="0" w:color="auto"/>
        <w:right w:val="none" w:sz="0" w:space="0" w:color="auto"/>
      </w:divBdr>
    </w:div>
    <w:div w:id="1833566334">
      <w:bodyDiv w:val="1"/>
      <w:marLeft w:val="0"/>
      <w:marRight w:val="0"/>
      <w:marTop w:val="0"/>
      <w:marBottom w:val="0"/>
      <w:divBdr>
        <w:top w:val="none" w:sz="0" w:space="0" w:color="auto"/>
        <w:left w:val="none" w:sz="0" w:space="0" w:color="auto"/>
        <w:bottom w:val="none" w:sz="0" w:space="0" w:color="auto"/>
        <w:right w:val="none" w:sz="0" w:space="0" w:color="auto"/>
      </w:divBdr>
    </w:div>
    <w:div w:id="1849826464">
      <w:bodyDiv w:val="1"/>
      <w:marLeft w:val="0"/>
      <w:marRight w:val="0"/>
      <w:marTop w:val="0"/>
      <w:marBottom w:val="0"/>
      <w:divBdr>
        <w:top w:val="none" w:sz="0" w:space="0" w:color="auto"/>
        <w:left w:val="none" w:sz="0" w:space="0" w:color="auto"/>
        <w:bottom w:val="none" w:sz="0" w:space="0" w:color="auto"/>
        <w:right w:val="none" w:sz="0" w:space="0" w:color="auto"/>
      </w:divBdr>
    </w:div>
    <w:div w:id="1869443624">
      <w:bodyDiv w:val="1"/>
      <w:marLeft w:val="0"/>
      <w:marRight w:val="0"/>
      <w:marTop w:val="0"/>
      <w:marBottom w:val="0"/>
      <w:divBdr>
        <w:top w:val="none" w:sz="0" w:space="0" w:color="auto"/>
        <w:left w:val="none" w:sz="0" w:space="0" w:color="auto"/>
        <w:bottom w:val="none" w:sz="0" w:space="0" w:color="auto"/>
        <w:right w:val="none" w:sz="0" w:space="0" w:color="auto"/>
      </w:divBdr>
    </w:div>
    <w:div w:id="1874267820">
      <w:bodyDiv w:val="1"/>
      <w:marLeft w:val="0"/>
      <w:marRight w:val="0"/>
      <w:marTop w:val="0"/>
      <w:marBottom w:val="0"/>
      <w:divBdr>
        <w:top w:val="none" w:sz="0" w:space="0" w:color="auto"/>
        <w:left w:val="none" w:sz="0" w:space="0" w:color="auto"/>
        <w:bottom w:val="none" w:sz="0" w:space="0" w:color="auto"/>
        <w:right w:val="none" w:sz="0" w:space="0" w:color="auto"/>
      </w:divBdr>
    </w:div>
    <w:div w:id="1899434095">
      <w:bodyDiv w:val="1"/>
      <w:marLeft w:val="0"/>
      <w:marRight w:val="0"/>
      <w:marTop w:val="0"/>
      <w:marBottom w:val="0"/>
      <w:divBdr>
        <w:top w:val="none" w:sz="0" w:space="0" w:color="auto"/>
        <w:left w:val="none" w:sz="0" w:space="0" w:color="auto"/>
        <w:bottom w:val="none" w:sz="0" w:space="0" w:color="auto"/>
        <w:right w:val="none" w:sz="0" w:space="0" w:color="auto"/>
      </w:divBdr>
    </w:div>
    <w:div w:id="1917127965">
      <w:bodyDiv w:val="1"/>
      <w:marLeft w:val="0"/>
      <w:marRight w:val="0"/>
      <w:marTop w:val="0"/>
      <w:marBottom w:val="0"/>
      <w:divBdr>
        <w:top w:val="none" w:sz="0" w:space="0" w:color="auto"/>
        <w:left w:val="none" w:sz="0" w:space="0" w:color="auto"/>
        <w:bottom w:val="none" w:sz="0" w:space="0" w:color="auto"/>
        <w:right w:val="none" w:sz="0" w:space="0" w:color="auto"/>
      </w:divBdr>
    </w:div>
    <w:div w:id="1920092499">
      <w:bodyDiv w:val="1"/>
      <w:marLeft w:val="0"/>
      <w:marRight w:val="0"/>
      <w:marTop w:val="0"/>
      <w:marBottom w:val="0"/>
      <w:divBdr>
        <w:top w:val="none" w:sz="0" w:space="0" w:color="auto"/>
        <w:left w:val="none" w:sz="0" w:space="0" w:color="auto"/>
        <w:bottom w:val="none" w:sz="0" w:space="0" w:color="auto"/>
        <w:right w:val="none" w:sz="0" w:space="0" w:color="auto"/>
      </w:divBdr>
    </w:div>
    <w:div w:id="1923761617">
      <w:bodyDiv w:val="1"/>
      <w:marLeft w:val="0"/>
      <w:marRight w:val="0"/>
      <w:marTop w:val="0"/>
      <w:marBottom w:val="0"/>
      <w:divBdr>
        <w:top w:val="none" w:sz="0" w:space="0" w:color="auto"/>
        <w:left w:val="none" w:sz="0" w:space="0" w:color="auto"/>
        <w:bottom w:val="none" w:sz="0" w:space="0" w:color="auto"/>
        <w:right w:val="none" w:sz="0" w:space="0" w:color="auto"/>
      </w:divBdr>
      <w:divsChild>
        <w:div w:id="800612271">
          <w:marLeft w:val="446"/>
          <w:marRight w:val="0"/>
          <w:marTop w:val="0"/>
          <w:marBottom w:val="0"/>
          <w:divBdr>
            <w:top w:val="none" w:sz="0" w:space="0" w:color="auto"/>
            <w:left w:val="none" w:sz="0" w:space="0" w:color="auto"/>
            <w:bottom w:val="none" w:sz="0" w:space="0" w:color="auto"/>
            <w:right w:val="none" w:sz="0" w:space="0" w:color="auto"/>
          </w:divBdr>
        </w:div>
        <w:div w:id="1281376183">
          <w:marLeft w:val="446"/>
          <w:marRight w:val="0"/>
          <w:marTop w:val="0"/>
          <w:marBottom w:val="0"/>
          <w:divBdr>
            <w:top w:val="none" w:sz="0" w:space="0" w:color="auto"/>
            <w:left w:val="none" w:sz="0" w:space="0" w:color="auto"/>
            <w:bottom w:val="none" w:sz="0" w:space="0" w:color="auto"/>
            <w:right w:val="none" w:sz="0" w:space="0" w:color="auto"/>
          </w:divBdr>
        </w:div>
      </w:divsChild>
    </w:div>
    <w:div w:id="1928342899">
      <w:bodyDiv w:val="1"/>
      <w:marLeft w:val="0"/>
      <w:marRight w:val="0"/>
      <w:marTop w:val="0"/>
      <w:marBottom w:val="0"/>
      <w:divBdr>
        <w:top w:val="none" w:sz="0" w:space="0" w:color="auto"/>
        <w:left w:val="none" w:sz="0" w:space="0" w:color="auto"/>
        <w:bottom w:val="none" w:sz="0" w:space="0" w:color="auto"/>
        <w:right w:val="none" w:sz="0" w:space="0" w:color="auto"/>
      </w:divBdr>
    </w:div>
    <w:div w:id="1997804857">
      <w:bodyDiv w:val="1"/>
      <w:marLeft w:val="0"/>
      <w:marRight w:val="0"/>
      <w:marTop w:val="0"/>
      <w:marBottom w:val="0"/>
      <w:divBdr>
        <w:top w:val="none" w:sz="0" w:space="0" w:color="auto"/>
        <w:left w:val="none" w:sz="0" w:space="0" w:color="auto"/>
        <w:bottom w:val="none" w:sz="0" w:space="0" w:color="auto"/>
        <w:right w:val="none" w:sz="0" w:space="0" w:color="auto"/>
      </w:divBdr>
    </w:div>
    <w:div w:id="2009600575">
      <w:bodyDiv w:val="1"/>
      <w:marLeft w:val="0"/>
      <w:marRight w:val="0"/>
      <w:marTop w:val="0"/>
      <w:marBottom w:val="0"/>
      <w:divBdr>
        <w:top w:val="none" w:sz="0" w:space="0" w:color="auto"/>
        <w:left w:val="none" w:sz="0" w:space="0" w:color="auto"/>
        <w:bottom w:val="none" w:sz="0" w:space="0" w:color="auto"/>
        <w:right w:val="none" w:sz="0" w:space="0" w:color="auto"/>
      </w:divBdr>
    </w:div>
    <w:div w:id="2018267674">
      <w:bodyDiv w:val="1"/>
      <w:marLeft w:val="0"/>
      <w:marRight w:val="0"/>
      <w:marTop w:val="0"/>
      <w:marBottom w:val="0"/>
      <w:divBdr>
        <w:top w:val="none" w:sz="0" w:space="0" w:color="auto"/>
        <w:left w:val="none" w:sz="0" w:space="0" w:color="auto"/>
        <w:bottom w:val="none" w:sz="0" w:space="0" w:color="auto"/>
        <w:right w:val="none" w:sz="0" w:space="0" w:color="auto"/>
      </w:divBdr>
      <w:divsChild>
        <w:div w:id="267473612">
          <w:marLeft w:val="1080"/>
          <w:marRight w:val="0"/>
          <w:marTop w:val="100"/>
          <w:marBottom w:val="0"/>
          <w:divBdr>
            <w:top w:val="none" w:sz="0" w:space="0" w:color="auto"/>
            <w:left w:val="none" w:sz="0" w:space="0" w:color="auto"/>
            <w:bottom w:val="none" w:sz="0" w:space="0" w:color="auto"/>
            <w:right w:val="none" w:sz="0" w:space="0" w:color="auto"/>
          </w:divBdr>
        </w:div>
        <w:div w:id="444152879">
          <w:marLeft w:val="1080"/>
          <w:marRight w:val="0"/>
          <w:marTop w:val="100"/>
          <w:marBottom w:val="0"/>
          <w:divBdr>
            <w:top w:val="none" w:sz="0" w:space="0" w:color="auto"/>
            <w:left w:val="none" w:sz="0" w:space="0" w:color="auto"/>
            <w:bottom w:val="none" w:sz="0" w:space="0" w:color="auto"/>
            <w:right w:val="none" w:sz="0" w:space="0" w:color="auto"/>
          </w:divBdr>
        </w:div>
        <w:div w:id="1207335942">
          <w:marLeft w:val="360"/>
          <w:marRight w:val="0"/>
          <w:marTop w:val="200"/>
          <w:marBottom w:val="0"/>
          <w:divBdr>
            <w:top w:val="none" w:sz="0" w:space="0" w:color="auto"/>
            <w:left w:val="none" w:sz="0" w:space="0" w:color="auto"/>
            <w:bottom w:val="none" w:sz="0" w:space="0" w:color="auto"/>
            <w:right w:val="none" w:sz="0" w:space="0" w:color="auto"/>
          </w:divBdr>
        </w:div>
        <w:div w:id="1219197791">
          <w:marLeft w:val="1080"/>
          <w:marRight w:val="0"/>
          <w:marTop w:val="100"/>
          <w:marBottom w:val="0"/>
          <w:divBdr>
            <w:top w:val="none" w:sz="0" w:space="0" w:color="auto"/>
            <w:left w:val="none" w:sz="0" w:space="0" w:color="auto"/>
            <w:bottom w:val="none" w:sz="0" w:space="0" w:color="auto"/>
            <w:right w:val="none" w:sz="0" w:space="0" w:color="auto"/>
          </w:divBdr>
        </w:div>
      </w:divsChild>
    </w:div>
    <w:div w:id="2020034458">
      <w:bodyDiv w:val="1"/>
      <w:marLeft w:val="0"/>
      <w:marRight w:val="0"/>
      <w:marTop w:val="0"/>
      <w:marBottom w:val="0"/>
      <w:divBdr>
        <w:top w:val="none" w:sz="0" w:space="0" w:color="auto"/>
        <w:left w:val="none" w:sz="0" w:space="0" w:color="auto"/>
        <w:bottom w:val="none" w:sz="0" w:space="0" w:color="auto"/>
        <w:right w:val="none" w:sz="0" w:space="0" w:color="auto"/>
      </w:divBdr>
    </w:div>
    <w:div w:id="2042319851">
      <w:bodyDiv w:val="1"/>
      <w:marLeft w:val="0"/>
      <w:marRight w:val="0"/>
      <w:marTop w:val="0"/>
      <w:marBottom w:val="0"/>
      <w:divBdr>
        <w:top w:val="none" w:sz="0" w:space="0" w:color="auto"/>
        <w:left w:val="none" w:sz="0" w:space="0" w:color="auto"/>
        <w:bottom w:val="none" w:sz="0" w:space="0" w:color="auto"/>
        <w:right w:val="none" w:sz="0" w:space="0" w:color="auto"/>
      </w:divBdr>
    </w:div>
    <w:div w:id="2047437834">
      <w:bodyDiv w:val="1"/>
      <w:marLeft w:val="0"/>
      <w:marRight w:val="0"/>
      <w:marTop w:val="0"/>
      <w:marBottom w:val="0"/>
      <w:divBdr>
        <w:top w:val="none" w:sz="0" w:space="0" w:color="auto"/>
        <w:left w:val="none" w:sz="0" w:space="0" w:color="auto"/>
        <w:bottom w:val="none" w:sz="0" w:space="0" w:color="auto"/>
        <w:right w:val="none" w:sz="0" w:space="0" w:color="auto"/>
      </w:divBdr>
    </w:div>
    <w:div w:id="2083524785">
      <w:bodyDiv w:val="1"/>
      <w:marLeft w:val="0"/>
      <w:marRight w:val="0"/>
      <w:marTop w:val="0"/>
      <w:marBottom w:val="0"/>
      <w:divBdr>
        <w:top w:val="none" w:sz="0" w:space="0" w:color="auto"/>
        <w:left w:val="none" w:sz="0" w:space="0" w:color="auto"/>
        <w:bottom w:val="none" w:sz="0" w:space="0" w:color="auto"/>
        <w:right w:val="none" w:sz="0" w:space="0" w:color="auto"/>
      </w:divBdr>
    </w:div>
    <w:div w:id="2101638592">
      <w:bodyDiv w:val="1"/>
      <w:marLeft w:val="0"/>
      <w:marRight w:val="0"/>
      <w:marTop w:val="0"/>
      <w:marBottom w:val="0"/>
      <w:divBdr>
        <w:top w:val="none" w:sz="0" w:space="0" w:color="auto"/>
        <w:left w:val="none" w:sz="0" w:space="0" w:color="auto"/>
        <w:bottom w:val="none" w:sz="0" w:space="0" w:color="auto"/>
        <w:right w:val="none" w:sz="0" w:space="0" w:color="auto"/>
      </w:divBdr>
    </w:div>
    <w:div w:id="2125533348">
      <w:bodyDiv w:val="1"/>
      <w:marLeft w:val="0"/>
      <w:marRight w:val="0"/>
      <w:marTop w:val="0"/>
      <w:marBottom w:val="0"/>
      <w:divBdr>
        <w:top w:val="none" w:sz="0" w:space="0" w:color="auto"/>
        <w:left w:val="none" w:sz="0" w:space="0" w:color="auto"/>
        <w:bottom w:val="none" w:sz="0" w:space="0" w:color="auto"/>
        <w:right w:val="none" w:sz="0" w:space="0" w:color="auto"/>
      </w:divBdr>
    </w:div>
    <w:div w:id="214519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oleObject" Target="embeddings/oleObject8.bin"/><Relationship Id="rId55"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image" Target="media/image23.png"/><Relationship Id="rId52" Type="http://schemas.openxmlformats.org/officeDocument/2006/relationships/oleObject" Target="embeddings/oleObject9.bin"/><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oleObject" Target="embeddings/oleObject6.bin"/><Relationship Id="rId48" Type="http://schemas.openxmlformats.org/officeDocument/2006/relationships/oleObject" Target="embeddings/oleObject7.bin"/><Relationship Id="rId56" Type="http://schemas.openxmlformats.org/officeDocument/2006/relationships/hyperlink" Target="http://www.lamoncloa.gob.es/espana/eh15/politicasocial/Documents/Europa-2020-la-estrategia-europea-de-crecimientoA.pdf" TargetMode="Externa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statista.com/statistics/319684/venture-capital-fundraising-us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51D29931885E4B830A1570EAFB918A" ma:contentTypeVersion="2" ma:contentTypeDescription="Create a new document." ma:contentTypeScope="" ma:versionID="740a6bdf7d2ba505ffd43f68e82963e9">
  <xsd:schema xmlns:xsd="http://www.w3.org/2001/XMLSchema" xmlns:xs="http://www.w3.org/2001/XMLSchema" xmlns:p="http://schemas.microsoft.com/office/2006/metadata/properties" xmlns:ns1="http://schemas.microsoft.com/sharepoint/v3" targetNamespace="http://schemas.microsoft.com/office/2006/metadata/properties" ma:root="true" ma:fieldsID="58c033809eba6c005b0f7e67d21c05b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b:Source>
    <b:Tag>EPC161</b:Tag>
    <b:SourceType>Book</b:SourceType>
    <b:Guid>{F1300643-D13E-4EC4-A006-56C37E99F287}</b:Guid>
    <b:Author>
      <b:Author>
        <b:Corporate>EPCIS </b:Corporate>
      </b:Author>
    </b:Author>
    <b:Title>EPCIS 1.1 specification</b:Title>
    <b:Year>2016</b:Year>
    <b:Publisher>http://www.gs1.org/sites/default/files/docs/epc/epcis_1_1-standard-20140520.pdf</b:Publisher>
    <b:RefOrder>1</b:RefOrder>
  </b:Source>
  <b:Source>
    <b:Tag>OAS</b:Tag>
    <b:SourceType>Book</b:SourceType>
    <b:Guid>{04C3443A-3866-4D8A-BF8C-07C29AF78372}</b:Guid>
    <b:Author>
      <b:Author>
        <b:Corporate>OASIS</b:Corporate>
      </b:Author>
    </b:Author>
    <b:Title>SOAP 1.2 specification</b:Title>
    <b:Publisher>https://www.w3.org/TR/soap/</b:Publisher>
    <b:RefOrder>2</b:RefOrder>
  </b:Source>
  <b:Source>
    <b:Tag>W3C</b:Tag>
    <b:SourceType>Book</b:SourceType>
    <b:Guid>{87A945D7-7EB2-405F-A68B-FB3175252C09}</b:Guid>
    <b:Author>
      <b:Author>
        <b:Corporate>W3C</b:Corporate>
      </b:Author>
    </b:Author>
    <b:Title>XML specification</b:Title>
    <b:Publisher>https://www.w3.org/XML/</b:Publisher>
    <b:RefOrder>3</b:RefOrder>
  </b:Source>
  <b:Source>
    <b:Tag>Roy00</b:Tag>
    <b:SourceType>Book</b:SourceType>
    <b:Guid>{4F86B09A-41CC-4611-BC8E-12643F29C501}</b:Guid>
    <b:Author>
      <b:Author>
        <b:Corporate>Roy Thomas Fielding</b:Corporate>
      </b:Author>
    </b:Author>
    <b:Title>Architectural Styles and the Design of Network-based Software Architectures</b:Title>
    <b:Year>2000</b:Year>
    <b:Publisher>http://www.ics.uci.edu/~fielding/pubs/dissertation/rest_arch_style.htm</b:Publisher>
    <b:RefOrder>4</b:RefOrder>
  </b:Source>
  <b:Source>
    <b:Tag>Dom10</b:Tag>
    <b:SourceType>Book</b:SourceType>
    <b:Guid>{307D7212-D5C7-462B-93D2-BAFB762CA9C1}</b:Guid>
    <b:Author>
      <b:Author>
        <b:Corporate>Dominique Guinard, Mathias Mueller, Jacques Pasquier-Rocha</b:Corporate>
      </b:Author>
    </b:Author>
    <b:Title>Giving RFID a REST: Building a Web-Enabled EPCIS</b:Title>
    <b:Year>2010</b:Year>
    <b:Publisher>http://diuf.unifr.ch/drupal/sites/diuf.unifr.ch.drupal.softeng/files/file/publications/external/IOT2010-giving.pdf</b:Publisher>
    <b:RefOrder>5</b:RefOrder>
  </b:Source>
  <b:Source>
    <b:Tag>EPC16</b:Tag>
    <b:SourceType>Book</b:SourceType>
    <b:Guid>{64E6EA95-FB44-40A2-91A7-452D3760490C}</b:Guid>
    <b:Author>
      <b:Author>
        <b:Corporate>EPCIS Webadapter Guide</b:Corporate>
      </b:Author>
    </b:Author>
    <b:Year>2016</b:Year>
    <b:Publisher>https://fosstrak.github.io/epcis/docs/webadapter-guide.html</b:Publisher>
    <b:Title>fosstrack EPCIS Webadapter Guide</b:Title>
    <b:RefOrder>6</b:RefOrder>
  </b:Source>
  <b:Source>
    <b:Tag>DRU16</b:Tag>
    <b:SourceType>Book</b:SourceType>
    <b:Guid>{FB7A8D42-B823-4BAA-8F37-33B342316066}</b:Guid>
    <b:Author>
      <b:Author>
        <b:Corporate>DRUPAL</b:Corporate>
      </b:Author>
    </b:Author>
    <b:Year>2016</b:Year>
    <b:Publisher>http://diuf.unifr.ch/drupal/sites/diuf.unifr.ch.drupal.softeng/files/teaching/studentprojects/mueller/RESTfulEPCIS_Specification.pdf</b:Publisher>
    <b:Title>DRUPAL EPCIS - REST specification</b:Title>
    <b:RefOrder>7</b:RefOrder>
  </b:Source>
  <b:Source>
    <b:Tag>ESA161</b:Tag>
    <b:SourceType>Book</b:SourceType>
    <b:Guid>{C61A9757-4D28-49BA-AF38-4B15BB3C5013}</b:Guid>
    <b:Author>
      <b:Author>
        <b:Corporate>ESA</b:Corporate>
      </b:Author>
    </b:Author>
    <b:Title>ESA G-POD grid processing on demand</b:Title>
    <b:Year>2016</b:Year>
    <b:Publisher>https://gpod.eo.esa.int/</b:Publisher>
    <b:RefOrder>8</b:RefOrder>
  </b:Source>
  <b:Source>
    <b:Tag>ESA16</b:Tag>
    <b:SourceType>Book</b:SourceType>
    <b:Guid>{E9827048-C9D9-4D30-9EEF-DEC71C29BABE}</b:Guid>
    <b:Author>
      <b:Author>
        <b:Corporate>ESA</b:Corporate>
      </b:Author>
    </b:Author>
    <b:Title>ESA Home Page</b:Title>
    <b:Year>2016</b:Year>
    <b:Publisher>http://www.esa.int/ESA</b:Publisher>
    <b:RefOrder>9</b:RefOrder>
  </b:Source>
</b:Sources>
</file>

<file path=customXml/itemProps1.xml><?xml version="1.0" encoding="utf-8"?>
<ds:datastoreItem xmlns:ds="http://schemas.openxmlformats.org/officeDocument/2006/customXml" ds:itemID="{D535CDC4-13F9-4318-8328-1A8BB0A81085}">
  <ds:schemaRefs>
    <ds:schemaRef ds:uri="http://schemas.microsoft.com/sharepoint/v3/contenttype/forms"/>
  </ds:schemaRefs>
</ds:datastoreItem>
</file>

<file path=customXml/itemProps2.xml><?xml version="1.0" encoding="utf-8"?>
<ds:datastoreItem xmlns:ds="http://schemas.openxmlformats.org/officeDocument/2006/customXml" ds:itemID="{7E3DB2BC-2D2D-46F9-B28D-85EB52ADF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9629B-9B3F-41A9-B4F9-DEB7EDCBC451}">
  <ds:schemaRefs>
    <ds:schemaRef ds:uri="http://schemas.microsoft.com/office/infopath/2007/PartnerControls"/>
    <ds:schemaRef ds:uri="http://purl.org/dc/elements/1.1/"/>
    <ds:schemaRef ds:uri="http://schemas.microsoft.com/office/2006/documentManagement/types"/>
    <ds:schemaRef ds:uri="http://www.w3.org/XML/1998/namespace"/>
    <ds:schemaRef ds:uri="http://purl.org/dc/dcmitype/"/>
    <ds:schemaRef ds:uri="http://schemas.microsoft.com/sharepoint/v3"/>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8124239-8D59-4110-96B4-F04885D6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1</TotalTime>
  <Pages>78</Pages>
  <Words>27419</Words>
  <Characters>150808</Characters>
  <Application>Microsoft Office Word</Application>
  <DocSecurity>0</DocSecurity>
  <PresentationFormat>Microsoft Word 11.0</PresentationFormat>
  <Lines>1256</Lines>
  <Paragraphs>355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everis</Company>
  <LinksUpToDate>false</LinksUpToDate>
  <CharactersWithSpaces>177872</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pablo.mellado.hidalgo@everis.com</dc:creator>
  <cp:keywords/>
  <dc:description/>
  <cp:lastModifiedBy>Sara Royo Cacho</cp:lastModifiedBy>
  <cp:revision>2</cp:revision>
  <cp:lastPrinted>2018-09-24T17:01:00Z</cp:lastPrinted>
  <dcterms:created xsi:type="dcterms:W3CDTF">2018-10-29T07:15:00Z</dcterms:created>
  <dcterms:modified xsi:type="dcterms:W3CDTF">2018-10-29T07:15:00Z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40001</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0x0101000B51D29931885E4B830A1570EAFB918A</vt:lpwstr>
  </property>
</Properties>
</file>