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54E60" w14:textId="77777777" w:rsidR="007D46C5" w:rsidRPr="0095784D" w:rsidRDefault="007D46C5" w:rsidP="00BF2936">
      <w:pPr>
        <w:tabs>
          <w:tab w:val="right" w:pos="8280"/>
        </w:tabs>
        <w:ind w:left="8640" w:right="-22" w:hanging="8640"/>
        <w:jc w:val="left"/>
        <w:rPr>
          <w:rFonts w:ascii="Arial" w:hAnsi="Arial" w:cs="Arial"/>
          <w:caps/>
          <w:lang w:val="es-ES"/>
        </w:rPr>
      </w:pPr>
      <w:bookmarkStart w:id="0" w:name="_GoBack"/>
      <w:bookmarkEnd w:id="0"/>
    </w:p>
    <w:p w14:paraId="54BC6AED" w14:textId="77777777" w:rsidR="00A50808" w:rsidRPr="0095784D" w:rsidRDefault="00A50808" w:rsidP="00B31214">
      <w:pPr>
        <w:tabs>
          <w:tab w:val="right" w:pos="8280"/>
        </w:tabs>
        <w:ind w:right="-22"/>
        <w:jc w:val="left"/>
        <w:rPr>
          <w:rFonts w:ascii="Arial" w:hAnsi="Arial" w:cs="Arial"/>
          <w:caps/>
          <w:lang w:val="es-ES"/>
        </w:rPr>
      </w:pPr>
    </w:p>
    <w:p w14:paraId="5B5EECD3" w14:textId="77777777" w:rsidR="00AE7C03" w:rsidRPr="0095784D" w:rsidRDefault="00503869" w:rsidP="00B31214">
      <w:pPr>
        <w:tabs>
          <w:tab w:val="right" w:pos="8280"/>
        </w:tabs>
        <w:ind w:right="-22"/>
        <w:jc w:val="left"/>
        <w:rPr>
          <w:rFonts w:ascii="Arial" w:hAnsi="Arial" w:cs="Arial"/>
          <w:caps/>
          <w:lang w:val="es-ES"/>
        </w:rPr>
      </w:pPr>
      <w:r>
        <w:rPr>
          <w:rFonts w:ascii="Arial" w:eastAsia="Calibri" w:hAnsi="Arial" w:cs="Arial"/>
          <w:b/>
          <w:noProof/>
          <w:color w:val="000000"/>
          <w:sz w:val="52"/>
          <w:szCs w:val="22"/>
          <w:lang w:val="es-ES" w:eastAsia="es-ES"/>
        </w:rPr>
        <w:drawing>
          <wp:anchor distT="0" distB="0" distL="114300" distR="114300" simplePos="0" relativeHeight="251656192" behindDoc="1" locked="0" layoutInCell="1" allowOverlap="1" wp14:anchorId="4339ED6D" wp14:editId="565FB9BB">
            <wp:simplePos x="0" y="0"/>
            <wp:positionH relativeFrom="column">
              <wp:posOffset>-910590</wp:posOffset>
            </wp:positionH>
            <wp:positionV relativeFrom="margin">
              <wp:posOffset>782320</wp:posOffset>
            </wp:positionV>
            <wp:extent cx="7580630" cy="8696325"/>
            <wp:effectExtent l="0" t="0" r="1270"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0630" cy="8696325"/>
                    </a:xfrm>
                    <a:prstGeom prst="rect">
                      <a:avLst/>
                    </a:prstGeom>
                    <a:noFill/>
                  </pic:spPr>
                </pic:pic>
              </a:graphicData>
            </a:graphic>
            <wp14:sizeRelH relativeFrom="page">
              <wp14:pctWidth>0</wp14:pctWidth>
            </wp14:sizeRelH>
            <wp14:sizeRelV relativeFrom="page">
              <wp14:pctHeight>0</wp14:pctHeight>
            </wp14:sizeRelV>
          </wp:anchor>
        </w:drawing>
      </w:r>
    </w:p>
    <w:p w14:paraId="63B0359D" w14:textId="77777777" w:rsidR="0060255B" w:rsidRPr="0095784D" w:rsidRDefault="0060255B" w:rsidP="00B31214">
      <w:pPr>
        <w:tabs>
          <w:tab w:val="right" w:pos="8280"/>
        </w:tabs>
        <w:ind w:right="-22"/>
        <w:jc w:val="left"/>
        <w:rPr>
          <w:rFonts w:ascii="Arial" w:hAnsi="Arial" w:cs="Arial"/>
          <w:caps/>
          <w:lang w:val="es-ES"/>
        </w:rPr>
      </w:pPr>
    </w:p>
    <w:p w14:paraId="7A05B581" w14:textId="77777777" w:rsidR="0060255B" w:rsidRPr="0095784D" w:rsidRDefault="0060255B" w:rsidP="00B31214">
      <w:pPr>
        <w:tabs>
          <w:tab w:val="right" w:pos="8280"/>
        </w:tabs>
        <w:ind w:right="-22"/>
        <w:jc w:val="left"/>
        <w:rPr>
          <w:rFonts w:ascii="Arial" w:hAnsi="Arial" w:cs="Arial"/>
          <w:caps/>
          <w:lang w:val="es-ES"/>
        </w:rPr>
      </w:pPr>
    </w:p>
    <w:p w14:paraId="4810FE2A" w14:textId="77777777" w:rsidR="0060255B" w:rsidRPr="0095784D" w:rsidRDefault="0060255B" w:rsidP="00B31214">
      <w:pPr>
        <w:tabs>
          <w:tab w:val="right" w:pos="8280"/>
        </w:tabs>
        <w:ind w:right="-22"/>
        <w:jc w:val="left"/>
        <w:rPr>
          <w:rFonts w:ascii="Arial" w:hAnsi="Arial" w:cs="Arial"/>
          <w:caps/>
          <w:lang w:val="es-ES"/>
        </w:rPr>
      </w:pPr>
    </w:p>
    <w:p w14:paraId="4EF3651A" w14:textId="77777777" w:rsidR="00910BEB" w:rsidRPr="0095784D" w:rsidRDefault="00910BEB" w:rsidP="009B6318">
      <w:pPr>
        <w:tabs>
          <w:tab w:val="right" w:pos="8280"/>
        </w:tabs>
        <w:ind w:right="-22"/>
        <w:jc w:val="left"/>
        <w:rPr>
          <w:rFonts w:ascii="Arial" w:hAnsi="Arial" w:cs="Arial"/>
          <w:caps/>
          <w:lang w:val="es-ES"/>
        </w:rPr>
      </w:pPr>
    </w:p>
    <w:p w14:paraId="6A7A7A19" w14:textId="5C8D9336" w:rsidR="005846FD" w:rsidRDefault="005846FD" w:rsidP="005846FD">
      <w:pPr>
        <w:spacing w:before="120" w:after="0"/>
        <w:jc w:val="center"/>
        <w:rPr>
          <w:rFonts w:ascii="Century Gothic" w:hAnsi="Century Gothic" w:cs="Arial"/>
          <w:b/>
          <w:bCs/>
          <w:color w:val="000000"/>
          <w:sz w:val="44"/>
          <w:szCs w:val="24"/>
          <w:lang w:val="es-ES" w:eastAsia="es-ES"/>
        </w:rPr>
      </w:pPr>
      <w:r w:rsidRPr="0097284A">
        <w:rPr>
          <w:rFonts w:ascii="Century Gothic" w:hAnsi="Century Gothic" w:cs="Arial"/>
          <w:b/>
          <w:bCs/>
          <w:color w:val="000000"/>
          <w:sz w:val="44"/>
          <w:szCs w:val="24"/>
          <w:lang w:val="es-ES" w:eastAsia="es-ES"/>
        </w:rPr>
        <w:t>MARCO ESTRATÉGICO EN POLÍTICA</w:t>
      </w:r>
      <w:r w:rsidR="000913FF">
        <w:rPr>
          <w:rFonts w:ascii="Century Gothic" w:hAnsi="Century Gothic" w:cs="Arial"/>
          <w:b/>
          <w:bCs/>
          <w:color w:val="000000"/>
          <w:sz w:val="44"/>
          <w:szCs w:val="24"/>
          <w:lang w:val="es-ES" w:eastAsia="es-ES"/>
        </w:rPr>
        <w:t xml:space="preserve"> DE</w:t>
      </w:r>
      <w:r w:rsidRPr="0097284A">
        <w:rPr>
          <w:rFonts w:ascii="Century Gothic" w:hAnsi="Century Gothic" w:cs="Arial"/>
          <w:b/>
          <w:bCs/>
          <w:color w:val="000000"/>
          <w:sz w:val="44"/>
          <w:szCs w:val="24"/>
          <w:lang w:val="es-ES" w:eastAsia="es-ES"/>
        </w:rPr>
        <w:t xml:space="preserve"> PYME</w:t>
      </w:r>
      <w:r w:rsidR="00283190">
        <w:rPr>
          <w:rFonts w:ascii="Century Gothic" w:hAnsi="Century Gothic" w:cs="Arial"/>
          <w:b/>
          <w:bCs/>
          <w:color w:val="000000"/>
          <w:sz w:val="44"/>
          <w:szCs w:val="24"/>
          <w:lang w:val="es-ES" w:eastAsia="es-ES"/>
        </w:rPr>
        <w:t xml:space="preserve"> 2030</w:t>
      </w:r>
    </w:p>
    <w:p w14:paraId="27F07C36" w14:textId="264C51B7" w:rsidR="00811CB8" w:rsidRPr="0097284A" w:rsidRDefault="00811CB8" w:rsidP="005846FD">
      <w:pPr>
        <w:spacing w:before="120" w:after="0"/>
        <w:jc w:val="center"/>
        <w:rPr>
          <w:rFonts w:ascii="Century Gothic" w:hAnsi="Century Gothic" w:cs="Arial"/>
          <w:b/>
          <w:bCs/>
          <w:color w:val="000000"/>
          <w:sz w:val="44"/>
          <w:szCs w:val="24"/>
          <w:lang w:val="es-ES" w:eastAsia="es-ES"/>
        </w:rPr>
      </w:pPr>
      <w:r>
        <w:rPr>
          <w:rFonts w:ascii="Century Gothic" w:hAnsi="Century Gothic" w:cs="Arial"/>
          <w:b/>
          <w:bCs/>
          <w:color w:val="000000"/>
          <w:sz w:val="44"/>
          <w:szCs w:val="24"/>
          <w:lang w:val="es-ES" w:eastAsia="es-ES"/>
        </w:rPr>
        <w:t>ANEXOS</w:t>
      </w:r>
    </w:p>
    <w:p w14:paraId="77AB013F" w14:textId="0201ED05" w:rsidR="005846FD" w:rsidRPr="0097284A" w:rsidRDefault="00DF1DC5" w:rsidP="005846FD">
      <w:pPr>
        <w:spacing w:before="120" w:after="0"/>
        <w:jc w:val="center"/>
        <w:rPr>
          <w:rFonts w:ascii="Century Gothic" w:hAnsi="Century Gothic" w:cs="Arial"/>
          <w:b/>
          <w:color w:val="000000"/>
          <w:sz w:val="44"/>
          <w:szCs w:val="44"/>
          <w:lang w:val="es-ES" w:eastAsia="es-ES"/>
        </w:rPr>
      </w:pPr>
      <w:r>
        <w:rPr>
          <w:rFonts w:ascii="Century Gothic" w:hAnsi="Century Gothic" w:cs="Arial"/>
          <w:bCs/>
          <w:color w:val="000000"/>
          <w:sz w:val="44"/>
          <w:szCs w:val="44"/>
          <w:lang w:val="es-ES" w:eastAsia="es-ES"/>
        </w:rPr>
        <w:t>Secretaría</w:t>
      </w:r>
      <w:r w:rsidR="005846FD" w:rsidRPr="0097284A">
        <w:rPr>
          <w:rFonts w:ascii="Century Gothic" w:hAnsi="Century Gothic" w:cs="Arial"/>
          <w:bCs/>
          <w:color w:val="000000"/>
          <w:sz w:val="44"/>
          <w:szCs w:val="44"/>
          <w:lang w:val="es-ES" w:eastAsia="es-ES"/>
        </w:rPr>
        <w:t xml:space="preserve"> General de Industria y de la Pequeña y Mediana Empresa</w:t>
      </w:r>
    </w:p>
    <w:p w14:paraId="765BCADD"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3A827F97"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3B658EB6"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4220A134" w14:textId="77777777" w:rsidR="005846FD" w:rsidRPr="0095784D" w:rsidRDefault="00E06631" w:rsidP="005846FD">
      <w:pPr>
        <w:spacing w:after="0"/>
        <w:jc w:val="center"/>
        <w:rPr>
          <w:rFonts w:ascii="Arial" w:eastAsia="Calibri" w:hAnsi="Arial" w:cs="Arial"/>
          <w:b/>
          <w:color w:val="000000"/>
          <w:sz w:val="52"/>
          <w:szCs w:val="22"/>
          <w:lang w:val="es-ES" w:eastAsia="es-ES"/>
        </w:rPr>
      </w:pPr>
      <w:r>
        <w:rPr>
          <w:rFonts w:ascii="Arial" w:eastAsia="Calibri" w:hAnsi="Arial" w:cs="Arial"/>
          <w:b/>
          <w:noProof/>
          <w:color w:val="000000"/>
          <w:sz w:val="52"/>
          <w:szCs w:val="22"/>
          <w:lang w:val="es-ES" w:eastAsia="es-ES"/>
        </w:rPr>
        <w:drawing>
          <wp:anchor distT="0" distB="0" distL="114300" distR="114300" simplePos="0" relativeHeight="251657216" behindDoc="0" locked="0" layoutInCell="1" allowOverlap="1" wp14:anchorId="29BB3BA3" wp14:editId="31652363">
            <wp:simplePos x="0" y="0"/>
            <wp:positionH relativeFrom="column">
              <wp:posOffset>870585</wp:posOffset>
            </wp:positionH>
            <wp:positionV relativeFrom="margin">
              <wp:posOffset>4719211</wp:posOffset>
            </wp:positionV>
            <wp:extent cx="3907790" cy="90233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902335"/>
                    </a:xfrm>
                    <a:prstGeom prst="rect">
                      <a:avLst/>
                    </a:prstGeom>
                    <a:noFill/>
                  </pic:spPr>
                </pic:pic>
              </a:graphicData>
            </a:graphic>
            <wp14:sizeRelH relativeFrom="page">
              <wp14:pctWidth>0</wp14:pctWidth>
            </wp14:sizeRelH>
            <wp14:sizeRelV relativeFrom="page">
              <wp14:pctHeight>0</wp14:pctHeight>
            </wp14:sizeRelV>
          </wp:anchor>
        </w:drawing>
      </w:r>
    </w:p>
    <w:p w14:paraId="78D50D7F"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2073B787"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12546939"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4B556581" w14:textId="77777777" w:rsidR="005846FD" w:rsidRPr="0095784D" w:rsidRDefault="005846FD" w:rsidP="005846FD">
      <w:pPr>
        <w:spacing w:after="0"/>
        <w:jc w:val="center"/>
        <w:rPr>
          <w:rFonts w:ascii="Arial" w:eastAsia="Calibri" w:hAnsi="Arial" w:cs="Arial"/>
          <w:b/>
          <w:color w:val="000000"/>
          <w:sz w:val="52"/>
          <w:szCs w:val="22"/>
          <w:lang w:val="es-ES" w:eastAsia="es-ES"/>
        </w:rPr>
      </w:pPr>
    </w:p>
    <w:p w14:paraId="2623EFBD" w14:textId="77777777" w:rsidR="00E06631" w:rsidRPr="0097284A" w:rsidRDefault="00E06631" w:rsidP="005846FD">
      <w:pPr>
        <w:spacing w:after="0"/>
        <w:jc w:val="right"/>
        <w:rPr>
          <w:rFonts w:ascii="Century Gothic" w:eastAsia="Calibri" w:hAnsi="Century Gothic" w:cs="Arial"/>
          <w:b/>
          <w:color w:val="000000" w:themeColor="text1"/>
          <w:sz w:val="36"/>
          <w:szCs w:val="22"/>
          <w:lang w:val="es-ES" w:eastAsia="es-ES"/>
        </w:rPr>
      </w:pPr>
    </w:p>
    <w:p w14:paraId="4BB0F263" w14:textId="77777777" w:rsidR="00B438AD" w:rsidRPr="0097284A" w:rsidRDefault="00B438AD" w:rsidP="005846FD">
      <w:pPr>
        <w:spacing w:after="0"/>
        <w:jc w:val="right"/>
        <w:rPr>
          <w:rFonts w:ascii="Century Gothic" w:eastAsia="Calibri" w:hAnsi="Century Gothic" w:cs="Arial"/>
          <w:color w:val="000000" w:themeColor="text1"/>
          <w:sz w:val="36"/>
          <w:szCs w:val="22"/>
          <w:lang w:val="es-ES" w:eastAsia="es-ES"/>
        </w:rPr>
      </w:pPr>
      <w:r w:rsidRPr="0097284A">
        <w:rPr>
          <w:rFonts w:ascii="Century Gothic" w:eastAsia="Calibri" w:hAnsi="Century Gothic" w:cs="Arial"/>
          <w:color w:val="000000" w:themeColor="text1"/>
          <w:sz w:val="36"/>
          <w:szCs w:val="22"/>
          <w:lang w:val="es-ES" w:eastAsia="es-ES"/>
        </w:rPr>
        <w:t>Versión</w:t>
      </w:r>
    </w:p>
    <w:p w14:paraId="5E4F99CD" w14:textId="0DA4C21F" w:rsidR="005846FD" w:rsidRPr="0097284A" w:rsidRDefault="00666E58" w:rsidP="005846FD">
      <w:pPr>
        <w:spacing w:after="0"/>
        <w:jc w:val="right"/>
        <w:rPr>
          <w:rFonts w:ascii="Century Gothic" w:eastAsia="Calibri" w:hAnsi="Century Gothic" w:cs="Arial"/>
          <w:b/>
          <w:color w:val="000000" w:themeColor="text1"/>
          <w:sz w:val="36"/>
          <w:szCs w:val="22"/>
          <w:lang w:val="es-ES" w:eastAsia="es-ES"/>
        </w:rPr>
      </w:pPr>
      <w:r>
        <w:rPr>
          <w:rFonts w:ascii="Century Gothic" w:eastAsia="Calibri" w:hAnsi="Century Gothic" w:cs="Arial"/>
          <w:b/>
          <w:color w:val="000000" w:themeColor="text1"/>
          <w:sz w:val="36"/>
          <w:szCs w:val="22"/>
          <w:lang w:val="es-ES" w:eastAsia="es-ES"/>
        </w:rPr>
        <w:t>18</w:t>
      </w:r>
      <w:r w:rsidR="00A2234F">
        <w:rPr>
          <w:rFonts w:ascii="Century Gothic" w:eastAsia="Calibri" w:hAnsi="Century Gothic" w:cs="Arial"/>
          <w:b/>
          <w:color w:val="000000" w:themeColor="text1"/>
          <w:sz w:val="36"/>
          <w:szCs w:val="22"/>
          <w:lang w:val="es-ES" w:eastAsia="es-ES"/>
        </w:rPr>
        <w:t>/</w:t>
      </w:r>
      <w:r w:rsidR="00844FD3">
        <w:rPr>
          <w:rFonts w:ascii="Century Gothic" w:eastAsia="Calibri" w:hAnsi="Century Gothic" w:cs="Arial"/>
          <w:b/>
          <w:color w:val="000000" w:themeColor="text1"/>
          <w:sz w:val="36"/>
          <w:szCs w:val="22"/>
          <w:lang w:val="es-ES" w:eastAsia="es-ES"/>
        </w:rPr>
        <w:t>10</w:t>
      </w:r>
      <w:r w:rsidR="00393ABC">
        <w:rPr>
          <w:rFonts w:ascii="Century Gothic" w:eastAsia="Calibri" w:hAnsi="Century Gothic" w:cs="Arial"/>
          <w:b/>
          <w:color w:val="000000" w:themeColor="text1"/>
          <w:sz w:val="36"/>
          <w:szCs w:val="22"/>
          <w:lang w:val="es-ES" w:eastAsia="es-ES"/>
        </w:rPr>
        <w:t>/</w:t>
      </w:r>
      <w:r w:rsidR="00B438AD" w:rsidRPr="0097284A">
        <w:rPr>
          <w:rFonts w:ascii="Century Gothic" w:eastAsia="Calibri" w:hAnsi="Century Gothic" w:cs="Arial"/>
          <w:b/>
          <w:color w:val="000000" w:themeColor="text1"/>
          <w:sz w:val="36"/>
          <w:szCs w:val="22"/>
          <w:lang w:val="es-ES" w:eastAsia="es-ES"/>
        </w:rPr>
        <w:t>201</w:t>
      </w:r>
      <w:r w:rsidR="00E577DB">
        <w:rPr>
          <w:rFonts w:ascii="Century Gothic" w:eastAsia="Calibri" w:hAnsi="Century Gothic" w:cs="Arial"/>
          <w:b/>
          <w:color w:val="000000" w:themeColor="text1"/>
          <w:sz w:val="36"/>
          <w:szCs w:val="22"/>
          <w:lang w:val="es-ES" w:eastAsia="es-ES"/>
        </w:rPr>
        <w:t>8</w:t>
      </w:r>
    </w:p>
    <w:p w14:paraId="2ECC4582" w14:textId="77777777" w:rsidR="00E15F27" w:rsidRPr="0097284A" w:rsidRDefault="00E15F27" w:rsidP="002F375E">
      <w:pPr>
        <w:rPr>
          <w:rFonts w:ascii="Century Gothic" w:hAnsi="Century Gothic" w:cs="Arial"/>
          <w:lang w:val="es-ES"/>
        </w:rPr>
      </w:pPr>
    </w:p>
    <w:p w14:paraId="6D93659D" w14:textId="77777777" w:rsidR="002F375E" w:rsidRPr="0095784D" w:rsidRDefault="002F375E" w:rsidP="002F375E">
      <w:pPr>
        <w:rPr>
          <w:rFonts w:ascii="Arial" w:hAnsi="Arial" w:cs="Arial"/>
          <w:lang w:val="es-ES"/>
        </w:rPr>
      </w:pPr>
    </w:p>
    <w:sdt>
      <w:sdtPr>
        <w:rPr>
          <w:rFonts w:ascii="Verdana" w:eastAsia="Times New Roman" w:hAnsi="Verdana" w:cs="Times New Roman"/>
          <w:b w:val="0"/>
          <w:bCs w:val="0"/>
          <w:color w:val="auto"/>
          <w:sz w:val="20"/>
          <w:szCs w:val="20"/>
          <w:lang w:val="es-ES"/>
        </w:rPr>
        <w:id w:val="829406798"/>
        <w:docPartObj>
          <w:docPartGallery w:val="Table of Contents"/>
          <w:docPartUnique/>
        </w:docPartObj>
      </w:sdtPr>
      <w:sdtEndPr>
        <w:rPr>
          <w:lang w:val="en-GB"/>
        </w:rPr>
      </w:sdtEndPr>
      <w:sdtContent>
        <w:p w14:paraId="3F992F69" w14:textId="32B1BCFA" w:rsidR="00CA4820" w:rsidRDefault="00CA4820">
          <w:pPr>
            <w:pStyle w:val="TtulodeTDC"/>
          </w:pPr>
          <w:r>
            <w:rPr>
              <w:lang w:val="es-ES"/>
            </w:rPr>
            <w:t>Tabla de contenido</w:t>
          </w:r>
        </w:p>
        <w:p w14:paraId="7D40276F" w14:textId="3B735AD2" w:rsidR="007B70E9" w:rsidRDefault="00CA4820" w:rsidP="007B70E9">
          <w:pPr>
            <w:pStyle w:val="TDC1"/>
            <w:tabs>
              <w:tab w:val="left" w:pos="1134"/>
            </w:tabs>
            <w:rPr>
              <w:rFonts w:asciiTheme="minorHAnsi" w:eastAsiaTheme="minorEastAsia" w:hAnsiTheme="minorHAnsi" w:cstheme="minorBidi"/>
              <w:caps w:val="0"/>
              <w:noProof/>
              <w:sz w:val="22"/>
              <w:szCs w:val="22"/>
              <w:lang w:val="es-ES" w:eastAsia="es-ES"/>
            </w:rPr>
          </w:pPr>
          <w:r>
            <w:rPr>
              <w:b/>
              <w:bCs/>
            </w:rPr>
            <w:fldChar w:fldCharType="begin"/>
          </w:r>
          <w:r>
            <w:rPr>
              <w:b/>
              <w:bCs/>
            </w:rPr>
            <w:instrText xml:space="preserve"> TOC \o "1-3" \h \z \u </w:instrText>
          </w:r>
          <w:r>
            <w:rPr>
              <w:b/>
              <w:bCs/>
            </w:rPr>
            <w:fldChar w:fldCharType="separate"/>
          </w:r>
          <w:hyperlink w:anchor="_Toc526423222" w:history="1">
            <w:r w:rsidR="007B70E9" w:rsidRPr="000A627E">
              <w:rPr>
                <w:rStyle w:val="Hipervnculo"/>
                <w:rFonts w:cs="Arial"/>
                <w:noProof/>
                <w:lang w:val="es-ES"/>
              </w:rPr>
              <w:t>ANEXO I.</w:t>
            </w:r>
            <w:r w:rsidR="007B70E9">
              <w:rPr>
                <w:rFonts w:asciiTheme="minorHAnsi" w:eastAsiaTheme="minorEastAsia" w:hAnsiTheme="minorHAnsi" w:cstheme="minorBidi"/>
                <w:caps w:val="0"/>
                <w:noProof/>
                <w:sz w:val="22"/>
                <w:szCs w:val="22"/>
                <w:lang w:val="es-ES" w:eastAsia="es-ES"/>
              </w:rPr>
              <w:tab/>
            </w:r>
            <w:r w:rsidR="007B70E9" w:rsidRPr="000A627E">
              <w:rPr>
                <w:rStyle w:val="Hipervnculo"/>
                <w:rFonts w:cs="Arial"/>
                <w:noProof/>
                <w:lang w:val="es-ES"/>
              </w:rPr>
              <w:t>Actuaciones en materia de PYME en algunos países comunitarios.</w:t>
            </w:r>
            <w:r w:rsidR="007B70E9">
              <w:rPr>
                <w:noProof/>
                <w:webHidden/>
              </w:rPr>
              <w:tab/>
            </w:r>
            <w:r w:rsidR="007B70E9">
              <w:rPr>
                <w:noProof/>
                <w:webHidden/>
              </w:rPr>
              <w:fldChar w:fldCharType="begin"/>
            </w:r>
            <w:r w:rsidR="007B70E9">
              <w:rPr>
                <w:noProof/>
                <w:webHidden/>
              </w:rPr>
              <w:instrText xml:space="preserve"> PAGEREF _Toc526423222 \h </w:instrText>
            </w:r>
            <w:r w:rsidR="007B70E9">
              <w:rPr>
                <w:noProof/>
                <w:webHidden/>
              </w:rPr>
            </w:r>
            <w:r w:rsidR="007B70E9">
              <w:rPr>
                <w:noProof/>
                <w:webHidden/>
              </w:rPr>
              <w:fldChar w:fldCharType="separate"/>
            </w:r>
            <w:r w:rsidR="007B70E9">
              <w:rPr>
                <w:noProof/>
                <w:webHidden/>
              </w:rPr>
              <w:t>3</w:t>
            </w:r>
            <w:r w:rsidR="007B70E9">
              <w:rPr>
                <w:noProof/>
                <w:webHidden/>
              </w:rPr>
              <w:fldChar w:fldCharType="end"/>
            </w:r>
          </w:hyperlink>
        </w:p>
        <w:p w14:paraId="2135CD01" w14:textId="3F595E54" w:rsidR="007B70E9" w:rsidRDefault="003A71CF">
          <w:pPr>
            <w:pStyle w:val="TDC3"/>
            <w:rPr>
              <w:rFonts w:asciiTheme="minorHAnsi" w:eastAsiaTheme="minorEastAsia" w:hAnsiTheme="minorHAnsi" w:cstheme="minorBidi"/>
              <w:noProof/>
              <w:sz w:val="22"/>
              <w:szCs w:val="22"/>
              <w:lang w:val="es-ES" w:eastAsia="es-ES"/>
            </w:rPr>
          </w:pPr>
          <w:hyperlink w:anchor="_Toc526423223" w:history="1">
            <w:r w:rsidR="007B70E9" w:rsidRPr="000A627E">
              <w:rPr>
                <w:rStyle w:val="Hipervnculo"/>
                <w:noProof/>
              </w:rPr>
              <w:t>I.1. Alemania</w:t>
            </w:r>
            <w:r w:rsidR="007B70E9">
              <w:rPr>
                <w:noProof/>
                <w:webHidden/>
              </w:rPr>
              <w:tab/>
            </w:r>
            <w:r w:rsidR="007B70E9">
              <w:rPr>
                <w:noProof/>
                <w:webHidden/>
              </w:rPr>
              <w:fldChar w:fldCharType="begin"/>
            </w:r>
            <w:r w:rsidR="007B70E9">
              <w:rPr>
                <w:noProof/>
                <w:webHidden/>
              </w:rPr>
              <w:instrText xml:space="preserve"> PAGEREF _Toc526423223 \h </w:instrText>
            </w:r>
            <w:r w:rsidR="007B70E9">
              <w:rPr>
                <w:noProof/>
                <w:webHidden/>
              </w:rPr>
            </w:r>
            <w:r w:rsidR="007B70E9">
              <w:rPr>
                <w:noProof/>
                <w:webHidden/>
              </w:rPr>
              <w:fldChar w:fldCharType="separate"/>
            </w:r>
            <w:r w:rsidR="007B70E9">
              <w:rPr>
                <w:noProof/>
                <w:webHidden/>
              </w:rPr>
              <w:t>4</w:t>
            </w:r>
            <w:r w:rsidR="007B70E9">
              <w:rPr>
                <w:noProof/>
                <w:webHidden/>
              </w:rPr>
              <w:fldChar w:fldCharType="end"/>
            </w:r>
          </w:hyperlink>
        </w:p>
        <w:p w14:paraId="2806669F" w14:textId="7404ED8A" w:rsidR="007B70E9" w:rsidRDefault="003A71CF">
          <w:pPr>
            <w:pStyle w:val="TDC3"/>
            <w:rPr>
              <w:rFonts w:asciiTheme="minorHAnsi" w:eastAsiaTheme="minorEastAsia" w:hAnsiTheme="minorHAnsi" w:cstheme="minorBidi"/>
              <w:noProof/>
              <w:sz w:val="22"/>
              <w:szCs w:val="22"/>
              <w:lang w:val="es-ES" w:eastAsia="es-ES"/>
            </w:rPr>
          </w:pPr>
          <w:hyperlink w:anchor="_Toc526423224" w:history="1">
            <w:r w:rsidR="007B70E9" w:rsidRPr="000A627E">
              <w:rPr>
                <w:rStyle w:val="Hipervnculo"/>
                <w:noProof/>
              </w:rPr>
              <w:t>I.2. Francia</w:t>
            </w:r>
            <w:r w:rsidR="007B70E9">
              <w:rPr>
                <w:noProof/>
                <w:webHidden/>
              </w:rPr>
              <w:tab/>
            </w:r>
            <w:r w:rsidR="007B70E9">
              <w:rPr>
                <w:noProof/>
                <w:webHidden/>
              </w:rPr>
              <w:fldChar w:fldCharType="begin"/>
            </w:r>
            <w:r w:rsidR="007B70E9">
              <w:rPr>
                <w:noProof/>
                <w:webHidden/>
              </w:rPr>
              <w:instrText xml:space="preserve"> PAGEREF _Toc526423224 \h </w:instrText>
            </w:r>
            <w:r w:rsidR="007B70E9">
              <w:rPr>
                <w:noProof/>
                <w:webHidden/>
              </w:rPr>
            </w:r>
            <w:r w:rsidR="007B70E9">
              <w:rPr>
                <w:noProof/>
                <w:webHidden/>
              </w:rPr>
              <w:fldChar w:fldCharType="separate"/>
            </w:r>
            <w:r w:rsidR="007B70E9">
              <w:rPr>
                <w:noProof/>
                <w:webHidden/>
              </w:rPr>
              <w:t>5</w:t>
            </w:r>
            <w:r w:rsidR="007B70E9">
              <w:rPr>
                <w:noProof/>
                <w:webHidden/>
              </w:rPr>
              <w:fldChar w:fldCharType="end"/>
            </w:r>
          </w:hyperlink>
        </w:p>
        <w:p w14:paraId="189BB1A3" w14:textId="217DEE56" w:rsidR="007B70E9" w:rsidRDefault="003A71CF">
          <w:pPr>
            <w:pStyle w:val="TDC3"/>
            <w:rPr>
              <w:rFonts w:asciiTheme="minorHAnsi" w:eastAsiaTheme="minorEastAsia" w:hAnsiTheme="minorHAnsi" w:cstheme="minorBidi"/>
              <w:noProof/>
              <w:sz w:val="22"/>
              <w:szCs w:val="22"/>
              <w:lang w:val="es-ES" w:eastAsia="es-ES"/>
            </w:rPr>
          </w:pPr>
          <w:hyperlink w:anchor="_Toc526423225" w:history="1">
            <w:r w:rsidR="007B70E9" w:rsidRPr="000A627E">
              <w:rPr>
                <w:rStyle w:val="Hipervnculo"/>
                <w:noProof/>
              </w:rPr>
              <w:t>I.3. Reino Unido</w:t>
            </w:r>
            <w:r w:rsidR="007B70E9">
              <w:rPr>
                <w:noProof/>
                <w:webHidden/>
              </w:rPr>
              <w:tab/>
            </w:r>
            <w:r w:rsidR="007B70E9">
              <w:rPr>
                <w:noProof/>
                <w:webHidden/>
              </w:rPr>
              <w:fldChar w:fldCharType="begin"/>
            </w:r>
            <w:r w:rsidR="007B70E9">
              <w:rPr>
                <w:noProof/>
                <w:webHidden/>
              </w:rPr>
              <w:instrText xml:space="preserve"> PAGEREF _Toc526423225 \h </w:instrText>
            </w:r>
            <w:r w:rsidR="007B70E9">
              <w:rPr>
                <w:noProof/>
                <w:webHidden/>
              </w:rPr>
            </w:r>
            <w:r w:rsidR="007B70E9">
              <w:rPr>
                <w:noProof/>
                <w:webHidden/>
              </w:rPr>
              <w:fldChar w:fldCharType="separate"/>
            </w:r>
            <w:r w:rsidR="007B70E9">
              <w:rPr>
                <w:noProof/>
                <w:webHidden/>
              </w:rPr>
              <w:t>7</w:t>
            </w:r>
            <w:r w:rsidR="007B70E9">
              <w:rPr>
                <w:noProof/>
                <w:webHidden/>
              </w:rPr>
              <w:fldChar w:fldCharType="end"/>
            </w:r>
          </w:hyperlink>
        </w:p>
        <w:p w14:paraId="27FA85D2" w14:textId="37A56D3C" w:rsidR="007B70E9" w:rsidRDefault="003A71CF">
          <w:pPr>
            <w:pStyle w:val="TDC3"/>
            <w:rPr>
              <w:rFonts w:asciiTheme="minorHAnsi" w:eastAsiaTheme="minorEastAsia" w:hAnsiTheme="minorHAnsi" w:cstheme="minorBidi"/>
              <w:noProof/>
              <w:sz w:val="22"/>
              <w:szCs w:val="22"/>
              <w:lang w:val="es-ES" w:eastAsia="es-ES"/>
            </w:rPr>
          </w:pPr>
          <w:hyperlink w:anchor="_Toc526423226" w:history="1">
            <w:r w:rsidR="007B70E9" w:rsidRPr="000A627E">
              <w:rPr>
                <w:rStyle w:val="Hipervnculo"/>
                <w:noProof/>
              </w:rPr>
              <w:t>I.4. Italia</w:t>
            </w:r>
            <w:r w:rsidR="007B70E9">
              <w:rPr>
                <w:noProof/>
                <w:webHidden/>
              </w:rPr>
              <w:tab/>
            </w:r>
            <w:r w:rsidR="007B70E9">
              <w:rPr>
                <w:noProof/>
                <w:webHidden/>
              </w:rPr>
              <w:tab/>
            </w:r>
            <w:r w:rsidR="007B70E9">
              <w:rPr>
                <w:noProof/>
                <w:webHidden/>
              </w:rPr>
              <w:fldChar w:fldCharType="begin"/>
            </w:r>
            <w:r w:rsidR="007B70E9">
              <w:rPr>
                <w:noProof/>
                <w:webHidden/>
              </w:rPr>
              <w:instrText xml:space="preserve"> PAGEREF _Toc526423226 \h </w:instrText>
            </w:r>
            <w:r w:rsidR="007B70E9">
              <w:rPr>
                <w:noProof/>
                <w:webHidden/>
              </w:rPr>
            </w:r>
            <w:r w:rsidR="007B70E9">
              <w:rPr>
                <w:noProof/>
                <w:webHidden/>
              </w:rPr>
              <w:fldChar w:fldCharType="separate"/>
            </w:r>
            <w:r w:rsidR="007B70E9">
              <w:rPr>
                <w:noProof/>
                <w:webHidden/>
              </w:rPr>
              <w:t>8</w:t>
            </w:r>
            <w:r w:rsidR="007B70E9">
              <w:rPr>
                <w:noProof/>
                <w:webHidden/>
              </w:rPr>
              <w:fldChar w:fldCharType="end"/>
            </w:r>
          </w:hyperlink>
        </w:p>
        <w:p w14:paraId="50EC8754" w14:textId="1629216E" w:rsidR="007B70E9" w:rsidRDefault="003A71CF">
          <w:pPr>
            <w:pStyle w:val="TDC3"/>
            <w:rPr>
              <w:rFonts w:asciiTheme="minorHAnsi" w:eastAsiaTheme="minorEastAsia" w:hAnsiTheme="minorHAnsi" w:cstheme="minorBidi"/>
              <w:noProof/>
              <w:sz w:val="22"/>
              <w:szCs w:val="22"/>
              <w:lang w:val="es-ES" w:eastAsia="es-ES"/>
            </w:rPr>
          </w:pPr>
          <w:hyperlink w:anchor="_Toc526423227" w:history="1">
            <w:r w:rsidR="007B70E9" w:rsidRPr="000A627E">
              <w:rPr>
                <w:rStyle w:val="Hipervnculo"/>
                <w:noProof/>
              </w:rPr>
              <w:t>I.5. Conclusiones del análisis internacional</w:t>
            </w:r>
            <w:r w:rsidR="007B70E9">
              <w:rPr>
                <w:noProof/>
                <w:webHidden/>
              </w:rPr>
              <w:tab/>
            </w:r>
            <w:r w:rsidR="007B70E9">
              <w:rPr>
                <w:noProof/>
                <w:webHidden/>
              </w:rPr>
              <w:fldChar w:fldCharType="begin"/>
            </w:r>
            <w:r w:rsidR="007B70E9">
              <w:rPr>
                <w:noProof/>
                <w:webHidden/>
              </w:rPr>
              <w:instrText xml:space="preserve"> PAGEREF _Toc526423227 \h </w:instrText>
            </w:r>
            <w:r w:rsidR="007B70E9">
              <w:rPr>
                <w:noProof/>
                <w:webHidden/>
              </w:rPr>
            </w:r>
            <w:r w:rsidR="007B70E9">
              <w:rPr>
                <w:noProof/>
                <w:webHidden/>
              </w:rPr>
              <w:fldChar w:fldCharType="separate"/>
            </w:r>
            <w:r w:rsidR="007B70E9">
              <w:rPr>
                <w:noProof/>
                <w:webHidden/>
              </w:rPr>
              <w:t>9</w:t>
            </w:r>
            <w:r w:rsidR="007B70E9">
              <w:rPr>
                <w:noProof/>
                <w:webHidden/>
              </w:rPr>
              <w:fldChar w:fldCharType="end"/>
            </w:r>
          </w:hyperlink>
        </w:p>
        <w:p w14:paraId="1D108AA4" w14:textId="7A545121" w:rsidR="007B70E9" w:rsidRDefault="003A71CF" w:rsidP="007B70E9">
          <w:pPr>
            <w:pStyle w:val="TDC1"/>
            <w:tabs>
              <w:tab w:val="left" w:pos="1134"/>
            </w:tabs>
            <w:rPr>
              <w:rFonts w:asciiTheme="minorHAnsi" w:eastAsiaTheme="minorEastAsia" w:hAnsiTheme="minorHAnsi" w:cstheme="minorBidi"/>
              <w:caps w:val="0"/>
              <w:noProof/>
              <w:sz w:val="22"/>
              <w:szCs w:val="22"/>
              <w:lang w:val="es-ES" w:eastAsia="es-ES"/>
            </w:rPr>
          </w:pPr>
          <w:hyperlink w:anchor="_Toc526423228" w:history="1">
            <w:r w:rsidR="007B70E9" w:rsidRPr="000A627E">
              <w:rPr>
                <w:rStyle w:val="Hipervnculo"/>
                <w:rFonts w:cs="Arial"/>
                <w:noProof/>
                <w:lang w:val="es-ES"/>
              </w:rPr>
              <w:t>ANEXO II.</w:t>
            </w:r>
            <w:r w:rsidR="007B70E9">
              <w:rPr>
                <w:rFonts w:asciiTheme="minorHAnsi" w:eastAsiaTheme="minorEastAsia" w:hAnsiTheme="minorHAnsi" w:cstheme="minorBidi"/>
                <w:caps w:val="0"/>
                <w:noProof/>
                <w:sz w:val="22"/>
                <w:szCs w:val="22"/>
                <w:lang w:val="es-ES" w:eastAsia="es-ES"/>
              </w:rPr>
              <w:tab/>
            </w:r>
            <w:r w:rsidR="007B70E9" w:rsidRPr="000A627E">
              <w:rPr>
                <w:rStyle w:val="Hipervnculo"/>
                <w:rFonts w:cs="Arial"/>
                <w:noProof/>
                <w:lang w:val="es-ES"/>
              </w:rPr>
              <w:t>Distribución de PYME por país en la UE</w:t>
            </w:r>
            <w:r w:rsidR="007B70E9">
              <w:rPr>
                <w:noProof/>
                <w:webHidden/>
              </w:rPr>
              <w:tab/>
            </w:r>
            <w:r w:rsidR="007B70E9">
              <w:rPr>
                <w:noProof/>
                <w:webHidden/>
              </w:rPr>
              <w:fldChar w:fldCharType="begin"/>
            </w:r>
            <w:r w:rsidR="007B70E9">
              <w:rPr>
                <w:noProof/>
                <w:webHidden/>
              </w:rPr>
              <w:instrText xml:space="preserve"> PAGEREF _Toc526423228 \h </w:instrText>
            </w:r>
            <w:r w:rsidR="007B70E9">
              <w:rPr>
                <w:noProof/>
                <w:webHidden/>
              </w:rPr>
            </w:r>
            <w:r w:rsidR="007B70E9">
              <w:rPr>
                <w:noProof/>
                <w:webHidden/>
              </w:rPr>
              <w:fldChar w:fldCharType="separate"/>
            </w:r>
            <w:r w:rsidR="007B70E9">
              <w:rPr>
                <w:noProof/>
                <w:webHidden/>
              </w:rPr>
              <w:t>15</w:t>
            </w:r>
            <w:r w:rsidR="007B70E9">
              <w:rPr>
                <w:noProof/>
                <w:webHidden/>
              </w:rPr>
              <w:fldChar w:fldCharType="end"/>
            </w:r>
          </w:hyperlink>
        </w:p>
        <w:p w14:paraId="1EA3895A" w14:textId="51423FC7" w:rsidR="007B70E9" w:rsidRDefault="003A71CF" w:rsidP="007B70E9">
          <w:pPr>
            <w:pStyle w:val="TDC1"/>
            <w:tabs>
              <w:tab w:val="left" w:pos="1134"/>
            </w:tabs>
            <w:rPr>
              <w:rFonts w:asciiTheme="minorHAnsi" w:eastAsiaTheme="minorEastAsia" w:hAnsiTheme="minorHAnsi" w:cstheme="minorBidi"/>
              <w:caps w:val="0"/>
              <w:noProof/>
              <w:sz w:val="22"/>
              <w:szCs w:val="22"/>
              <w:lang w:val="es-ES" w:eastAsia="es-ES"/>
            </w:rPr>
          </w:pPr>
          <w:hyperlink w:anchor="_Toc526423229" w:history="1">
            <w:r w:rsidR="007B70E9" w:rsidRPr="000A627E">
              <w:rPr>
                <w:rStyle w:val="Hipervnculo"/>
                <w:rFonts w:cs="Arial"/>
                <w:noProof/>
                <w:lang w:val="es-ES"/>
              </w:rPr>
              <w:t>ANEXO III.</w:t>
            </w:r>
            <w:r w:rsidR="007B70E9">
              <w:rPr>
                <w:rFonts w:asciiTheme="minorHAnsi" w:eastAsiaTheme="minorEastAsia" w:hAnsiTheme="minorHAnsi" w:cstheme="minorBidi"/>
                <w:caps w:val="0"/>
                <w:noProof/>
                <w:sz w:val="22"/>
                <w:szCs w:val="22"/>
                <w:lang w:val="es-ES" w:eastAsia="es-ES"/>
              </w:rPr>
              <w:tab/>
            </w:r>
            <w:r w:rsidR="007B70E9" w:rsidRPr="000A627E">
              <w:rPr>
                <w:rStyle w:val="Hipervnculo"/>
                <w:rFonts w:cs="Arial"/>
                <w:noProof/>
                <w:lang w:val="es-ES"/>
              </w:rPr>
              <w:t>Regulación en función del tamaño en la legislación española</w:t>
            </w:r>
            <w:r w:rsidR="007B70E9">
              <w:rPr>
                <w:noProof/>
                <w:webHidden/>
              </w:rPr>
              <w:tab/>
            </w:r>
            <w:r w:rsidR="007B70E9">
              <w:rPr>
                <w:noProof/>
                <w:webHidden/>
              </w:rPr>
              <w:fldChar w:fldCharType="begin"/>
            </w:r>
            <w:r w:rsidR="007B70E9">
              <w:rPr>
                <w:noProof/>
                <w:webHidden/>
              </w:rPr>
              <w:instrText xml:space="preserve"> PAGEREF _Toc526423229 \h </w:instrText>
            </w:r>
            <w:r w:rsidR="007B70E9">
              <w:rPr>
                <w:noProof/>
                <w:webHidden/>
              </w:rPr>
            </w:r>
            <w:r w:rsidR="007B70E9">
              <w:rPr>
                <w:noProof/>
                <w:webHidden/>
              </w:rPr>
              <w:fldChar w:fldCharType="separate"/>
            </w:r>
            <w:r w:rsidR="007B70E9">
              <w:rPr>
                <w:noProof/>
                <w:webHidden/>
              </w:rPr>
              <w:t>16</w:t>
            </w:r>
            <w:r w:rsidR="007B70E9">
              <w:rPr>
                <w:noProof/>
                <w:webHidden/>
              </w:rPr>
              <w:fldChar w:fldCharType="end"/>
            </w:r>
          </w:hyperlink>
        </w:p>
        <w:p w14:paraId="02D8F806" w14:textId="7F681CFE" w:rsidR="007B70E9" w:rsidRDefault="003A71CF" w:rsidP="007B70E9">
          <w:pPr>
            <w:pStyle w:val="TDC1"/>
            <w:tabs>
              <w:tab w:val="left" w:pos="1134"/>
            </w:tabs>
            <w:rPr>
              <w:rFonts w:asciiTheme="minorHAnsi" w:eastAsiaTheme="minorEastAsia" w:hAnsiTheme="minorHAnsi" w:cstheme="minorBidi"/>
              <w:caps w:val="0"/>
              <w:noProof/>
              <w:sz w:val="22"/>
              <w:szCs w:val="22"/>
              <w:lang w:val="es-ES" w:eastAsia="es-ES"/>
            </w:rPr>
          </w:pPr>
          <w:hyperlink w:anchor="_Toc526423230" w:history="1">
            <w:r w:rsidR="007B70E9" w:rsidRPr="000A627E">
              <w:rPr>
                <w:rStyle w:val="Hipervnculo"/>
                <w:rFonts w:cs="Arial"/>
                <w:noProof/>
                <w:lang w:val="es-ES"/>
              </w:rPr>
              <w:t>ANEXO IV.</w:t>
            </w:r>
            <w:r w:rsidR="007B70E9">
              <w:rPr>
                <w:rFonts w:asciiTheme="minorHAnsi" w:eastAsiaTheme="minorEastAsia" w:hAnsiTheme="minorHAnsi" w:cstheme="minorBidi"/>
                <w:caps w:val="0"/>
                <w:noProof/>
                <w:sz w:val="22"/>
                <w:szCs w:val="22"/>
                <w:lang w:val="es-ES" w:eastAsia="es-ES"/>
              </w:rPr>
              <w:tab/>
            </w:r>
            <w:r w:rsidR="007B70E9" w:rsidRPr="000A627E">
              <w:rPr>
                <w:rStyle w:val="Hipervnculo"/>
                <w:rFonts w:cs="Arial"/>
                <w:noProof/>
                <w:lang w:val="es-ES"/>
              </w:rPr>
              <w:t>Indicadores de seguimiento</w:t>
            </w:r>
            <w:r w:rsidR="007B70E9">
              <w:rPr>
                <w:noProof/>
                <w:webHidden/>
              </w:rPr>
              <w:tab/>
            </w:r>
            <w:r w:rsidR="007B70E9">
              <w:rPr>
                <w:noProof/>
                <w:webHidden/>
              </w:rPr>
              <w:fldChar w:fldCharType="begin"/>
            </w:r>
            <w:r w:rsidR="007B70E9">
              <w:rPr>
                <w:noProof/>
                <w:webHidden/>
              </w:rPr>
              <w:instrText xml:space="preserve"> PAGEREF _Toc526423230 \h </w:instrText>
            </w:r>
            <w:r w:rsidR="007B70E9">
              <w:rPr>
                <w:noProof/>
                <w:webHidden/>
              </w:rPr>
            </w:r>
            <w:r w:rsidR="007B70E9">
              <w:rPr>
                <w:noProof/>
                <w:webHidden/>
              </w:rPr>
              <w:fldChar w:fldCharType="separate"/>
            </w:r>
            <w:r w:rsidR="007B70E9">
              <w:rPr>
                <w:noProof/>
                <w:webHidden/>
              </w:rPr>
              <w:t>18</w:t>
            </w:r>
            <w:r w:rsidR="007B70E9">
              <w:rPr>
                <w:noProof/>
                <w:webHidden/>
              </w:rPr>
              <w:fldChar w:fldCharType="end"/>
            </w:r>
          </w:hyperlink>
        </w:p>
        <w:p w14:paraId="58AFA5BE" w14:textId="7E67A85F" w:rsidR="007B70E9" w:rsidRDefault="003A71CF" w:rsidP="007B70E9">
          <w:pPr>
            <w:pStyle w:val="TDC1"/>
            <w:tabs>
              <w:tab w:val="left" w:pos="1134"/>
            </w:tabs>
            <w:rPr>
              <w:rFonts w:asciiTheme="minorHAnsi" w:eastAsiaTheme="minorEastAsia" w:hAnsiTheme="minorHAnsi" w:cstheme="minorBidi"/>
              <w:caps w:val="0"/>
              <w:noProof/>
              <w:sz w:val="22"/>
              <w:szCs w:val="22"/>
              <w:lang w:val="es-ES" w:eastAsia="es-ES"/>
            </w:rPr>
          </w:pPr>
          <w:hyperlink w:anchor="_Toc526423231" w:history="1">
            <w:r w:rsidR="007B70E9" w:rsidRPr="000A627E">
              <w:rPr>
                <w:rStyle w:val="Hipervnculo"/>
                <w:rFonts w:cs="Arial"/>
                <w:noProof/>
                <w:lang w:val="es-ES"/>
              </w:rPr>
              <w:t>ANEXO V.</w:t>
            </w:r>
            <w:r w:rsidR="007B70E9">
              <w:rPr>
                <w:rFonts w:asciiTheme="minorHAnsi" w:eastAsiaTheme="minorEastAsia" w:hAnsiTheme="minorHAnsi" w:cstheme="minorBidi"/>
                <w:caps w:val="0"/>
                <w:noProof/>
                <w:sz w:val="22"/>
                <w:szCs w:val="22"/>
                <w:lang w:val="es-ES" w:eastAsia="es-ES"/>
              </w:rPr>
              <w:tab/>
            </w:r>
            <w:r w:rsidR="007B70E9" w:rsidRPr="000A627E">
              <w:rPr>
                <w:rStyle w:val="Hipervnculo"/>
                <w:rFonts w:cs="Arial"/>
                <w:noProof/>
                <w:lang w:val="es-ES"/>
              </w:rPr>
              <w:t>Referencias para la elaboración del marco estratégico</w:t>
            </w:r>
            <w:r w:rsidR="007B70E9">
              <w:rPr>
                <w:noProof/>
                <w:webHidden/>
              </w:rPr>
              <w:tab/>
            </w:r>
            <w:r w:rsidR="007B70E9">
              <w:rPr>
                <w:noProof/>
                <w:webHidden/>
              </w:rPr>
              <w:fldChar w:fldCharType="begin"/>
            </w:r>
            <w:r w:rsidR="007B70E9">
              <w:rPr>
                <w:noProof/>
                <w:webHidden/>
              </w:rPr>
              <w:instrText xml:space="preserve"> PAGEREF _Toc526423231 \h </w:instrText>
            </w:r>
            <w:r w:rsidR="007B70E9">
              <w:rPr>
                <w:noProof/>
                <w:webHidden/>
              </w:rPr>
            </w:r>
            <w:r w:rsidR="007B70E9">
              <w:rPr>
                <w:noProof/>
                <w:webHidden/>
              </w:rPr>
              <w:fldChar w:fldCharType="separate"/>
            </w:r>
            <w:r w:rsidR="007B70E9">
              <w:rPr>
                <w:noProof/>
                <w:webHidden/>
              </w:rPr>
              <w:t>21</w:t>
            </w:r>
            <w:r w:rsidR="007B70E9">
              <w:rPr>
                <w:noProof/>
                <w:webHidden/>
              </w:rPr>
              <w:fldChar w:fldCharType="end"/>
            </w:r>
          </w:hyperlink>
        </w:p>
        <w:p w14:paraId="65764044" w14:textId="5B58D7AD" w:rsidR="007B70E9" w:rsidRDefault="003A71CF" w:rsidP="007B70E9">
          <w:pPr>
            <w:pStyle w:val="TDC1"/>
            <w:tabs>
              <w:tab w:val="left" w:pos="1134"/>
            </w:tabs>
            <w:rPr>
              <w:rFonts w:asciiTheme="minorHAnsi" w:eastAsiaTheme="minorEastAsia" w:hAnsiTheme="minorHAnsi" w:cstheme="minorBidi"/>
              <w:caps w:val="0"/>
              <w:noProof/>
              <w:sz w:val="22"/>
              <w:szCs w:val="22"/>
              <w:lang w:val="es-ES" w:eastAsia="es-ES"/>
            </w:rPr>
          </w:pPr>
          <w:hyperlink w:anchor="_Toc526423232" w:history="1">
            <w:r w:rsidR="007B70E9" w:rsidRPr="000A627E">
              <w:rPr>
                <w:rStyle w:val="Hipervnculo"/>
                <w:rFonts w:cs="Arial"/>
                <w:noProof/>
                <w:lang w:val="es-ES"/>
              </w:rPr>
              <w:t>ANEXO VI.</w:t>
            </w:r>
            <w:r w:rsidR="007B70E9">
              <w:rPr>
                <w:rFonts w:asciiTheme="minorHAnsi" w:eastAsiaTheme="minorEastAsia" w:hAnsiTheme="minorHAnsi" w:cstheme="minorBidi"/>
                <w:caps w:val="0"/>
                <w:noProof/>
                <w:sz w:val="22"/>
                <w:szCs w:val="22"/>
                <w:lang w:val="es-ES" w:eastAsia="es-ES"/>
              </w:rPr>
              <w:tab/>
            </w:r>
            <w:r w:rsidR="007B70E9" w:rsidRPr="000A627E">
              <w:rPr>
                <w:rStyle w:val="Hipervnculo"/>
                <w:rFonts w:cs="Arial"/>
                <w:noProof/>
                <w:lang w:val="es-ES"/>
              </w:rPr>
              <w:t>Fuentes estadísticas utilizadas</w:t>
            </w:r>
            <w:r w:rsidR="007B70E9">
              <w:rPr>
                <w:noProof/>
                <w:webHidden/>
              </w:rPr>
              <w:tab/>
            </w:r>
            <w:r w:rsidR="007B70E9">
              <w:rPr>
                <w:noProof/>
                <w:webHidden/>
              </w:rPr>
              <w:fldChar w:fldCharType="begin"/>
            </w:r>
            <w:r w:rsidR="007B70E9">
              <w:rPr>
                <w:noProof/>
                <w:webHidden/>
              </w:rPr>
              <w:instrText xml:space="preserve"> PAGEREF _Toc526423232 \h </w:instrText>
            </w:r>
            <w:r w:rsidR="007B70E9">
              <w:rPr>
                <w:noProof/>
                <w:webHidden/>
              </w:rPr>
            </w:r>
            <w:r w:rsidR="007B70E9">
              <w:rPr>
                <w:noProof/>
                <w:webHidden/>
              </w:rPr>
              <w:fldChar w:fldCharType="separate"/>
            </w:r>
            <w:r w:rsidR="007B70E9">
              <w:rPr>
                <w:noProof/>
                <w:webHidden/>
              </w:rPr>
              <w:t>24</w:t>
            </w:r>
            <w:r w:rsidR="007B70E9">
              <w:rPr>
                <w:noProof/>
                <w:webHidden/>
              </w:rPr>
              <w:fldChar w:fldCharType="end"/>
            </w:r>
          </w:hyperlink>
        </w:p>
        <w:p w14:paraId="048C642C" w14:textId="7DC834FF" w:rsidR="007B70E9" w:rsidRDefault="003A71CF" w:rsidP="007B70E9">
          <w:pPr>
            <w:pStyle w:val="TDC1"/>
            <w:tabs>
              <w:tab w:val="left" w:pos="1134"/>
            </w:tabs>
            <w:rPr>
              <w:rFonts w:asciiTheme="minorHAnsi" w:eastAsiaTheme="minorEastAsia" w:hAnsiTheme="minorHAnsi" w:cstheme="minorBidi"/>
              <w:caps w:val="0"/>
              <w:noProof/>
              <w:sz w:val="22"/>
              <w:szCs w:val="22"/>
              <w:lang w:val="es-ES" w:eastAsia="es-ES"/>
            </w:rPr>
          </w:pPr>
          <w:hyperlink w:anchor="_Toc526423233" w:history="1">
            <w:r w:rsidR="007B70E9" w:rsidRPr="000A627E">
              <w:rPr>
                <w:rStyle w:val="Hipervnculo"/>
                <w:rFonts w:cs="Arial"/>
                <w:noProof/>
                <w:lang w:val="es-ES"/>
              </w:rPr>
              <w:t>ANEXO VII.</w:t>
            </w:r>
            <w:r w:rsidR="007B70E9">
              <w:rPr>
                <w:rFonts w:asciiTheme="minorHAnsi" w:eastAsiaTheme="minorEastAsia" w:hAnsiTheme="minorHAnsi" w:cstheme="minorBidi"/>
                <w:caps w:val="0"/>
                <w:noProof/>
                <w:sz w:val="22"/>
                <w:szCs w:val="22"/>
                <w:lang w:val="es-ES" w:eastAsia="es-ES"/>
              </w:rPr>
              <w:tab/>
            </w:r>
            <w:r w:rsidR="007B70E9" w:rsidRPr="000A627E">
              <w:rPr>
                <w:rStyle w:val="Hipervnculo"/>
                <w:rFonts w:cs="Arial"/>
                <w:noProof/>
                <w:lang w:val="es-ES"/>
              </w:rPr>
              <w:t>Resultado de los workshops</w:t>
            </w:r>
            <w:r w:rsidR="007B70E9">
              <w:rPr>
                <w:noProof/>
                <w:webHidden/>
              </w:rPr>
              <w:tab/>
            </w:r>
            <w:r w:rsidR="007B70E9">
              <w:rPr>
                <w:noProof/>
                <w:webHidden/>
              </w:rPr>
              <w:fldChar w:fldCharType="begin"/>
            </w:r>
            <w:r w:rsidR="007B70E9">
              <w:rPr>
                <w:noProof/>
                <w:webHidden/>
              </w:rPr>
              <w:instrText xml:space="preserve"> PAGEREF _Toc526423233 \h </w:instrText>
            </w:r>
            <w:r w:rsidR="007B70E9">
              <w:rPr>
                <w:noProof/>
                <w:webHidden/>
              </w:rPr>
            </w:r>
            <w:r w:rsidR="007B70E9">
              <w:rPr>
                <w:noProof/>
                <w:webHidden/>
              </w:rPr>
              <w:fldChar w:fldCharType="separate"/>
            </w:r>
            <w:r w:rsidR="007B70E9">
              <w:rPr>
                <w:noProof/>
                <w:webHidden/>
              </w:rPr>
              <w:t>26</w:t>
            </w:r>
            <w:r w:rsidR="007B70E9">
              <w:rPr>
                <w:noProof/>
                <w:webHidden/>
              </w:rPr>
              <w:fldChar w:fldCharType="end"/>
            </w:r>
          </w:hyperlink>
        </w:p>
        <w:p w14:paraId="18EB9BF1" w14:textId="558CEC03" w:rsidR="007B70E9" w:rsidRDefault="003A71CF">
          <w:pPr>
            <w:pStyle w:val="TDC3"/>
            <w:rPr>
              <w:rFonts w:asciiTheme="minorHAnsi" w:eastAsiaTheme="minorEastAsia" w:hAnsiTheme="minorHAnsi" w:cstheme="minorBidi"/>
              <w:noProof/>
              <w:sz w:val="22"/>
              <w:szCs w:val="22"/>
              <w:lang w:val="es-ES" w:eastAsia="es-ES"/>
            </w:rPr>
          </w:pPr>
          <w:hyperlink w:anchor="_Toc526423234" w:history="1">
            <w:r w:rsidR="007B70E9" w:rsidRPr="000A627E">
              <w:rPr>
                <w:rStyle w:val="Hipervnculo"/>
                <w:noProof/>
              </w:rPr>
              <w:t>VII.1. Resultados</w:t>
            </w:r>
            <w:r w:rsidR="007B70E9">
              <w:rPr>
                <w:noProof/>
                <w:webHidden/>
              </w:rPr>
              <w:tab/>
            </w:r>
            <w:r w:rsidR="007B70E9">
              <w:rPr>
                <w:noProof/>
                <w:webHidden/>
              </w:rPr>
              <w:fldChar w:fldCharType="begin"/>
            </w:r>
            <w:r w:rsidR="007B70E9">
              <w:rPr>
                <w:noProof/>
                <w:webHidden/>
              </w:rPr>
              <w:instrText xml:space="preserve"> PAGEREF _Toc526423234 \h </w:instrText>
            </w:r>
            <w:r w:rsidR="007B70E9">
              <w:rPr>
                <w:noProof/>
                <w:webHidden/>
              </w:rPr>
            </w:r>
            <w:r w:rsidR="007B70E9">
              <w:rPr>
                <w:noProof/>
                <w:webHidden/>
              </w:rPr>
              <w:fldChar w:fldCharType="separate"/>
            </w:r>
            <w:r w:rsidR="007B70E9">
              <w:rPr>
                <w:noProof/>
                <w:webHidden/>
              </w:rPr>
              <w:t>26</w:t>
            </w:r>
            <w:r w:rsidR="007B70E9">
              <w:rPr>
                <w:noProof/>
                <w:webHidden/>
              </w:rPr>
              <w:fldChar w:fldCharType="end"/>
            </w:r>
          </w:hyperlink>
        </w:p>
        <w:p w14:paraId="21CA299F" w14:textId="356F6738" w:rsidR="007B70E9" w:rsidRDefault="003A71CF">
          <w:pPr>
            <w:pStyle w:val="TDC3"/>
            <w:rPr>
              <w:rFonts w:asciiTheme="minorHAnsi" w:eastAsiaTheme="minorEastAsia" w:hAnsiTheme="minorHAnsi" w:cstheme="minorBidi"/>
              <w:noProof/>
              <w:sz w:val="22"/>
              <w:szCs w:val="22"/>
              <w:lang w:val="es-ES" w:eastAsia="es-ES"/>
            </w:rPr>
          </w:pPr>
          <w:hyperlink w:anchor="_Toc526423235" w:history="1">
            <w:r w:rsidR="007B70E9" w:rsidRPr="000A627E">
              <w:rPr>
                <w:rStyle w:val="Hipervnculo"/>
                <w:noProof/>
              </w:rPr>
              <w:t>VII.2. Listado de participantes</w:t>
            </w:r>
            <w:r w:rsidR="007B70E9">
              <w:rPr>
                <w:noProof/>
                <w:webHidden/>
              </w:rPr>
              <w:tab/>
            </w:r>
            <w:r w:rsidR="007B70E9">
              <w:rPr>
                <w:noProof/>
                <w:webHidden/>
              </w:rPr>
              <w:fldChar w:fldCharType="begin"/>
            </w:r>
            <w:r w:rsidR="007B70E9">
              <w:rPr>
                <w:noProof/>
                <w:webHidden/>
              </w:rPr>
              <w:instrText xml:space="preserve"> PAGEREF _Toc526423235 \h </w:instrText>
            </w:r>
            <w:r w:rsidR="007B70E9">
              <w:rPr>
                <w:noProof/>
                <w:webHidden/>
              </w:rPr>
            </w:r>
            <w:r w:rsidR="007B70E9">
              <w:rPr>
                <w:noProof/>
                <w:webHidden/>
              </w:rPr>
              <w:fldChar w:fldCharType="separate"/>
            </w:r>
            <w:r w:rsidR="007B70E9">
              <w:rPr>
                <w:noProof/>
                <w:webHidden/>
              </w:rPr>
              <w:t>28</w:t>
            </w:r>
            <w:r w:rsidR="007B70E9">
              <w:rPr>
                <w:noProof/>
                <w:webHidden/>
              </w:rPr>
              <w:fldChar w:fldCharType="end"/>
            </w:r>
          </w:hyperlink>
        </w:p>
        <w:p w14:paraId="63AB6DA9" w14:textId="209CA31C" w:rsidR="007B70E9" w:rsidRDefault="003A71CF" w:rsidP="007B70E9">
          <w:pPr>
            <w:pStyle w:val="TDC1"/>
            <w:tabs>
              <w:tab w:val="left" w:pos="1134"/>
            </w:tabs>
            <w:rPr>
              <w:rFonts w:asciiTheme="minorHAnsi" w:eastAsiaTheme="minorEastAsia" w:hAnsiTheme="minorHAnsi" w:cstheme="minorBidi"/>
              <w:caps w:val="0"/>
              <w:noProof/>
              <w:sz w:val="22"/>
              <w:szCs w:val="22"/>
              <w:lang w:val="es-ES" w:eastAsia="es-ES"/>
            </w:rPr>
          </w:pPr>
          <w:hyperlink w:anchor="_Toc526423236" w:history="1">
            <w:r w:rsidR="007B70E9" w:rsidRPr="000A627E">
              <w:rPr>
                <w:rStyle w:val="Hipervnculo"/>
                <w:rFonts w:cs="Arial"/>
                <w:noProof/>
                <w:lang w:val="es-ES"/>
              </w:rPr>
              <w:t>ANEXO VIII.</w:t>
            </w:r>
            <w:r w:rsidR="007B70E9">
              <w:rPr>
                <w:rFonts w:asciiTheme="minorHAnsi" w:eastAsiaTheme="minorEastAsia" w:hAnsiTheme="minorHAnsi" w:cstheme="minorBidi"/>
                <w:caps w:val="0"/>
                <w:noProof/>
                <w:sz w:val="22"/>
                <w:szCs w:val="22"/>
                <w:lang w:val="es-ES" w:eastAsia="es-ES"/>
              </w:rPr>
              <w:tab/>
            </w:r>
            <w:r w:rsidR="007B70E9" w:rsidRPr="000A627E">
              <w:rPr>
                <w:rStyle w:val="Hipervnculo"/>
                <w:rFonts w:cs="Arial"/>
                <w:noProof/>
                <w:lang w:val="es-ES"/>
              </w:rPr>
              <w:t>Definición de PYME</w:t>
            </w:r>
            <w:r w:rsidR="007B70E9">
              <w:rPr>
                <w:noProof/>
                <w:webHidden/>
              </w:rPr>
              <w:tab/>
            </w:r>
            <w:r w:rsidR="007B70E9">
              <w:rPr>
                <w:noProof/>
                <w:webHidden/>
              </w:rPr>
              <w:fldChar w:fldCharType="begin"/>
            </w:r>
            <w:r w:rsidR="007B70E9">
              <w:rPr>
                <w:noProof/>
                <w:webHidden/>
              </w:rPr>
              <w:instrText xml:space="preserve"> PAGEREF _Toc526423236 \h </w:instrText>
            </w:r>
            <w:r w:rsidR="007B70E9">
              <w:rPr>
                <w:noProof/>
                <w:webHidden/>
              </w:rPr>
            </w:r>
            <w:r w:rsidR="007B70E9">
              <w:rPr>
                <w:noProof/>
                <w:webHidden/>
              </w:rPr>
              <w:fldChar w:fldCharType="separate"/>
            </w:r>
            <w:r w:rsidR="007B70E9">
              <w:rPr>
                <w:noProof/>
                <w:webHidden/>
              </w:rPr>
              <w:t>30</w:t>
            </w:r>
            <w:r w:rsidR="007B70E9">
              <w:rPr>
                <w:noProof/>
                <w:webHidden/>
              </w:rPr>
              <w:fldChar w:fldCharType="end"/>
            </w:r>
          </w:hyperlink>
        </w:p>
        <w:p w14:paraId="72BC9C3E" w14:textId="164557A6" w:rsidR="00CA4820" w:rsidRDefault="00CA4820" w:rsidP="00CA4820">
          <w:pPr>
            <w:tabs>
              <w:tab w:val="left" w:pos="1134"/>
              <w:tab w:val="right" w:leader="dot" w:pos="8351"/>
            </w:tabs>
          </w:pPr>
          <w:r>
            <w:rPr>
              <w:b/>
              <w:bCs/>
            </w:rPr>
            <w:fldChar w:fldCharType="end"/>
          </w:r>
        </w:p>
      </w:sdtContent>
    </w:sdt>
    <w:p w14:paraId="0BEE5D62" w14:textId="58C0D765" w:rsidR="00846ADB" w:rsidRPr="004746D7" w:rsidRDefault="00846ADB" w:rsidP="005D6BAA">
      <w:pPr>
        <w:pStyle w:val="Tabladeilustraciones"/>
        <w:tabs>
          <w:tab w:val="left" w:pos="709"/>
          <w:tab w:val="right" w:leader="dot" w:pos="8495"/>
        </w:tabs>
        <w:ind w:left="851" w:right="424"/>
        <w:rPr>
          <w:rFonts w:ascii="Arial" w:hAnsi="Arial" w:cs="Arial"/>
          <w:lang w:val="es-ES"/>
        </w:rPr>
      </w:pPr>
    </w:p>
    <w:p w14:paraId="471F3862" w14:textId="4DB326A8" w:rsidR="00E87CE8" w:rsidRPr="003911FA" w:rsidRDefault="00E87CE8" w:rsidP="007325E7">
      <w:pPr>
        <w:pStyle w:val="Tabladeilustraciones"/>
        <w:tabs>
          <w:tab w:val="right" w:leader="dot" w:pos="8495"/>
        </w:tabs>
        <w:rPr>
          <w:rFonts w:cs="Arial"/>
          <w:color w:val="003399"/>
          <w:lang w:val="es-ES"/>
        </w:rPr>
      </w:pPr>
      <w:r w:rsidRPr="007325E7">
        <w:rPr>
          <w:rFonts w:eastAsiaTheme="majorEastAsia" w:cs="Arial"/>
          <w:b/>
          <w:bCs/>
          <w:color w:val="003399"/>
          <w:sz w:val="28"/>
          <w:szCs w:val="28"/>
          <w:lang w:val="es-ES"/>
        </w:rPr>
        <w:t>Índice de tablas</w:t>
      </w:r>
    </w:p>
    <w:p w14:paraId="13C2F4C6" w14:textId="77777777" w:rsidR="00E87CE8" w:rsidRPr="00591E04" w:rsidRDefault="00E87CE8" w:rsidP="00591E04">
      <w:pPr>
        <w:pStyle w:val="TDC1"/>
        <w:tabs>
          <w:tab w:val="left" w:pos="1276"/>
        </w:tabs>
        <w:rPr>
          <w:rFonts w:ascii="Arial" w:hAnsi="Arial" w:cs="Arial"/>
          <w:lang w:val="es-ES"/>
        </w:rPr>
      </w:pPr>
    </w:p>
    <w:p w14:paraId="1F7D37F7" w14:textId="2C74CEEC" w:rsidR="00703A58" w:rsidRDefault="00C67258">
      <w:pPr>
        <w:pStyle w:val="Tabladeilustraciones"/>
        <w:tabs>
          <w:tab w:val="right" w:leader="dot" w:pos="9061"/>
        </w:tabs>
        <w:rPr>
          <w:rFonts w:asciiTheme="minorHAnsi" w:eastAsiaTheme="minorEastAsia" w:hAnsiTheme="minorHAnsi" w:cstheme="minorBidi"/>
          <w:noProof/>
          <w:sz w:val="22"/>
          <w:szCs w:val="22"/>
          <w:lang w:val="es-ES" w:eastAsia="es-ES"/>
        </w:rPr>
      </w:pPr>
      <w:r>
        <w:rPr>
          <w:rFonts w:ascii="Arial" w:hAnsi="Arial" w:cs="Arial"/>
          <w:sz w:val="22"/>
          <w:szCs w:val="22"/>
          <w:lang w:val="es-ES"/>
        </w:rPr>
        <w:fldChar w:fldCharType="begin"/>
      </w:r>
      <w:r>
        <w:rPr>
          <w:rFonts w:ascii="Arial" w:hAnsi="Arial" w:cs="Arial"/>
          <w:sz w:val="22"/>
          <w:szCs w:val="22"/>
          <w:lang w:val="es-ES"/>
        </w:rPr>
        <w:instrText xml:space="preserve"> TOC \h \z \c "Tabla" </w:instrText>
      </w:r>
      <w:r>
        <w:rPr>
          <w:rFonts w:ascii="Arial" w:hAnsi="Arial" w:cs="Arial"/>
          <w:sz w:val="22"/>
          <w:szCs w:val="22"/>
          <w:lang w:val="es-ES"/>
        </w:rPr>
        <w:fldChar w:fldCharType="separate"/>
      </w:r>
      <w:hyperlink w:anchor="_Toc526423680" w:history="1">
        <w:r w:rsidR="00703A58" w:rsidRPr="005A3D65">
          <w:rPr>
            <w:rStyle w:val="Hipervnculo"/>
            <w:noProof/>
          </w:rPr>
          <w:t>Tabla 1. Distribución de empresas por tamaño en Alemania, Francia, Reino Unido, Italia y España</w:t>
        </w:r>
        <w:r w:rsidR="00703A58">
          <w:rPr>
            <w:noProof/>
            <w:webHidden/>
          </w:rPr>
          <w:tab/>
        </w:r>
        <w:r w:rsidR="00703A58">
          <w:rPr>
            <w:noProof/>
            <w:webHidden/>
          </w:rPr>
          <w:fldChar w:fldCharType="begin"/>
        </w:r>
        <w:r w:rsidR="00703A58">
          <w:rPr>
            <w:noProof/>
            <w:webHidden/>
          </w:rPr>
          <w:instrText xml:space="preserve"> PAGEREF _Toc526423680 \h </w:instrText>
        </w:r>
        <w:r w:rsidR="00703A58">
          <w:rPr>
            <w:noProof/>
            <w:webHidden/>
          </w:rPr>
        </w:r>
        <w:r w:rsidR="00703A58">
          <w:rPr>
            <w:noProof/>
            <w:webHidden/>
          </w:rPr>
          <w:fldChar w:fldCharType="separate"/>
        </w:r>
        <w:r w:rsidR="00703A58">
          <w:rPr>
            <w:noProof/>
            <w:webHidden/>
          </w:rPr>
          <w:t>3</w:t>
        </w:r>
        <w:r w:rsidR="00703A58">
          <w:rPr>
            <w:noProof/>
            <w:webHidden/>
          </w:rPr>
          <w:fldChar w:fldCharType="end"/>
        </w:r>
      </w:hyperlink>
    </w:p>
    <w:p w14:paraId="21D8AFA9" w14:textId="6562239B" w:rsidR="00703A58" w:rsidRDefault="003A71CF">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423681" w:history="1">
        <w:r w:rsidR="00703A58" w:rsidRPr="005A3D65">
          <w:rPr>
            <w:rStyle w:val="Hipervnculo"/>
            <w:noProof/>
          </w:rPr>
          <w:t>Tabla 2. Distribución de personas empleadas por tamaño de empresa en Alemania, Francia, Reino Unido, Italia y España</w:t>
        </w:r>
        <w:r w:rsidR="00703A58">
          <w:rPr>
            <w:noProof/>
            <w:webHidden/>
          </w:rPr>
          <w:tab/>
        </w:r>
        <w:r w:rsidR="00703A58">
          <w:rPr>
            <w:noProof/>
            <w:webHidden/>
          </w:rPr>
          <w:fldChar w:fldCharType="begin"/>
        </w:r>
        <w:r w:rsidR="00703A58">
          <w:rPr>
            <w:noProof/>
            <w:webHidden/>
          </w:rPr>
          <w:instrText xml:space="preserve"> PAGEREF _Toc526423681 \h </w:instrText>
        </w:r>
        <w:r w:rsidR="00703A58">
          <w:rPr>
            <w:noProof/>
            <w:webHidden/>
          </w:rPr>
        </w:r>
        <w:r w:rsidR="00703A58">
          <w:rPr>
            <w:noProof/>
            <w:webHidden/>
          </w:rPr>
          <w:fldChar w:fldCharType="separate"/>
        </w:r>
        <w:r w:rsidR="00703A58">
          <w:rPr>
            <w:noProof/>
            <w:webHidden/>
          </w:rPr>
          <w:t>3</w:t>
        </w:r>
        <w:r w:rsidR="00703A58">
          <w:rPr>
            <w:noProof/>
            <w:webHidden/>
          </w:rPr>
          <w:fldChar w:fldCharType="end"/>
        </w:r>
      </w:hyperlink>
    </w:p>
    <w:p w14:paraId="10D7B153" w14:textId="31C05067" w:rsidR="00703A58" w:rsidRDefault="003A71CF">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423682" w:history="1">
        <w:r w:rsidR="00703A58" w:rsidRPr="005A3D65">
          <w:rPr>
            <w:rStyle w:val="Hipervnculo"/>
            <w:noProof/>
          </w:rPr>
          <w:t>Tabla 3. Distribución de la contribución al PIB por tamaño de empresa en Alemania, Francia, Reino Unido, Italia y España</w:t>
        </w:r>
        <w:r w:rsidR="00703A58">
          <w:rPr>
            <w:noProof/>
            <w:webHidden/>
          </w:rPr>
          <w:tab/>
        </w:r>
        <w:r w:rsidR="00703A58">
          <w:rPr>
            <w:noProof/>
            <w:webHidden/>
          </w:rPr>
          <w:fldChar w:fldCharType="begin"/>
        </w:r>
        <w:r w:rsidR="00703A58">
          <w:rPr>
            <w:noProof/>
            <w:webHidden/>
          </w:rPr>
          <w:instrText xml:space="preserve"> PAGEREF _Toc526423682 \h </w:instrText>
        </w:r>
        <w:r w:rsidR="00703A58">
          <w:rPr>
            <w:noProof/>
            <w:webHidden/>
          </w:rPr>
        </w:r>
        <w:r w:rsidR="00703A58">
          <w:rPr>
            <w:noProof/>
            <w:webHidden/>
          </w:rPr>
          <w:fldChar w:fldCharType="separate"/>
        </w:r>
        <w:r w:rsidR="00703A58">
          <w:rPr>
            <w:noProof/>
            <w:webHidden/>
          </w:rPr>
          <w:t>3</w:t>
        </w:r>
        <w:r w:rsidR="00703A58">
          <w:rPr>
            <w:noProof/>
            <w:webHidden/>
          </w:rPr>
          <w:fldChar w:fldCharType="end"/>
        </w:r>
      </w:hyperlink>
    </w:p>
    <w:p w14:paraId="3DBA8934" w14:textId="2FAACF48" w:rsidR="00703A58" w:rsidRDefault="003A71CF">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423683" w:history="1">
        <w:r w:rsidR="00703A58" w:rsidRPr="005A3D65">
          <w:rPr>
            <w:rStyle w:val="Hipervnculo"/>
            <w:noProof/>
          </w:rPr>
          <w:t>Tabla 4. Distribución de PYME por país</w:t>
        </w:r>
        <w:r w:rsidR="00703A58">
          <w:rPr>
            <w:noProof/>
            <w:webHidden/>
          </w:rPr>
          <w:tab/>
        </w:r>
        <w:r w:rsidR="00703A58">
          <w:rPr>
            <w:noProof/>
            <w:webHidden/>
          </w:rPr>
          <w:fldChar w:fldCharType="begin"/>
        </w:r>
        <w:r w:rsidR="00703A58">
          <w:rPr>
            <w:noProof/>
            <w:webHidden/>
          </w:rPr>
          <w:instrText xml:space="preserve"> PAGEREF _Toc526423683 \h </w:instrText>
        </w:r>
        <w:r w:rsidR="00703A58">
          <w:rPr>
            <w:noProof/>
            <w:webHidden/>
          </w:rPr>
        </w:r>
        <w:r w:rsidR="00703A58">
          <w:rPr>
            <w:noProof/>
            <w:webHidden/>
          </w:rPr>
          <w:fldChar w:fldCharType="separate"/>
        </w:r>
        <w:r w:rsidR="00703A58">
          <w:rPr>
            <w:noProof/>
            <w:webHidden/>
          </w:rPr>
          <w:t>15</w:t>
        </w:r>
        <w:r w:rsidR="00703A58">
          <w:rPr>
            <w:noProof/>
            <w:webHidden/>
          </w:rPr>
          <w:fldChar w:fldCharType="end"/>
        </w:r>
      </w:hyperlink>
    </w:p>
    <w:p w14:paraId="382E77BE" w14:textId="51F1A687" w:rsidR="00703A58" w:rsidRDefault="003A71CF">
      <w:pPr>
        <w:pStyle w:val="Tabladeilustraciones"/>
        <w:tabs>
          <w:tab w:val="right" w:leader="dot" w:pos="9061"/>
        </w:tabs>
        <w:rPr>
          <w:rFonts w:asciiTheme="minorHAnsi" w:eastAsiaTheme="minorEastAsia" w:hAnsiTheme="minorHAnsi" w:cstheme="minorBidi"/>
          <w:noProof/>
          <w:sz w:val="22"/>
          <w:szCs w:val="22"/>
          <w:lang w:val="es-ES" w:eastAsia="es-ES"/>
        </w:rPr>
      </w:pPr>
      <w:hyperlink w:anchor="_Toc526423684" w:history="1">
        <w:r w:rsidR="00703A58" w:rsidRPr="005A3D65">
          <w:rPr>
            <w:rStyle w:val="Hipervnculo"/>
            <w:noProof/>
          </w:rPr>
          <w:t>Tabla 5. Regulación en función del tamaño en la legislación española</w:t>
        </w:r>
        <w:r w:rsidR="00703A58">
          <w:rPr>
            <w:noProof/>
            <w:webHidden/>
          </w:rPr>
          <w:tab/>
        </w:r>
        <w:r w:rsidR="00703A58">
          <w:rPr>
            <w:noProof/>
            <w:webHidden/>
          </w:rPr>
          <w:fldChar w:fldCharType="begin"/>
        </w:r>
        <w:r w:rsidR="00703A58">
          <w:rPr>
            <w:noProof/>
            <w:webHidden/>
          </w:rPr>
          <w:instrText xml:space="preserve"> PAGEREF _Toc526423684 \h </w:instrText>
        </w:r>
        <w:r w:rsidR="00703A58">
          <w:rPr>
            <w:noProof/>
            <w:webHidden/>
          </w:rPr>
        </w:r>
        <w:r w:rsidR="00703A58">
          <w:rPr>
            <w:noProof/>
            <w:webHidden/>
          </w:rPr>
          <w:fldChar w:fldCharType="separate"/>
        </w:r>
        <w:r w:rsidR="00703A58">
          <w:rPr>
            <w:noProof/>
            <w:webHidden/>
          </w:rPr>
          <w:t>16</w:t>
        </w:r>
        <w:r w:rsidR="00703A58">
          <w:rPr>
            <w:noProof/>
            <w:webHidden/>
          </w:rPr>
          <w:fldChar w:fldCharType="end"/>
        </w:r>
      </w:hyperlink>
    </w:p>
    <w:p w14:paraId="13066704" w14:textId="54536CAE" w:rsidR="00720301" w:rsidRDefault="00C67258">
      <w:pPr>
        <w:spacing w:after="0"/>
        <w:jc w:val="left"/>
        <w:rPr>
          <w:rFonts w:ascii="Arial" w:hAnsi="Arial" w:cs="Arial"/>
          <w:sz w:val="22"/>
          <w:szCs w:val="22"/>
          <w:lang w:val="es-ES"/>
        </w:rPr>
      </w:pPr>
      <w:r>
        <w:rPr>
          <w:rFonts w:ascii="Arial" w:hAnsi="Arial" w:cs="Arial"/>
          <w:sz w:val="22"/>
          <w:szCs w:val="22"/>
          <w:lang w:val="es-ES"/>
        </w:rPr>
        <w:fldChar w:fldCharType="end"/>
      </w:r>
    </w:p>
    <w:p w14:paraId="77AAB6E0" w14:textId="77777777" w:rsidR="00C67258" w:rsidRDefault="00C67258">
      <w:pPr>
        <w:spacing w:after="0"/>
        <w:jc w:val="left"/>
        <w:rPr>
          <w:rFonts w:ascii="Arial" w:hAnsi="Arial" w:cs="Arial"/>
          <w:sz w:val="22"/>
          <w:szCs w:val="22"/>
          <w:lang w:val="es-ES"/>
        </w:rPr>
      </w:pPr>
    </w:p>
    <w:p w14:paraId="6B36B8F1" w14:textId="77777777" w:rsidR="00314ECC" w:rsidRDefault="00314ECC">
      <w:pPr>
        <w:spacing w:after="0"/>
        <w:jc w:val="left"/>
        <w:rPr>
          <w:rFonts w:ascii="Century Gothic" w:eastAsiaTheme="majorEastAsia" w:hAnsi="Century Gothic" w:cs="Arial"/>
          <w:b/>
          <w:bCs/>
          <w:color w:val="003399"/>
          <w:sz w:val="28"/>
          <w:szCs w:val="28"/>
          <w:lang w:val="es-ES"/>
        </w:rPr>
      </w:pPr>
      <w:r>
        <w:rPr>
          <w:rFonts w:cs="Arial"/>
          <w:color w:val="003399"/>
          <w:lang w:val="es-ES"/>
        </w:rPr>
        <w:br w:type="page"/>
      </w:r>
    </w:p>
    <w:p w14:paraId="5689FABD" w14:textId="77777777" w:rsidR="004D4E6B" w:rsidRDefault="004D4E6B" w:rsidP="00DB0F5A">
      <w:pPr>
        <w:pStyle w:val="Ttulo1"/>
        <w:pageBreakBefore/>
        <w:numPr>
          <w:ilvl w:val="0"/>
          <w:numId w:val="28"/>
        </w:numPr>
        <w:tabs>
          <w:tab w:val="num" w:pos="432"/>
        </w:tabs>
        <w:spacing w:before="0" w:line="276" w:lineRule="auto"/>
        <w:ind w:left="431" w:hanging="431"/>
        <w:rPr>
          <w:rFonts w:cs="Arial"/>
          <w:color w:val="003399"/>
          <w:sz w:val="28"/>
          <w:szCs w:val="22"/>
          <w:lang w:val="es-ES"/>
        </w:rPr>
        <w:sectPr w:rsidR="004D4E6B" w:rsidSect="00E93D1D">
          <w:footerReference w:type="default" r:id="rId13"/>
          <w:endnotePr>
            <w:numFmt w:val="decimal"/>
          </w:endnotePr>
          <w:pgSz w:w="11907" w:h="16840" w:code="9"/>
          <w:pgMar w:top="1952" w:right="1418" w:bottom="1418" w:left="1418" w:header="720" w:footer="589" w:gutter="0"/>
          <w:cols w:space="720"/>
          <w:docGrid w:linePitch="299"/>
        </w:sectPr>
      </w:pPr>
    </w:p>
    <w:p w14:paraId="2A42458A" w14:textId="1D497AD0" w:rsidR="00E37FC0" w:rsidRPr="00DB0F5A" w:rsidRDefault="00E37FC0" w:rsidP="00DB0F5A">
      <w:pPr>
        <w:pStyle w:val="Ttulo1"/>
        <w:pageBreakBefore/>
        <w:numPr>
          <w:ilvl w:val="0"/>
          <w:numId w:val="28"/>
        </w:numPr>
        <w:tabs>
          <w:tab w:val="num" w:pos="432"/>
        </w:tabs>
        <w:spacing w:before="0" w:line="276" w:lineRule="auto"/>
        <w:ind w:left="431" w:hanging="431"/>
        <w:rPr>
          <w:rFonts w:cs="Arial"/>
          <w:color w:val="003399"/>
          <w:sz w:val="28"/>
          <w:szCs w:val="22"/>
          <w:lang w:val="es-ES"/>
        </w:rPr>
      </w:pPr>
      <w:bookmarkStart w:id="1" w:name="_Toc523847352"/>
      <w:bookmarkStart w:id="2" w:name="_Toc525300090"/>
      <w:bookmarkStart w:id="3" w:name="_Toc526423222"/>
      <w:r w:rsidRPr="00DB0F5A">
        <w:rPr>
          <w:rFonts w:cs="Arial"/>
          <w:color w:val="003399"/>
          <w:sz w:val="28"/>
          <w:szCs w:val="22"/>
          <w:lang w:val="es-ES"/>
        </w:rPr>
        <w:lastRenderedPageBreak/>
        <w:t>Actuaciones en materia de PYME en algunos países comunitarios.</w:t>
      </w:r>
      <w:bookmarkEnd w:id="1"/>
      <w:bookmarkEnd w:id="2"/>
      <w:bookmarkEnd w:id="3"/>
    </w:p>
    <w:p w14:paraId="4B727861" w14:textId="77777777" w:rsidR="00E37FC0" w:rsidRDefault="00E37FC0" w:rsidP="00E37FC0">
      <w:pPr>
        <w:pStyle w:val="Body"/>
      </w:pPr>
      <w:r>
        <w:t xml:space="preserve">A continuación, se </w:t>
      </w:r>
      <w:r w:rsidRPr="003126F4">
        <w:t>presenta</w:t>
      </w:r>
      <w:r>
        <w:t xml:space="preserve"> un análisis comparativo de las estrategias en materia de PYME llevadas a cabo por alguno de los países de nuestro entorno, los cuales han sido seleccionados por disponer de similares características en el tejido productivo (alto volumen de PYME) y mejores resultados socio-económicos o políticas consideradas de referencia. La morfología del ecosistema de las PYME en estos países se recoge en las siguientes tablas:</w:t>
      </w:r>
    </w:p>
    <w:p w14:paraId="0180F264" w14:textId="5AEA8105" w:rsidR="00E37FC0" w:rsidRPr="009D4CCE" w:rsidRDefault="00E37FC0" w:rsidP="00E37FC0">
      <w:pPr>
        <w:pStyle w:val="Descripcin1"/>
        <w:rPr>
          <w:b w:val="0"/>
        </w:rPr>
      </w:pPr>
      <w:bookmarkStart w:id="4" w:name="_Toc526423680"/>
      <w:r w:rsidRPr="009D4CCE">
        <w:rPr>
          <w:b w:val="0"/>
        </w:rPr>
        <w:t xml:space="preserve">Tabla </w:t>
      </w:r>
      <w:r w:rsidRPr="009D4CCE">
        <w:rPr>
          <w:b w:val="0"/>
        </w:rPr>
        <w:fldChar w:fldCharType="begin"/>
      </w:r>
      <w:r w:rsidRPr="009D4CCE">
        <w:rPr>
          <w:b w:val="0"/>
        </w:rPr>
        <w:instrText xml:space="preserve"> SEQ Tabla \* ARABIC </w:instrText>
      </w:r>
      <w:r w:rsidRPr="009D4CCE">
        <w:rPr>
          <w:b w:val="0"/>
        </w:rPr>
        <w:fldChar w:fldCharType="separate"/>
      </w:r>
      <w:r w:rsidR="00811CB8">
        <w:rPr>
          <w:b w:val="0"/>
          <w:noProof/>
        </w:rPr>
        <w:t>1</w:t>
      </w:r>
      <w:r w:rsidRPr="009D4CCE">
        <w:rPr>
          <w:b w:val="0"/>
        </w:rPr>
        <w:fldChar w:fldCharType="end"/>
      </w:r>
      <w:r w:rsidRPr="009D4CCE">
        <w:rPr>
          <w:b w:val="0"/>
        </w:rPr>
        <w:t>. Distribución de empresas por tamaño en Alemania, Francia, Reino Unido, Italia y España</w:t>
      </w:r>
      <w:bookmarkEnd w:id="4"/>
    </w:p>
    <w:tbl>
      <w:tblPr>
        <w:tblStyle w:val="Listamedia2"/>
        <w:tblW w:w="5000" w:type="pct"/>
        <w:tblCellMar>
          <w:top w:w="28" w:type="dxa"/>
          <w:bottom w:w="28" w:type="dxa"/>
        </w:tblCellMar>
        <w:tblLook w:val="04A0" w:firstRow="1" w:lastRow="0" w:firstColumn="1" w:lastColumn="0" w:noHBand="0" w:noVBand="1"/>
      </w:tblPr>
      <w:tblGrid>
        <w:gridCol w:w="2301"/>
        <w:gridCol w:w="1549"/>
        <w:gridCol w:w="1696"/>
        <w:gridCol w:w="1324"/>
        <w:gridCol w:w="1213"/>
        <w:gridCol w:w="1204"/>
      </w:tblGrid>
      <w:tr w:rsidR="00E37FC0" w:rsidRPr="007C7B55" w14:paraId="7B529E9F" w14:textId="77777777" w:rsidTr="00BF5F60">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1239" w:type="pct"/>
            <w:tcBorders>
              <w:top w:val="single" w:sz="12" w:space="0" w:color="FFCC00"/>
              <w:bottom w:val="single" w:sz="6" w:space="0" w:color="000000" w:themeColor="text1"/>
            </w:tcBorders>
            <w:shd w:val="clear" w:color="auto" w:fill="auto"/>
            <w:vAlign w:val="center"/>
            <w:hideMark/>
          </w:tcPr>
          <w:p w14:paraId="4ADF8EF0" w14:textId="77777777" w:rsidR="00E37FC0" w:rsidRPr="007C7B55" w:rsidRDefault="00E37FC0" w:rsidP="00BF5F60">
            <w:pPr>
              <w:spacing w:afterLines="240" w:after="576"/>
              <w:contextualSpacing/>
              <w:jc w:val="center"/>
              <w:rPr>
                <w:rFonts w:ascii="Century Gothic" w:hAnsi="Century Gothic" w:cs="Arial"/>
                <w:b/>
                <w:bCs/>
                <w:color w:val="333333"/>
                <w:sz w:val="18"/>
                <w:szCs w:val="18"/>
                <w:lang w:val="es-ES" w:eastAsia="en-GB"/>
              </w:rPr>
            </w:pPr>
          </w:p>
        </w:tc>
        <w:tc>
          <w:tcPr>
            <w:tcW w:w="834" w:type="pct"/>
            <w:tcBorders>
              <w:top w:val="single" w:sz="12" w:space="0" w:color="FFCC00"/>
              <w:bottom w:val="single" w:sz="6" w:space="0" w:color="000000" w:themeColor="text1"/>
            </w:tcBorders>
            <w:shd w:val="clear" w:color="auto" w:fill="auto"/>
            <w:vAlign w:val="center"/>
            <w:hideMark/>
          </w:tcPr>
          <w:p w14:paraId="7D7B7842" w14:textId="77777777" w:rsidR="00E37FC0" w:rsidRPr="00615CD4"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5CD4">
              <w:rPr>
                <w:rFonts w:ascii="Arial" w:hAnsi="Arial" w:cs="Arial"/>
                <w:noProof/>
                <w:color w:val="000000"/>
                <w:sz w:val="18"/>
                <w:szCs w:val="18"/>
                <w:lang w:val="es-ES" w:eastAsia="es-ES"/>
              </w:rPr>
              <w:drawing>
                <wp:inline distT="0" distB="0" distL="0" distR="0" wp14:anchorId="3E7F23EC" wp14:editId="100B4863">
                  <wp:extent cx="247650" cy="150338"/>
                  <wp:effectExtent l="0" t="0" r="0" b="2540"/>
                  <wp:docPr id="222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73" cy="151506"/>
                          </a:xfrm>
                          <a:prstGeom prst="rect">
                            <a:avLst/>
                          </a:prstGeom>
                          <a:noFill/>
                          <a:ln>
                            <a:noFill/>
                          </a:ln>
                          <a:extLst/>
                        </pic:spPr>
                      </pic:pic>
                    </a:graphicData>
                  </a:graphic>
                </wp:inline>
              </w:drawing>
            </w:r>
          </w:p>
        </w:tc>
        <w:tc>
          <w:tcPr>
            <w:tcW w:w="913" w:type="pct"/>
            <w:tcBorders>
              <w:top w:val="single" w:sz="12" w:space="0" w:color="FFCC00"/>
              <w:bottom w:val="single" w:sz="6" w:space="0" w:color="000000" w:themeColor="text1"/>
            </w:tcBorders>
            <w:shd w:val="clear" w:color="auto" w:fill="auto"/>
            <w:vAlign w:val="center"/>
            <w:hideMark/>
          </w:tcPr>
          <w:p w14:paraId="04C176F0"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44B03">
              <w:rPr>
                <w:rFonts w:ascii="Arial" w:hAnsi="Arial" w:cs="Arial"/>
                <w:noProof/>
                <w:color w:val="000000"/>
                <w:sz w:val="18"/>
                <w:szCs w:val="18"/>
                <w:lang w:val="es-ES" w:eastAsia="es-ES"/>
              </w:rPr>
              <w:drawing>
                <wp:inline distT="0" distB="0" distL="0" distR="0" wp14:anchorId="30ADE13D" wp14:editId="1BE4B304">
                  <wp:extent cx="216000" cy="144000"/>
                  <wp:effectExtent l="0" t="0" r="0" b="8890"/>
                  <wp:docPr id="222339" name="Picture 2" descr="Resultado de imagen de bandera franc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bandera francia"/>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144000"/>
                          </a:xfrm>
                          <a:prstGeom prst="rect">
                            <a:avLst/>
                          </a:prstGeom>
                          <a:noFill/>
                          <a:extLst/>
                        </pic:spPr>
                      </pic:pic>
                    </a:graphicData>
                  </a:graphic>
                </wp:inline>
              </w:drawing>
            </w:r>
          </w:p>
        </w:tc>
        <w:tc>
          <w:tcPr>
            <w:tcW w:w="713" w:type="pct"/>
            <w:tcBorders>
              <w:top w:val="single" w:sz="12" w:space="0" w:color="FFCC00"/>
              <w:bottom w:val="single" w:sz="6" w:space="0" w:color="000000" w:themeColor="text1"/>
            </w:tcBorders>
            <w:shd w:val="clear" w:color="auto" w:fill="auto"/>
            <w:vAlign w:val="center"/>
            <w:hideMark/>
          </w:tcPr>
          <w:p w14:paraId="0CFC8B84"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243B4D">
              <w:rPr>
                <w:rFonts w:ascii="Arial" w:hAnsi="Arial" w:cs="Arial"/>
                <w:noProof/>
                <w:color w:val="000000"/>
                <w:sz w:val="18"/>
                <w:szCs w:val="18"/>
                <w:lang w:val="es-ES" w:eastAsia="es-ES"/>
              </w:rPr>
              <w:drawing>
                <wp:inline distT="0" distB="0" distL="0" distR="0" wp14:anchorId="2978422B" wp14:editId="2FB46B02">
                  <wp:extent cx="216000" cy="144000"/>
                  <wp:effectExtent l="0" t="0" r="0" b="8890"/>
                  <wp:docPr id="222340" name="Picture 2" descr="Resultado de imagen de bandera reino un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Resultado de imagen de bandera reino unido"/>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 cy="144000"/>
                          </a:xfrm>
                          <a:prstGeom prst="rect">
                            <a:avLst/>
                          </a:prstGeom>
                          <a:noFill/>
                          <a:extLst/>
                        </pic:spPr>
                      </pic:pic>
                    </a:graphicData>
                  </a:graphic>
                </wp:inline>
              </w:drawing>
            </w:r>
          </w:p>
        </w:tc>
        <w:tc>
          <w:tcPr>
            <w:tcW w:w="653" w:type="pct"/>
            <w:tcBorders>
              <w:top w:val="single" w:sz="12" w:space="0" w:color="FFCC00"/>
              <w:bottom w:val="single" w:sz="6" w:space="0" w:color="000000" w:themeColor="text1"/>
            </w:tcBorders>
            <w:shd w:val="clear" w:color="auto" w:fill="auto"/>
            <w:vAlign w:val="center"/>
            <w:hideMark/>
          </w:tcPr>
          <w:p w14:paraId="4F80EE84"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noProof/>
                <w:lang w:val="es-ES" w:eastAsia="es-ES"/>
              </w:rPr>
              <w:drawing>
                <wp:inline distT="0" distB="0" distL="0" distR="0" wp14:anchorId="6351BE15" wp14:editId="3779FB4D">
                  <wp:extent cx="246574" cy="144000"/>
                  <wp:effectExtent l="0" t="0" r="1270" b="8890"/>
                  <wp:docPr id="222341" name="Imagen 222341" descr="Resultado de imagen de bandera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ndera it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74" cy="144000"/>
                          </a:xfrm>
                          <a:prstGeom prst="rect">
                            <a:avLst/>
                          </a:prstGeom>
                          <a:noFill/>
                          <a:ln>
                            <a:noFill/>
                          </a:ln>
                        </pic:spPr>
                      </pic:pic>
                    </a:graphicData>
                  </a:graphic>
                </wp:inline>
              </w:drawing>
            </w:r>
          </w:p>
        </w:tc>
        <w:tc>
          <w:tcPr>
            <w:tcW w:w="649" w:type="pct"/>
            <w:tcBorders>
              <w:top w:val="single" w:sz="12" w:space="0" w:color="FFCC00"/>
              <w:bottom w:val="single" w:sz="6" w:space="0" w:color="000000" w:themeColor="text1"/>
            </w:tcBorders>
            <w:shd w:val="clear" w:color="auto" w:fill="auto"/>
            <w:vAlign w:val="center"/>
            <w:hideMark/>
          </w:tcPr>
          <w:p w14:paraId="204B1433" w14:textId="77777777" w:rsidR="00E37FC0" w:rsidRPr="00615CD4"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5CD4">
              <w:rPr>
                <w:noProof/>
                <w:lang w:val="es-ES" w:eastAsia="es-ES"/>
              </w:rPr>
              <w:drawing>
                <wp:inline distT="0" distB="0" distL="0" distR="0" wp14:anchorId="6895633C" wp14:editId="5DAA8F10">
                  <wp:extent cx="216542" cy="144000"/>
                  <wp:effectExtent l="0" t="0" r="0" b="8890"/>
                  <wp:docPr id="222216" name="Imagen 222216" descr="Resultado de imagen de bander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ndera españ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42" cy="144000"/>
                          </a:xfrm>
                          <a:prstGeom prst="rect">
                            <a:avLst/>
                          </a:prstGeom>
                          <a:noFill/>
                          <a:ln>
                            <a:noFill/>
                          </a:ln>
                        </pic:spPr>
                      </pic:pic>
                    </a:graphicData>
                  </a:graphic>
                </wp:inline>
              </w:drawing>
            </w:r>
          </w:p>
        </w:tc>
      </w:tr>
      <w:tr w:rsidR="00E37FC0" w:rsidRPr="007C7B55" w14:paraId="2AEBEF72"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39" w:type="pct"/>
            <w:tcBorders>
              <w:top w:val="single" w:sz="6" w:space="0" w:color="000000" w:themeColor="text1"/>
              <w:right w:val="nil"/>
            </w:tcBorders>
            <w:shd w:val="clear" w:color="auto" w:fill="auto"/>
            <w:vAlign w:val="center"/>
            <w:hideMark/>
          </w:tcPr>
          <w:p w14:paraId="2B9C3F83"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Micro</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0-9</w:t>
            </w:r>
          </w:p>
        </w:tc>
        <w:tc>
          <w:tcPr>
            <w:tcW w:w="834" w:type="pct"/>
            <w:tcBorders>
              <w:top w:val="single" w:sz="6" w:space="0" w:color="000000" w:themeColor="text1"/>
            </w:tcBorders>
            <w:shd w:val="clear" w:color="auto" w:fill="auto"/>
            <w:noWrap/>
            <w:vAlign w:val="center"/>
            <w:hideMark/>
          </w:tcPr>
          <w:p w14:paraId="243D40E9" w14:textId="77777777" w:rsidR="00E37FC0" w:rsidRPr="003511C3" w:rsidRDefault="00E37FC0" w:rsidP="0006753F">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82,</w:t>
            </w:r>
            <w:r w:rsidR="0006753F">
              <w:rPr>
                <w:rFonts w:ascii="Century Gothic" w:hAnsi="Century Gothic" w:cs="Arial"/>
                <w:color w:val="000000"/>
                <w:sz w:val="18"/>
                <w:szCs w:val="18"/>
                <w:lang w:val="es-ES"/>
              </w:rPr>
              <w:t>6</w:t>
            </w:r>
            <w:r w:rsidRPr="003511C3">
              <w:rPr>
                <w:rFonts w:ascii="Century Gothic" w:hAnsi="Century Gothic" w:cs="Arial"/>
                <w:color w:val="000000"/>
                <w:sz w:val="18"/>
                <w:szCs w:val="18"/>
                <w:lang w:val="es-ES"/>
              </w:rPr>
              <w:t xml:space="preserve"> %</w:t>
            </w:r>
          </w:p>
        </w:tc>
        <w:tc>
          <w:tcPr>
            <w:tcW w:w="913" w:type="pct"/>
            <w:tcBorders>
              <w:top w:val="single" w:sz="6" w:space="0" w:color="000000" w:themeColor="text1"/>
            </w:tcBorders>
            <w:shd w:val="clear" w:color="auto" w:fill="auto"/>
            <w:noWrap/>
            <w:vAlign w:val="center"/>
            <w:hideMark/>
          </w:tcPr>
          <w:p w14:paraId="5CEFE696" w14:textId="77777777" w:rsidR="00E37FC0" w:rsidRPr="003511C3" w:rsidRDefault="00E37FC0" w:rsidP="0006753F">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95,</w:t>
            </w:r>
            <w:r w:rsidR="0006753F">
              <w:rPr>
                <w:rFonts w:ascii="Century Gothic" w:hAnsi="Century Gothic" w:cs="Arial"/>
                <w:color w:val="000000"/>
                <w:sz w:val="18"/>
                <w:szCs w:val="18"/>
                <w:lang w:val="es-ES"/>
              </w:rPr>
              <w:t>3</w:t>
            </w:r>
            <w:r w:rsidRPr="003511C3">
              <w:rPr>
                <w:rFonts w:ascii="Century Gothic" w:hAnsi="Century Gothic" w:cs="Arial"/>
                <w:color w:val="000000"/>
                <w:sz w:val="18"/>
                <w:szCs w:val="18"/>
                <w:lang w:val="es-ES"/>
              </w:rPr>
              <w:t xml:space="preserve"> %</w:t>
            </w:r>
          </w:p>
        </w:tc>
        <w:tc>
          <w:tcPr>
            <w:tcW w:w="713" w:type="pct"/>
            <w:tcBorders>
              <w:top w:val="single" w:sz="6" w:space="0" w:color="000000" w:themeColor="text1"/>
            </w:tcBorders>
            <w:shd w:val="clear" w:color="auto" w:fill="auto"/>
            <w:noWrap/>
            <w:vAlign w:val="center"/>
            <w:hideMark/>
          </w:tcPr>
          <w:p w14:paraId="7A6DEE51" w14:textId="77777777" w:rsidR="00E37FC0" w:rsidRPr="003511C3" w:rsidRDefault="00E37FC0" w:rsidP="0006753F">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8</w:t>
            </w:r>
            <w:r w:rsidR="0006753F">
              <w:rPr>
                <w:rFonts w:ascii="Century Gothic" w:hAnsi="Century Gothic" w:cs="Arial"/>
                <w:color w:val="000000"/>
                <w:sz w:val="18"/>
                <w:szCs w:val="18"/>
                <w:lang w:val="es-ES"/>
              </w:rPr>
              <w:t>9,2</w:t>
            </w:r>
            <w:r w:rsidRPr="003511C3">
              <w:rPr>
                <w:rFonts w:ascii="Century Gothic" w:hAnsi="Century Gothic" w:cs="Arial"/>
                <w:color w:val="000000"/>
                <w:sz w:val="18"/>
                <w:szCs w:val="18"/>
                <w:lang w:val="es-ES"/>
              </w:rPr>
              <w:t xml:space="preserve"> %</w:t>
            </w:r>
          </w:p>
        </w:tc>
        <w:tc>
          <w:tcPr>
            <w:tcW w:w="653" w:type="pct"/>
            <w:tcBorders>
              <w:top w:val="single" w:sz="6" w:space="0" w:color="000000" w:themeColor="text1"/>
            </w:tcBorders>
            <w:shd w:val="clear" w:color="auto" w:fill="auto"/>
            <w:noWrap/>
            <w:vAlign w:val="center"/>
            <w:hideMark/>
          </w:tcPr>
          <w:p w14:paraId="665C93DB" w14:textId="77777777" w:rsidR="00E37FC0" w:rsidRPr="003511C3" w:rsidRDefault="00E37FC0" w:rsidP="0006753F">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95,</w:t>
            </w:r>
            <w:r w:rsidR="0006753F">
              <w:rPr>
                <w:rFonts w:ascii="Century Gothic" w:hAnsi="Century Gothic" w:cs="Arial"/>
                <w:color w:val="000000"/>
                <w:sz w:val="18"/>
                <w:szCs w:val="18"/>
                <w:lang w:val="es-ES"/>
              </w:rPr>
              <w:t>2</w:t>
            </w:r>
            <w:r w:rsidRPr="003511C3">
              <w:rPr>
                <w:rFonts w:ascii="Century Gothic" w:hAnsi="Century Gothic" w:cs="Arial"/>
                <w:color w:val="000000"/>
                <w:sz w:val="18"/>
                <w:szCs w:val="18"/>
                <w:lang w:val="es-ES"/>
              </w:rPr>
              <w:t xml:space="preserve"> %</w:t>
            </w:r>
          </w:p>
        </w:tc>
        <w:tc>
          <w:tcPr>
            <w:tcW w:w="649" w:type="pct"/>
            <w:tcBorders>
              <w:top w:val="single" w:sz="6" w:space="0" w:color="000000" w:themeColor="text1"/>
              <w:right w:val="nil"/>
            </w:tcBorders>
            <w:shd w:val="clear" w:color="auto" w:fill="auto"/>
            <w:noWrap/>
            <w:vAlign w:val="center"/>
            <w:hideMark/>
          </w:tcPr>
          <w:p w14:paraId="08A13146" w14:textId="77777777" w:rsidR="00E37FC0" w:rsidRPr="003511C3" w:rsidRDefault="00E37FC0" w:rsidP="0006753F">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94.</w:t>
            </w:r>
            <w:r w:rsidR="0006753F">
              <w:rPr>
                <w:rFonts w:ascii="Century Gothic" w:hAnsi="Century Gothic" w:cs="Arial"/>
                <w:color w:val="000000"/>
                <w:sz w:val="18"/>
                <w:szCs w:val="18"/>
                <w:lang w:val="es-ES"/>
              </w:rPr>
              <w:t>9</w:t>
            </w:r>
            <w:r w:rsidRPr="003511C3">
              <w:rPr>
                <w:rFonts w:ascii="Century Gothic" w:hAnsi="Century Gothic" w:cs="Arial"/>
                <w:color w:val="000000"/>
                <w:sz w:val="18"/>
                <w:szCs w:val="18"/>
                <w:lang w:val="es-ES"/>
              </w:rPr>
              <w:t xml:space="preserve"> %</w:t>
            </w:r>
          </w:p>
        </w:tc>
      </w:tr>
      <w:tr w:rsidR="00E37FC0" w:rsidRPr="007C7B55" w14:paraId="37D53B47"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39" w:type="pct"/>
            <w:tcBorders>
              <w:right w:val="nil"/>
            </w:tcBorders>
            <w:shd w:val="clear" w:color="auto" w:fill="auto"/>
            <w:vAlign w:val="center"/>
            <w:hideMark/>
          </w:tcPr>
          <w:p w14:paraId="384DB7EA"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Pequeñas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10-49</w:t>
            </w:r>
          </w:p>
        </w:tc>
        <w:tc>
          <w:tcPr>
            <w:tcW w:w="834" w:type="pct"/>
            <w:shd w:val="clear" w:color="auto" w:fill="auto"/>
            <w:noWrap/>
            <w:vAlign w:val="center"/>
            <w:hideMark/>
          </w:tcPr>
          <w:p w14:paraId="18955B23" w14:textId="77777777" w:rsidR="00E37FC0" w:rsidRPr="003511C3" w:rsidRDefault="00E37FC0" w:rsidP="0006753F">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14,9 %</w:t>
            </w:r>
          </w:p>
        </w:tc>
        <w:tc>
          <w:tcPr>
            <w:tcW w:w="913" w:type="pct"/>
            <w:shd w:val="clear" w:color="auto" w:fill="auto"/>
            <w:noWrap/>
            <w:vAlign w:val="center"/>
            <w:hideMark/>
          </w:tcPr>
          <w:p w14:paraId="34D5FA00"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4,1 %</w:t>
            </w:r>
          </w:p>
        </w:tc>
        <w:tc>
          <w:tcPr>
            <w:tcW w:w="713" w:type="pct"/>
            <w:shd w:val="clear" w:color="auto" w:fill="auto"/>
            <w:noWrap/>
            <w:vAlign w:val="center"/>
            <w:hideMark/>
          </w:tcPr>
          <w:p w14:paraId="0FE492E4"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9,3 %</w:t>
            </w:r>
          </w:p>
        </w:tc>
        <w:tc>
          <w:tcPr>
            <w:tcW w:w="653" w:type="pct"/>
            <w:shd w:val="clear" w:color="auto" w:fill="auto"/>
            <w:noWrap/>
            <w:vAlign w:val="center"/>
            <w:hideMark/>
          </w:tcPr>
          <w:p w14:paraId="4EE3F3D8"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4,3 %</w:t>
            </w:r>
          </w:p>
        </w:tc>
        <w:tc>
          <w:tcPr>
            <w:tcW w:w="649" w:type="pct"/>
            <w:tcBorders>
              <w:right w:val="nil"/>
            </w:tcBorders>
            <w:shd w:val="clear" w:color="auto" w:fill="auto"/>
            <w:noWrap/>
            <w:vAlign w:val="center"/>
            <w:hideMark/>
          </w:tcPr>
          <w:p w14:paraId="1A0E7618"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4,5%</w:t>
            </w:r>
          </w:p>
        </w:tc>
      </w:tr>
      <w:tr w:rsidR="00E37FC0" w:rsidRPr="007C7B55" w14:paraId="2B6DD3CB"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39" w:type="pct"/>
            <w:tcBorders>
              <w:right w:val="nil"/>
            </w:tcBorders>
            <w:shd w:val="clear" w:color="auto" w:fill="auto"/>
            <w:vAlign w:val="center"/>
          </w:tcPr>
          <w:p w14:paraId="0A4FF45A"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Medianas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50-249</w:t>
            </w:r>
          </w:p>
        </w:tc>
        <w:tc>
          <w:tcPr>
            <w:tcW w:w="834" w:type="pct"/>
            <w:shd w:val="clear" w:color="auto" w:fill="auto"/>
            <w:noWrap/>
            <w:vAlign w:val="center"/>
          </w:tcPr>
          <w:p w14:paraId="385DE734" w14:textId="77777777" w:rsidR="00E37FC0" w:rsidRPr="003511C3" w:rsidRDefault="00E37FC0" w:rsidP="0006753F">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2,5 %</w:t>
            </w:r>
          </w:p>
        </w:tc>
        <w:tc>
          <w:tcPr>
            <w:tcW w:w="913" w:type="pct"/>
            <w:shd w:val="clear" w:color="auto" w:fill="auto"/>
            <w:noWrap/>
            <w:vAlign w:val="center"/>
          </w:tcPr>
          <w:p w14:paraId="057B8CD0" w14:textId="77777777" w:rsidR="00E37FC0" w:rsidRPr="003511C3" w:rsidRDefault="00E37FC0" w:rsidP="0006753F">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0,</w:t>
            </w:r>
            <w:r w:rsidR="0006753F">
              <w:rPr>
                <w:rFonts w:ascii="Century Gothic" w:hAnsi="Century Gothic" w:cs="Arial"/>
                <w:color w:val="000000"/>
                <w:sz w:val="18"/>
                <w:szCs w:val="18"/>
                <w:lang w:val="es-ES"/>
              </w:rPr>
              <w:t>6</w:t>
            </w:r>
            <w:r w:rsidRPr="003511C3">
              <w:rPr>
                <w:rFonts w:ascii="Century Gothic" w:hAnsi="Century Gothic" w:cs="Arial"/>
                <w:color w:val="000000"/>
                <w:sz w:val="18"/>
                <w:szCs w:val="18"/>
                <w:lang w:val="es-ES"/>
              </w:rPr>
              <w:t xml:space="preserve"> %</w:t>
            </w:r>
          </w:p>
        </w:tc>
        <w:tc>
          <w:tcPr>
            <w:tcW w:w="713" w:type="pct"/>
            <w:shd w:val="clear" w:color="auto" w:fill="auto"/>
            <w:noWrap/>
            <w:vAlign w:val="center"/>
          </w:tcPr>
          <w:p w14:paraId="6FD5AFA6" w14:textId="77777777" w:rsidR="00E37FC0" w:rsidRPr="003511C3" w:rsidRDefault="00E37FC0" w:rsidP="00BF5F6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1,5 %</w:t>
            </w:r>
          </w:p>
        </w:tc>
        <w:tc>
          <w:tcPr>
            <w:tcW w:w="653" w:type="pct"/>
            <w:shd w:val="clear" w:color="auto" w:fill="auto"/>
            <w:noWrap/>
            <w:vAlign w:val="center"/>
          </w:tcPr>
          <w:p w14:paraId="73C053F6" w14:textId="77777777" w:rsidR="00E37FC0" w:rsidRPr="003511C3" w:rsidRDefault="00E37FC0" w:rsidP="00BF5F6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0,5 %</w:t>
            </w:r>
          </w:p>
        </w:tc>
        <w:tc>
          <w:tcPr>
            <w:tcW w:w="649" w:type="pct"/>
            <w:tcBorders>
              <w:right w:val="nil"/>
            </w:tcBorders>
            <w:shd w:val="clear" w:color="auto" w:fill="auto"/>
            <w:noWrap/>
            <w:vAlign w:val="center"/>
          </w:tcPr>
          <w:p w14:paraId="3461EA7F" w14:textId="77777777" w:rsidR="00E37FC0" w:rsidRPr="003511C3" w:rsidRDefault="00E37FC0" w:rsidP="00BF5F6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0,6%</w:t>
            </w:r>
          </w:p>
        </w:tc>
      </w:tr>
      <w:tr w:rsidR="00E37FC0" w:rsidRPr="007C7B55" w14:paraId="05141F87"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39" w:type="pct"/>
            <w:tcBorders>
              <w:right w:val="nil"/>
            </w:tcBorders>
            <w:shd w:val="clear" w:color="auto" w:fill="auto"/>
            <w:vAlign w:val="center"/>
            <w:hideMark/>
          </w:tcPr>
          <w:p w14:paraId="2F62DB6E" w14:textId="77777777" w:rsidR="00E37FC0" w:rsidRPr="003511C3" w:rsidRDefault="00E37FC0" w:rsidP="00BF5F60">
            <w:pPr>
              <w:spacing w:before="60" w:after="60"/>
              <w:contextualSpacing/>
              <w:jc w:val="center"/>
              <w:rPr>
                <w:rFonts w:ascii="Century Gothic" w:hAnsi="Century Gothic" w:cs="Arial"/>
                <w:b/>
                <w:color w:val="000000"/>
                <w:sz w:val="18"/>
                <w:szCs w:val="18"/>
                <w:lang w:val="es-ES"/>
              </w:rPr>
            </w:pPr>
            <w:r w:rsidRPr="003511C3">
              <w:rPr>
                <w:rFonts w:ascii="Century Gothic" w:hAnsi="Century Gothic" w:cs="Arial"/>
                <w:b/>
                <w:color w:val="000000"/>
                <w:sz w:val="18"/>
                <w:szCs w:val="18"/>
                <w:lang w:val="es-ES"/>
              </w:rPr>
              <w:t>PYME</w:t>
            </w:r>
            <w:r>
              <w:rPr>
                <w:rFonts w:ascii="Century Gothic" w:hAnsi="Century Gothic" w:cs="Arial"/>
                <w:b/>
                <w:color w:val="000000"/>
                <w:sz w:val="18"/>
                <w:szCs w:val="18"/>
                <w:lang w:val="es-ES"/>
              </w:rPr>
              <w:t xml:space="preserve"> </w:t>
            </w:r>
            <w:r w:rsidRPr="003511C3">
              <w:rPr>
                <w:rFonts w:ascii="Century Gothic" w:hAnsi="Century Gothic" w:cs="Arial"/>
                <w:b/>
                <w:color w:val="000000"/>
                <w:sz w:val="18"/>
                <w:szCs w:val="18"/>
                <w:lang w:val="es-ES"/>
              </w:rPr>
              <w:t>0-249</w:t>
            </w:r>
          </w:p>
        </w:tc>
        <w:tc>
          <w:tcPr>
            <w:tcW w:w="834" w:type="pct"/>
            <w:shd w:val="clear" w:color="auto" w:fill="auto"/>
            <w:noWrap/>
            <w:vAlign w:val="center"/>
            <w:hideMark/>
          </w:tcPr>
          <w:p w14:paraId="7E88C5C7"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511C3">
              <w:rPr>
                <w:rFonts w:ascii="Century Gothic" w:hAnsi="Century Gothic" w:cs="Arial"/>
                <w:b/>
                <w:color w:val="000000"/>
                <w:sz w:val="18"/>
                <w:szCs w:val="18"/>
                <w:lang w:val="es-ES"/>
              </w:rPr>
              <w:t>99,5 %</w:t>
            </w:r>
          </w:p>
        </w:tc>
        <w:tc>
          <w:tcPr>
            <w:tcW w:w="913" w:type="pct"/>
            <w:shd w:val="clear" w:color="auto" w:fill="auto"/>
            <w:noWrap/>
            <w:vAlign w:val="center"/>
            <w:hideMark/>
          </w:tcPr>
          <w:p w14:paraId="601853AF" w14:textId="77777777" w:rsidR="00E37FC0" w:rsidRPr="003511C3" w:rsidRDefault="0006753F"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Pr>
                <w:rFonts w:ascii="Century Gothic" w:hAnsi="Century Gothic" w:cs="Arial"/>
                <w:b/>
                <w:color w:val="000000"/>
                <w:sz w:val="18"/>
                <w:szCs w:val="18"/>
                <w:lang w:val="es-ES"/>
              </w:rPr>
              <w:t>99,85</w:t>
            </w:r>
            <w:r w:rsidR="00E37FC0" w:rsidRPr="003511C3">
              <w:rPr>
                <w:rFonts w:ascii="Century Gothic" w:hAnsi="Century Gothic" w:cs="Arial"/>
                <w:b/>
                <w:color w:val="000000"/>
                <w:sz w:val="18"/>
                <w:szCs w:val="18"/>
                <w:lang w:val="es-ES"/>
              </w:rPr>
              <w:t xml:space="preserve"> %</w:t>
            </w:r>
          </w:p>
        </w:tc>
        <w:tc>
          <w:tcPr>
            <w:tcW w:w="713" w:type="pct"/>
            <w:shd w:val="clear" w:color="auto" w:fill="auto"/>
            <w:noWrap/>
            <w:vAlign w:val="center"/>
            <w:hideMark/>
          </w:tcPr>
          <w:p w14:paraId="204F4C19" w14:textId="77777777" w:rsidR="00E37FC0" w:rsidRPr="003511C3" w:rsidRDefault="00E37FC0" w:rsidP="0006753F">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511C3">
              <w:rPr>
                <w:rFonts w:ascii="Century Gothic" w:hAnsi="Century Gothic" w:cs="Arial"/>
                <w:b/>
                <w:color w:val="000000"/>
                <w:sz w:val="18"/>
                <w:szCs w:val="18"/>
                <w:lang w:val="es-ES"/>
              </w:rPr>
              <w:t>99,</w:t>
            </w:r>
            <w:r w:rsidR="0006753F">
              <w:rPr>
                <w:rFonts w:ascii="Century Gothic" w:hAnsi="Century Gothic" w:cs="Arial"/>
                <w:b/>
                <w:color w:val="000000"/>
                <w:sz w:val="18"/>
                <w:szCs w:val="18"/>
                <w:lang w:val="es-ES"/>
              </w:rPr>
              <w:t>67</w:t>
            </w:r>
            <w:r w:rsidRPr="003511C3">
              <w:rPr>
                <w:rFonts w:ascii="Century Gothic" w:hAnsi="Century Gothic" w:cs="Arial"/>
                <w:b/>
                <w:color w:val="000000"/>
                <w:sz w:val="18"/>
                <w:szCs w:val="18"/>
                <w:lang w:val="es-ES"/>
              </w:rPr>
              <w:t xml:space="preserve"> %</w:t>
            </w:r>
          </w:p>
        </w:tc>
        <w:tc>
          <w:tcPr>
            <w:tcW w:w="653" w:type="pct"/>
            <w:shd w:val="clear" w:color="auto" w:fill="auto"/>
            <w:noWrap/>
            <w:vAlign w:val="center"/>
            <w:hideMark/>
          </w:tcPr>
          <w:p w14:paraId="1D2727A9"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511C3">
              <w:rPr>
                <w:rFonts w:ascii="Century Gothic" w:hAnsi="Century Gothic" w:cs="Arial"/>
                <w:b/>
                <w:color w:val="000000"/>
                <w:sz w:val="18"/>
                <w:szCs w:val="18"/>
                <w:lang w:val="es-ES"/>
              </w:rPr>
              <w:t>99,9</w:t>
            </w:r>
            <w:r w:rsidR="0006753F">
              <w:rPr>
                <w:rFonts w:ascii="Century Gothic" w:hAnsi="Century Gothic" w:cs="Arial"/>
                <w:b/>
                <w:color w:val="000000"/>
                <w:sz w:val="18"/>
                <w:szCs w:val="18"/>
                <w:lang w:val="es-ES"/>
              </w:rPr>
              <w:t>2</w:t>
            </w:r>
            <w:r w:rsidRPr="003511C3">
              <w:rPr>
                <w:rFonts w:ascii="Century Gothic" w:hAnsi="Century Gothic" w:cs="Arial"/>
                <w:b/>
                <w:color w:val="000000"/>
                <w:sz w:val="18"/>
                <w:szCs w:val="18"/>
                <w:lang w:val="es-ES"/>
              </w:rPr>
              <w:t xml:space="preserve"> %</w:t>
            </w:r>
          </w:p>
        </w:tc>
        <w:tc>
          <w:tcPr>
            <w:tcW w:w="649" w:type="pct"/>
            <w:tcBorders>
              <w:right w:val="nil"/>
            </w:tcBorders>
            <w:shd w:val="clear" w:color="auto" w:fill="auto"/>
            <w:noWrap/>
            <w:vAlign w:val="center"/>
            <w:hideMark/>
          </w:tcPr>
          <w:p w14:paraId="02294A4D"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511C3">
              <w:rPr>
                <w:rFonts w:ascii="Century Gothic" w:hAnsi="Century Gothic" w:cs="Arial"/>
                <w:b/>
                <w:color w:val="000000"/>
                <w:sz w:val="18"/>
                <w:szCs w:val="18"/>
                <w:lang w:val="es-ES"/>
              </w:rPr>
              <w:t>99,</w:t>
            </w:r>
            <w:r w:rsidR="0006753F">
              <w:rPr>
                <w:rFonts w:ascii="Century Gothic" w:hAnsi="Century Gothic" w:cs="Arial"/>
                <w:b/>
                <w:color w:val="000000"/>
                <w:sz w:val="18"/>
                <w:szCs w:val="18"/>
                <w:lang w:val="es-ES"/>
              </w:rPr>
              <w:t>8</w:t>
            </w:r>
            <w:r w:rsidRPr="003511C3">
              <w:rPr>
                <w:rFonts w:ascii="Century Gothic" w:hAnsi="Century Gothic" w:cs="Arial"/>
                <w:b/>
                <w:color w:val="000000"/>
                <w:sz w:val="18"/>
                <w:szCs w:val="18"/>
                <w:lang w:val="es-ES"/>
              </w:rPr>
              <w:t>9%</w:t>
            </w:r>
          </w:p>
        </w:tc>
      </w:tr>
      <w:tr w:rsidR="00E37FC0" w:rsidRPr="007C7B55" w14:paraId="7794E647"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39" w:type="pct"/>
            <w:tcBorders>
              <w:right w:val="nil"/>
            </w:tcBorders>
            <w:shd w:val="clear" w:color="auto" w:fill="auto"/>
            <w:vAlign w:val="center"/>
            <w:hideMark/>
          </w:tcPr>
          <w:p w14:paraId="700A3052"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Grandes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+249</w:t>
            </w:r>
          </w:p>
        </w:tc>
        <w:tc>
          <w:tcPr>
            <w:tcW w:w="834" w:type="pct"/>
            <w:shd w:val="clear" w:color="auto" w:fill="auto"/>
            <w:noWrap/>
            <w:vAlign w:val="center"/>
            <w:hideMark/>
          </w:tcPr>
          <w:p w14:paraId="51ECA60D" w14:textId="77777777" w:rsidR="00E37FC0" w:rsidRPr="003511C3" w:rsidRDefault="00E37FC0" w:rsidP="00BF5F6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0,5 %</w:t>
            </w:r>
          </w:p>
        </w:tc>
        <w:tc>
          <w:tcPr>
            <w:tcW w:w="913" w:type="pct"/>
            <w:shd w:val="clear" w:color="auto" w:fill="auto"/>
            <w:noWrap/>
            <w:vAlign w:val="center"/>
            <w:hideMark/>
          </w:tcPr>
          <w:p w14:paraId="7EAB1D68" w14:textId="77777777" w:rsidR="00E37FC0" w:rsidRPr="003511C3" w:rsidRDefault="00E37FC0" w:rsidP="00BF5F6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0,1</w:t>
            </w:r>
            <w:r w:rsidR="0006753F">
              <w:rPr>
                <w:rFonts w:ascii="Century Gothic" w:hAnsi="Century Gothic" w:cs="Arial"/>
                <w:color w:val="000000"/>
                <w:sz w:val="18"/>
                <w:szCs w:val="18"/>
                <w:lang w:val="es-ES"/>
              </w:rPr>
              <w:t>5</w:t>
            </w:r>
            <w:r w:rsidRPr="003511C3">
              <w:rPr>
                <w:rFonts w:ascii="Century Gothic" w:hAnsi="Century Gothic" w:cs="Arial"/>
                <w:color w:val="000000"/>
                <w:sz w:val="18"/>
                <w:szCs w:val="18"/>
                <w:lang w:val="es-ES"/>
              </w:rPr>
              <w:t xml:space="preserve"> %</w:t>
            </w:r>
          </w:p>
        </w:tc>
        <w:tc>
          <w:tcPr>
            <w:tcW w:w="713" w:type="pct"/>
            <w:shd w:val="clear" w:color="auto" w:fill="auto"/>
            <w:noWrap/>
            <w:vAlign w:val="center"/>
            <w:hideMark/>
          </w:tcPr>
          <w:p w14:paraId="05941313" w14:textId="77777777" w:rsidR="00E37FC0" w:rsidRPr="003511C3" w:rsidRDefault="00E37FC0" w:rsidP="00BF5F6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0,3</w:t>
            </w:r>
            <w:r w:rsidR="00CA28F0">
              <w:rPr>
                <w:rFonts w:ascii="Century Gothic" w:hAnsi="Century Gothic" w:cs="Arial"/>
                <w:color w:val="000000"/>
                <w:sz w:val="18"/>
                <w:szCs w:val="18"/>
                <w:lang w:val="es-ES"/>
              </w:rPr>
              <w:t>3</w:t>
            </w:r>
            <w:r w:rsidRPr="003511C3">
              <w:rPr>
                <w:rFonts w:ascii="Century Gothic" w:hAnsi="Century Gothic" w:cs="Arial"/>
                <w:color w:val="000000"/>
                <w:sz w:val="18"/>
                <w:szCs w:val="18"/>
                <w:lang w:val="es-ES"/>
              </w:rPr>
              <w:t xml:space="preserve"> %</w:t>
            </w:r>
          </w:p>
        </w:tc>
        <w:tc>
          <w:tcPr>
            <w:tcW w:w="653" w:type="pct"/>
            <w:shd w:val="clear" w:color="auto" w:fill="auto"/>
            <w:noWrap/>
            <w:vAlign w:val="center"/>
            <w:hideMark/>
          </w:tcPr>
          <w:p w14:paraId="1CAC6FC9" w14:textId="77777777" w:rsidR="00E37FC0" w:rsidRPr="003511C3" w:rsidRDefault="00E37FC0" w:rsidP="00CA28F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0,</w:t>
            </w:r>
            <w:r w:rsidR="00CA28F0">
              <w:rPr>
                <w:rFonts w:ascii="Century Gothic" w:hAnsi="Century Gothic" w:cs="Arial"/>
                <w:color w:val="000000"/>
                <w:sz w:val="18"/>
                <w:szCs w:val="18"/>
                <w:lang w:val="es-ES"/>
              </w:rPr>
              <w:t>08</w:t>
            </w:r>
            <w:r w:rsidRPr="003511C3">
              <w:rPr>
                <w:rFonts w:ascii="Century Gothic" w:hAnsi="Century Gothic" w:cs="Arial"/>
                <w:color w:val="000000"/>
                <w:sz w:val="18"/>
                <w:szCs w:val="18"/>
                <w:lang w:val="es-ES"/>
              </w:rPr>
              <w:t xml:space="preserve"> %</w:t>
            </w:r>
          </w:p>
        </w:tc>
        <w:tc>
          <w:tcPr>
            <w:tcW w:w="649" w:type="pct"/>
            <w:tcBorders>
              <w:right w:val="nil"/>
            </w:tcBorders>
            <w:shd w:val="clear" w:color="auto" w:fill="auto"/>
            <w:noWrap/>
            <w:vAlign w:val="center"/>
            <w:hideMark/>
          </w:tcPr>
          <w:p w14:paraId="1E49281F" w14:textId="77777777" w:rsidR="00E37FC0" w:rsidRPr="003511C3" w:rsidRDefault="00E37FC0" w:rsidP="00BF5F60">
            <w:pPr>
              <w:spacing w:before="60" w:after="6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0,</w:t>
            </w:r>
            <w:r w:rsidR="00CA28F0">
              <w:rPr>
                <w:rFonts w:ascii="Century Gothic" w:hAnsi="Century Gothic" w:cs="Arial"/>
                <w:color w:val="000000"/>
                <w:sz w:val="18"/>
                <w:szCs w:val="18"/>
                <w:lang w:val="es-ES"/>
              </w:rPr>
              <w:t>1</w:t>
            </w:r>
            <w:r w:rsidRPr="003511C3">
              <w:rPr>
                <w:rFonts w:ascii="Century Gothic" w:hAnsi="Century Gothic" w:cs="Arial"/>
                <w:color w:val="000000"/>
                <w:sz w:val="18"/>
                <w:szCs w:val="18"/>
                <w:lang w:val="es-ES"/>
              </w:rPr>
              <w:t>1%</w:t>
            </w:r>
          </w:p>
        </w:tc>
      </w:tr>
      <w:tr w:rsidR="00E37FC0" w:rsidRPr="007C7B55" w14:paraId="7088EC37"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39" w:type="pct"/>
            <w:tcBorders>
              <w:bottom w:val="single" w:sz="4" w:space="0" w:color="auto"/>
              <w:right w:val="nil"/>
            </w:tcBorders>
            <w:shd w:val="clear" w:color="auto" w:fill="auto"/>
            <w:noWrap/>
            <w:vAlign w:val="center"/>
            <w:hideMark/>
          </w:tcPr>
          <w:p w14:paraId="26533AC4"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TOTAL</w:t>
            </w:r>
          </w:p>
        </w:tc>
        <w:tc>
          <w:tcPr>
            <w:tcW w:w="834" w:type="pct"/>
            <w:tcBorders>
              <w:bottom w:val="single" w:sz="4" w:space="0" w:color="auto"/>
            </w:tcBorders>
            <w:shd w:val="clear" w:color="auto" w:fill="auto"/>
            <w:noWrap/>
            <w:vAlign w:val="center"/>
            <w:hideMark/>
          </w:tcPr>
          <w:p w14:paraId="6202262D"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100,0%</w:t>
            </w:r>
          </w:p>
        </w:tc>
        <w:tc>
          <w:tcPr>
            <w:tcW w:w="913" w:type="pct"/>
            <w:tcBorders>
              <w:bottom w:val="single" w:sz="4" w:space="0" w:color="auto"/>
            </w:tcBorders>
            <w:shd w:val="clear" w:color="auto" w:fill="auto"/>
            <w:noWrap/>
            <w:vAlign w:val="center"/>
            <w:hideMark/>
          </w:tcPr>
          <w:p w14:paraId="077F764D"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100,0%</w:t>
            </w:r>
          </w:p>
        </w:tc>
        <w:tc>
          <w:tcPr>
            <w:tcW w:w="713" w:type="pct"/>
            <w:tcBorders>
              <w:bottom w:val="single" w:sz="4" w:space="0" w:color="auto"/>
            </w:tcBorders>
            <w:shd w:val="clear" w:color="auto" w:fill="auto"/>
            <w:noWrap/>
            <w:vAlign w:val="center"/>
            <w:hideMark/>
          </w:tcPr>
          <w:p w14:paraId="3FEA154E"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100,0 %</w:t>
            </w:r>
          </w:p>
        </w:tc>
        <w:tc>
          <w:tcPr>
            <w:tcW w:w="653" w:type="pct"/>
            <w:tcBorders>
              <w:bottom w:val="single" w:sz="4" w:space="0" w:color="auto"/>
            </w:tcBorders>
            <w:shd w:val="clear" w:color="auto" w:fill="auto"/>
            <w:noWrap/>
            <w:vAlign w:val="center"/>
            <w:hideMark/>
          </w:tcPr>
          <w:p w14:paraId="1240270F"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100,0%</w:t>
            </w:r>
          </w:p>
        </w:tc>
        <w:tc>
          <w:tcPr>
            <w:tcW w:w="649" w:type="pct"/>
            <w:tcBorders>
              <w:bottom w:val="single" w:sz="4" w:space="0" w:color="auto"/>
              <w:right w:val="nil"/>
            </w:tcBorders>
            <w:shd w:val="clear" w:color="auto" w:fill="auto"/>
            <w:noWrap/>
            <w:vAlign w:val="center"/>
            <w:hideMark/>
          </w:tcPr>
          <w:p w14:paraId="42271622" w14:textId="77777777" w:rsidR="00E37FC0" w:rsidRPr="003511C3" w:rsidRDefault="00E37FC0" w:rsidP="00BF5F60">
            <w:pPr>
              <w:spacing w:before="60" w:after="6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100,0%</w:t>
            </w:r>
          </w:p>
        </w:tc>
      </w:tr>
      <w:tr w:rsidR="00E37FC0" w:rsidRPr="008131E7" w14:paraId="1FA86438" w14:textId="77777777" w:rsidTr="00BF5F6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right w:val="nil"/>
            </w:tcBorders>
            <w:shd w:val="clear" w:color="auto" w:fill="auto"/>
            <w:noWrap/>
            <w:vAlign w:val="center"/>
          </w:tcPr>
          <w:p w14:paraId="4FDB0054" w14:textId="77777777" w:rsidR="00E37FC0" w:rsidRPr="008131E7" w:rsidRDefault="00E37FC0" w:rsidP="00BF5F60">
            <w:pPr>
              <w:spacing w:afterLines="240" w:after="576"/>
              <w:contextualSpacing/>
              <w:rPr>
                <w:rFonts w:ascii="Century Gothic" w:hAnsi="Century Gothic" w:cs="Arial"/>
                <w:i/>
                <w:sz w:val="16"/>
                <w:szCs w:val="18"/>
                <w:lang w:val="en-US" w:eastAsia="en-GB"/>
              </w:rPr>
            </w:pPr>
            <w:r w:rsidRPr="008131E7">
              <w:rPr>
                <w:rFonts w:ascii="Century Gothic" w:hAnsi="Century Gothic" w:cs="Arial"/>
                <w:i/>
                <w:color w:val="000000"/>
                <w:sz w:val="16"/>
                <w:szCs w:val="18"/>
                <w:lang w:val="en-US"/>
              </w:rPr>
              <w:t xml:space="preserve">Fuente: Comisión Europea (2016), SBA Fact Sheet for </w:t>
            </w:r>
            <w:r>
              <w:rPr>
                <w:rFonts w:ascii="Century Gothic" w:hAnsi="Century Gothic" w:cs="Arial"/>
                <w:i/>
                <w:color w:val="000000"/>
                <w:sz w:val="16"/>
                <w:szCs w:val="18"/>
                <w:lang w:val="en-US"/>
              </w:rPr>
              <w:t xml:space="preserve">Germany, France, United Kingdom, Italy and </w:t>
            </w:r>
            <w:r w:rsidRPr="008131E7">
              <w:rPr>
                <w:rFonts w:ascii="Century Gothic" w:hAnsi="Century Gothic" w:cs="Arial"/>
                <w:i/>
                <w:color w:val="000000"/>
                <w:sz w:val="16"/>
                <w:szCs w:val="18"/>
                <w:lang w:val="en-US"/>
              </w:rPr>
              <w:t>Spain</w:t>
            </w:r>
          </w:p>
        </w:tc>
      </w:tr>
    </w:tbl>
    <w:p w14:paraId="1A1979AF" w14:textId="77777777" w:rsidR="00E37FC0" w:rsidRPr="008131E7" w:rsidRDefault="00E37FC0" w:rsidP="00E37FC0">
      <w:pPr>
        <w:pStyle w:val="Body"/>
        <w:spacing w:after="0"/>
        <w:rPr>
          <w:lang w:val="en-US"/>
        </w:rPr>
      </w:pPr>
    </w:p>
    <w:p w14:paraId="5E5DF109" w14:textId="716494B3" w:rsidR="00E37FC0" w:rsidRPr="009D4CCE" w:rsidRDefault="00E37FC0" w:rsidP="00E37FC0">
      <w:pPr>
        <w:pStyle w:val="Descripcin1"/>
        <w:rPr>
          <w:b w:val="0"/>
        </w:rPr>
      </w:pPr>
      <w:bookmarkStart w:id="5" w:name="_Toc526423681"/>
      <w:r w:rsidRPr="009D4CCE">
        <w:rPr>
          <w:b w:val="0"/>
        </w:rPr>
        <w:t xml:space="preserve">Tabla </w:t>
      </w:r>
      <w:r w:rsidRPr="009D4CCE">
        <w:rPr>
          <w:b w:val="0"/>
        </w:rPr>
        <w:fldChar w:fldCharType="begin"/>
      </w:r>
      <w:r w:rsidRPr="009D4CCE">
        <w:rPr>
          <w:b w:val="0"/>
        </w:rPr>
        <w:instrText xml:space="preserve"> SEQ Tabla \* ARABIC </w:instrText>
      </w:r>
      <w:r w:rsidRPr="009D4CCE">
        <w:rPr>
          <w:b w:val="0"/>
        </w:rPr>
        <w:fldChar w:fldCharType="separate"/>
      </w:r>
      <w:r w:rsidR="00811CB8">
        <w:rPr>
          <w:b w:val="0"/>
          <w:noProof/>
        </w:rPr>
        <w:t>2</w:t>
      </w:r>
      <w:r w:rsidRPr="009D4CCE">
        <w:rPr>
          <w:b w:val="0"/>
        </w:rPr>
        <w:fldChar w:fldCharType="end"/>
      </w:r>
      <w:r w:rsidRPr="009D4CCE">
        <w:rPr>
          <w:b w:val="0"/>
        </w:rPr>
        <w:t>. Distribución de personas empleadas por tamaño de empresa en Alemania, Francia, Reino Unido, Italia y España</w:t>
      </w:r>
      <w:bookmarkEnd w:id="5"/>
    </w:p>
    <w:tbl>
      <w:tblPr>
        <w:tblStyle w:val="Listamedia2"/>
        <w:tblW w:w="5000" w:type="pct"/>
        <w:tblCellMar>
          <w:top w:w="28" w:type="dxa"/>
          <w:bottom w:w="28" w:type="dxa"/>
        </w:tblCellMar>
        <w:tblLook w:val="04A0" w:firstRow="1" w:lastRow="0" w:firstColumn="1" w:lastColumn="0" w:noHBand="0" w:noVBand="1"/>
      </w:tblPr>
      <w:tblGrid>
        <w:gridCol w:w="2292"/>
        <w:gridCol w:w="1549"/>
        <w:gridCol w:w="1696"/>
        <w:gridCol w:w="1324"/>
        <w:gridCol w:w="1217"/>
        <w:gridCol w:w="1209"/>
      </w:tblGrid>
      <w:tr w:rsidR="00E37FC0" w:rsidRPr="007C7B55" w14:paraId="5024D418" w14:textId="77777777" w:rsidTr="00BF5F60">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1234" w:type="pct"/>
            <w:tcBorders>
              <w:top w:val="single" w:sz="12" w:space="0" w:color="FFCC00"/>
              <w:bottom w:val="single" w:sz="6" w:space="0" w:color="000000" w:themeColor="text1"/>
            </w:tcBorders>
            <w:shd w:val="clear" w:color="auto" w:fill="auto"/>
            <w:vAlign w:val="center"/>
            <w:hideMark/>
          </w:tcPr>
          <w:p w14:paraId="54F4C487" w14:textId="77777777" w:rsidR="00E37FC0" w:rsidRPr="007C7B55" w:rsidRDefault="00E37FC0" w:rsidP="00BF5F60">
            <w:pPr>
              <w:spacing w:afterLines="240" w:after="576"/>
              <w:contextualSpacing/>
              <w:jc w:val="center"/>
              <w:rPr>
                <w:rFonts w:ascii="Century Gothic" w:hAnsi="Century Gothic" w:cs="Arial"/>
                <w:b/>
                <w:bCs/>
                <w:color w:val="333333"/>
                <w:sz w:val="18"/>
                <w:szCs w:val="18"/>
                <w:lang w:val="es-ES" w:eastAsia="en-GB"/>
              </w:rPr>
            </w:pPr>
          </w:p>
        </w:tc>
        <w:tc>
          <w:tcPr>
            <w:tcW w:w="834" w:type="pct"/>
            <w:tcBorders>
              <w:top w:val="single" w:sz="12" w:space="0" w:color="FFCC00"/>
              <w:bottom w:val="single" w:sz="6" w:space="0" w:color="000000" w:themeColor="text1"/>
            </w:tcBorders>
            <w:shd w:val="clear" w:color="auto" w:fill="auto"/>
            <w:vAlign w:val="center"/>
            <w:hideMark/>
          </w:tcPr>
          <w:p w14:paraId="4D245C37" w14:textId="77777777" w:rsidR="00E37FC0" w:rsidRPr="00615CD4"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5CD4">
              <w:rPr>
                <w:rFonts w:ascii="Arial" w:hAnsi="Arial" w:cs="Arial"/>
                <w:noProof/>
                <w:color w:val="000000"/>
                <w:sz w:val="18"/>
                <w:szCs w:val="18"/>
                <w:lang w:val="es-ES" w:eastAsia="es-ES"/>
              </w:rPr>
              <w:drawing>
                <wp:inline distT="0" distB="0" distL="0" distR="0" wp14:anchorId="77769152" wp14:editId="733F4DB3">
                  <wp:extent cx="247650" cy="150338"/>
                  <wp:effectExtent l="0" t="0" r="0" b="2540"/>
                  <wp:docPr id="222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73" cy="151506"/>
                          </a:xfrm>
                          <a:prstGeom prst="rect">
                            <a:avLst/>
                          </a:prstGeom>
                          <a:noFill/>
                          <a:ln>
                            <a:noFill/>
                          </a:ln>
                          <a:extLst/>
                        </pic:spPr>
                      </pic:pic>
                    </a:graphicData>
                  </a:graphic>
                </wp:inline>
              </w:drawing>
            </w:r>
          </w:p>
        </w:tc>
        <w:tc>
          <w:tcPr>
            <w:tcW w:w="913" w:type="pct"/>
            <w:tcBorders>
              <w:top w:val="single" w:sz="12" w:space="0" w:color="FFCC00"/>
              <w:bottom w:val="single" w:sz="6" w:space="0" w:color="000000" w:themeColor="text1"/>
            </w:tcBorders>
            <w:shd w:val="clear" w:color="auto" w:fill="auto"/>
            <w:vAlign w:val="center"/>
            <w:hideMark/>
          </w:tcPr>
          <w:p w14:paraId="06F27669"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44B03">
              <w:rPr>
                <w:rFonts w:ascii="Arial" w:hAnsi="Arial" w:cs="Arial"/>
                <w:noProof/>
                <w:color w:val="000000"/>
                <w:sz w:val="18"/>
                <w:szCs w:val="18"/>
                <w:lang w:val="es-ES" w:eastAsia="es-ES"/>
              </w:rPr>
              <w:drawing>
                <wp:inline distT="0" distB="0" distL="0" distR="0" wp14:anchorId="352FC48C" wp14:editId="5E94B3A7">
                  <wp:extent cx="216000" cy="144000"/>
                  <wp:effectExtent l="0" t="0" r="0" b="8890"/>
                  <wp:docPr id="222211" name="Picture 2" descr="Resultado de imagen de bandera franc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bandera francia"/>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144000"/>
                          </a:xfrm>
                          <a:prstGeom prst="rect">
                            <a:avLst/>
                          </a:prstGeom>
                          <a:noFill/>
                          <a:extLst/>
                        </pic:spPr>
                      </pic:pic>
                    </a:graphicData>
                  </a:graphic>
                </wp:inline>
              </w:drawing>
            </w:r>
          </w:p>
        </w:tc>
        <w:tc>
          <w:tcPr>
            <w:tcW w:w="713" w:type="pct"/>
            <w:tcBorders>
              <w:top w:val="single" w:sz="12" w:space="0" w:color="FFCC00"/>
              <w:bottom w:val="single" w:sz="6" w:space="0" w:color="000000" w:themeColor="text1"/>
            </w:tcBorders>
            <w:shd w:val="clear" w:color="auto" w:fill="auto"/>
            <w:vAlign w:val="center"/>
            <w:hideMark/>
          </w:tcPr>
          <w:p w14:paraId="1EB5581D"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243B4D">
              <w:rPr>
                <w:rFonts w:ascii="Arial" w:hAnsi="Arial" w:cs="Arial"/>
                <w:noProof/>
                <w:color w:val="000000"/>
                <w:sz w:val="18"/>
                <w:szCs w:val="18"/>
                <w:lang w:val="es-ES" w:eastAsia="es-ES"/>
              </w:rPr>
              <w:drawing>
                <wp:inline distT="0" distB="0" distL="0" distR="0" wp14:anchorId="3A9AD52E" wp14:editId="09BCEF9A">
                  <wp:extent cx="216000" cy="144000"/>
                  <wp:effectExtent l="0" t="0" r="0" b="8890"/>
                  <wp:docPr id="222212" name="Picture 2" descr="Resultado de imagen de bandera reino un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Resultado de imagen de bandera reino unido"/>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 cy="144000"/>
                          </a:xfrm>
                          <a:prstGeom prst="rect">
                            <a:avLst/>
                          </a:prstGeom>
                          <a:noFill/>
                          <a:extLst/>
                        </pic:spPr>
                      </pic:pic>
                    </a:graphicData>
                  </a:graphic>
                </wp:inline>
              </w:drawing>
            </w:r>
          </w:p>
        </w:tc>
        <w:tc>
          <w:tcPr>
            <w:tcW w:w="655" w:type="pct"/>
            <w:tcBorders>
              <w:top w:val="single" w:sz="12" w:space="0" w:color="FFCC00"/>
              <w:bottom w:val="single" w:sz="6" w:space="0" w:color="000000" w:themeColor="text1"/>
            </w:tcBorders>
            <w:shd w:val="clear" w:color="auto" w:fill="auto"/>
            <w:vAlign w:val="center"/>
            <w:hideMark/>
          </w:tcPr>
          <w:p w14:paraId="2E020C54"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noProof/>
                <w:lang w:val="es-ES" w:eastAsia="es-ES"/>
              </w:rPr>
              <w:drawing>
                <wp:inline distT="0" distB="0" distL="0" distR="0" wp14:anchorId="1B182FA2" wp14:editId="3040A9EF">
                  <wp:extent cx="246574" cy="144000"/>
                  <wp:effectExtent l="0" t="0" r="1270" b="8890"/>
                  <wp:docPr id="222224" name="Imagen 222224" descr="Resultado de imagen de bandera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ndera it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74" cy="144000"/>
                          </a:xfrm>
                          <a:prstGeom prst="rect">
                            <a:avLst/>
                          </a:prstGeom>
                          <a:noFill/>
                          <a:ln>
                            <a:noFill/>
                          </a:ln>
                        </pic:spPr>
                      </pic:pic>
                    </a:graphicData>
                  </a:graphic>
                </wp:inline>
              </w:drawing>
            </w:r>
          </w:p>
        </w:tc>
        <w:tc>
          <w:tcPr>
            <w:tcW w:w="651" w:type="pct"/>
            <w:tcBorders>
              <w:top w:val="single" w:sz="12" w:space="0" w:color="FFCC00"/>
              <w:bottom w:val="single" w:sz="6" w:space="0" w:color="000000" w:themeColor="text1"/>
            </w:tcBorders>
            <w:shd w:val="clear" w:color="auto" w:fill="auto"/>
            <w:vAlign w:val="center"/>
            <w:hideMark/>
          </w:tcPr>
          <w:p w14:paraId="1F9FCA69" w14:textId="77777777" w:rsidR="00E37FC0" w:rsidRPr="00615CD4"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5CD4">
              <w:rPr>
                <w:noProof/>
                <w:lang w:val="es-ES" w:eastAsia="es-ES"/>
              </w:rPr>
              <w:drawing>
                <wp:inline distT="0" distB="0" distL="0" distR="0" wp14:anchorId="286DA901" wp14:editId="3BC3F823">
                  <wp:extent cx="216542" cy="144000"/>
                  <wp:effectExtent l="0" t="0" r="0" b="8890"/>
                  <wp:docPr id="222225" name="Imagen 222225" descr="Resultado de imagen de bander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ndera españ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42" cy="144000"/>
                          </a:xfrm>
                          <a:prstGeom prst="rect">
                            <a:avLst/>
                          </a:prstGeom>
                          <a:noFill/>
                          <a:ln>
                            <a:noFill/>
                          </a:ln>
                        </pic:spPr>
                      </pic:pic>
                    </a:graphicData>
                  </a:graphic>
                </wp:inline>
              </w:drawing>
            </w:r>
          </w:p>
        </w:tc>
      </w:tr>
      <w:tr w:rsidR="00E37FC0" w:rsidRPr="007C7B55" w14:paraId="3D2ABAE9"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34" w:type="pct"/>
            <w:tcBorders>
              <w:top w:val="single" w:sz="6" w:space="0" w:color="000000" w:themeColor="text1"/>
              <w:right w:val="nil"/>
            </w:tcBorders>
            <w:shd w:val="clear" w:color="auto" w:fill="auto"/>
            <w:vAlign w:val="center"/>
            <w:hideMark/>
          </w:tcPr>
          <w:p w14:paraId="2FE96E2B"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Micro</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0-9</w:t>
            </w:r>
          </w:p>
        </w:tc>
        <w:tc>
          <w:tcPr>
            <w:tcW w:w="834" w:type="pct"/>
            <w:tcBorders>
              <w:top w:val="single" w:sz="6" w:space="0" w:color="000000" w:themeColor="text1"/>
            </w:tcBorders>
            <w:shd w:val="clear" w:color="auto" w:fill="auto"/>
            <w:noWrap/>
            <w:vAlign w:val="center"/>
            <w:hideMark/>
          </w:tcPr>
          <w:p w14:paraId="29342C1B"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18,9 %</w:t>
            </w:r>
          </w:p>
        </w:tc>
        <w:tc>
          <w:tcPr>
            <w:tcW w:w="913" w:type="pct"/>
            <w:tcBorders>
              <w:top w:val="single" w:sz="6" w:space="0" w:color="000000" w:themeColor="text1"/>
            </w:tcBorders>
            <w:shd w:val="clear" w:color="auto" w:fill="auto"/>
            <w:noWrap/>
            <w:vAlign w:val="center"/>
            <w:hideMark/>
          </w:tcPr>
          <w:p w14:paraId="518CE265"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29,5 %</w:t>
            </w:r>
          </w:p>
        </w:tc>
        <w:tc>
          <w:tcPr>
            <w:tcW w:w="713" w:type="pct"/>
            <w:tcBorders>
              <w:top w:val="single" w:sz="6" w:space="0" w:color="000000" w:themeColor="text1"/>
            </w:tcBorders>
            <w:shd w:val="clear" w:color="auto" w:fill="auto"/>
            <w:noWrap/>
            <w:vAlign w:val="center"/>
            <w:hideMark/>
          </w:tcPr>
          <w:p w14:paraId="24D62DAF"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17,9 %</w:t>
            </w:r>
          </w:p>
        </w:tc>
        <w:tc>
          <w:tcPr>
            <w:tcW w:w="655" w:type="pct"/>
            <w:tcBorders>
              <w:top w:val="single" w:sz="6" w:space="0" w:color="000000" w:themeColor="text1"/>
            </w:tcBorders>
            <w:shd w:val="clear" w:color="auto" w:fill="auto"/>
            <w:noWrap/>
            <w:vAlign w:val="center"/>
            <w:hideMark/>
          </w:tcPr>
          <w:p w14:paraId="47A3691E"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46,5 %</w:t>
            </w:r>
          </w:p>
        </w:tc>
        <w:tc>
          <w:tcPr>
            <w:tcW w:w="651" w:type="pct"/>
            <w:tcBorders>
              <w:top w:val="single" w:sz="6" w:space="0" w:color="000000" w:themeColor="text1"/>
              <w:right w:val="nil"/>
            </w:tcBorders>
            <w:shd w:val="clear" w:color="auto" w:fill="auto"/>
            <w:noWrap/>
            <w:vAlign w:val="center"/>
            <w:hideMark/>
          </w:tcPr>
          <w:p w14:paraId="630475DE"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41,1%</w:t>
            </w:r>
          </w:p>
        </w:tc>
      </w:tr>
      <w:tr w:rsidR="00E37FC0" w:rsidRPr="007C7B55" w14:paraId="2028B000"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34" w:type="pct"/>
            <w:tcBorders>
              <w:right w:val="nil"/>
            </w:tcBorders>
            <w:shd w:val="clear" w:color="auto" w:fill="auto"/>
            <w:vAlign w:val="center"/>
            <w:hideMark/>
          </w:tcPr>
          <w:p w14:paraId="2B5160C0"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Pequeñas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10-49</w:t>
            </w:r>
          </w:p>
        </w:tc>
        <w:tc>
          <w:tcPr>
            <w:tcW w:w="834" w:type="pct"/>
            <w:shd w:val="clear" w:color="auto" w:fill="auto"/>
            <w:noWrap/>
            <w:vAlign w:val="center"/>
            <w:hideMark/>
          </w:tcPr>
          <w:p w14:paraId="6BF97300"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23,4 %</w:t>
            </w:r>
          </w:p>
        </w:tc>
        <w:tc>
          <w:tcPr>
            <w:tcW w:w="913" w:type="pct"/>
            <w:shd w:val="clear" w:color="auto" w:fill="auto"/>
            <w:noWrap/>
            <w:vAlign w:val="center"/>
            <w:hideMark/>
          </w:tcPr>
          <w:p w14:paraId="5BBDAB41"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18,7 %</w:t>
            </w:r>
          </w:p>
        </w:tc>
        <w:tc>
          <w:tcPr>
            <w:tcW w:w="713" w:type="pct"/>
            <w:shd w:val="clear" w:color="auto" w:fill="auto"/>
            <w:noWrap/>
            <w:vAlign w:val="center"/>
            <w:hideMark/>
          </w:tcPr>
          <w:p w14:paraId="165FB7F4"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19,5 %</w:t>
            </w:r>
          </w:p>
        </w:tc>
        <w:tc>
          <w:tcPr>
            <w:tcW w:w="655" w:type="pct"/>
            <w:shd w:val="clear" w:color="auto" w:fill="auto"/>
            <w:noWrap/>
            <w:vAlign w:val="center"/>
            <w:hideMark/>
          </w:tcPr>
          <w:p w14:paraId="7120CF39"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20,3 %</w:t>
            </w:r>
          </w:p>
        </w:tc>
        <w:tc>
          <w:tcPr>
            <w:tcW w:w="651" w:type="pct"/>
            <w:tcBorders>
              <w:right w:val="nil"/>
            </w:tcBorders>
            <w:shd w:val="clear" w:color="auto" w:fill="auto"/>
            <w:noWrap/>
            <w:vAlign w:val="center"/>
            <w:hideMark/>
          </w:tcPr>
          <w:p w14:paraId="12BAB7C5"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18,7%</w:t>
            </w:r>
          </w:p>
        </w:tc>
      </w:tr>
      <w:tr w:rsidR="00E37FC0" w:rsidRPr="007C7B55" w14:paraId="74E9C7B3"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34" w:type="pct"/>
            <w:tcBorders>
              <w:right w:val="nil"/>
            </w:tcBorders>
            <w:shd w:val="clear" w:color="auto" w:fill="auto"/>
            <w:vAlign w:val="center"/>
          </w:tcPr>
          <w:p w14:paraId="53F4A2A7"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Medianas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50-249</w:t>
            </w:r>
          </w:p>
        </w:tc>
        <w:tc>
          <w:tcPr>
            <w:tcW w:w="834" w:type="pct"/>
            <w:shd w:val="clear" w:color="auto" w:fill="auto"/>
            <w:noWrap/>
            <w:vAlign w:val="center"/>
          </w:tcPr>
          <w:p w14:paraId="6B10B26A"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20,4 %</w:t>
            </w:r>
          </w:p>
        </w:tc>
        <w:tc>
          <w:tcPr>
            <w:tcW w:w="913" w:type="pct"/>
            <w:shd w:val="clear" w:color="auto" w:fill="auto"/>
            <w:noWrap/>
            <w:vAlign w:val="center"/>
          </w:tcPr>
          <w:p w14:paraId="7A996CDD"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14,8 %</w:t>
            </w:r>
          </w:p>
        </w:tc>
        <w:tc>
          <w:tcPr>
            <w:tcW w:w="713" w:type="pct"/>
            <w:shd w:val="clear" w:color="auto" w:fill="auto"/>
            <w:noWrap/>
            <w:vAlign w:val="center"/>
          </w:tcPr>
          <w:p w14:paraId="6AF24AE6"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16,2 %</w:t>
            </w:r>
          </w:p>
        </w:tc>
        <w:tc>
          <w:tcPr>
            <w:tcW w:w="655" w:type="pct"/>
            <w:shd w:val="clear" w:color="auto" w:fill="auto"/>
            <w:noWrap/>
            <w:vAlign w:val="center"/>
          </w:tcPr>
          <w:p w14:paraId="6C305A0E"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12,5 %</w:t>
            </w:r>
          </w:p>
        </w:tc>
        <w:tc>
          <w:tcPr>
            <w:tcW w:w="651" w:type="pct"/>
            <w:tcBorders>
              <w:right w:val="nil"/>
            </w:tcBorders>
            <w:shd w:val="clear" w:color="auto" w:fill="auto"/>
            <w:noWrap/>
            <w:vAlign w:val="center"/>
          </w:tcPr>
          <w:p w14:paraId="15FBB8B5"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13,2%</w:t>
            </w:r>
          </w:p>
        </w:tc>
      </w:tr>
      <w:tr w:rsidR="00E37FC0" w:rsidRPr="007C7B55" w14:paraId="07CA0CBB"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34" w:type="pct"/>
            <w:tcBorders>
              <w:right w:val="nil"/>
            </w:tcBorders>
            <w:shd w:val="clear" w:color="auto" w:fill="auto"/>
            <w:vAlign w:val="center"/>
            <w:hideMark/>
          </w:tcPr>
          <w:p w14:paraId="479F16F6" w14:textId="77777777" w:rsidR="00E37FC0" w:rsidRPr="003511C3" w:rsidRDefault="00E37FC0" w:rsidP="00BF5F60">
            <w:pPr>
              <w:spacing w:before="60" w:after="60"/>
              <w:contextualSpacing/>
              <w:jc w:val="center"/>
              <w:rPr>
                <w:rFonts w:ascii="Century Gothic" w:hAnsi="Century Gothic" w:cs="Arial"/>
                <w:b/>
                <w:color w:val="000000"/>
                <w:sz w:val="18"/>
                <w:szCs w:val="18"/>
                <w:lang w:val="es-ES"/>
              </w:rPr>
            </w:pPr>
            <w:r w:rsidRPr="003511C3">
              <w:rPr>
                <w:rFonts w:ascii="Century Gothic" w:hAnsi="Century Gothic" w:cs="Arial"/>
                <w:b/>
                <w:color w:val="000000"/>
                <w:sz w:val="18"/>
                <w:szCs w:val="18"/>
                <w:lang w:val="es-ES"/>
              </w:rPr>
              <w:t>PYME</w:t>
            </w:r>
            <w:r>
              <w:rPr>
                <w:rFonts w:ascii="Century Gothic" w:hAnsi="Century Gothic" w:cs="Arial"/>
                <w:b/>
                <w:color w:val="000000"/>
                <w:sz w:val="18"/>
                <w:szCs w:val="18"/>
                <w:lang w:val="es-ES"/>
              </w:rPr>
              <w:t xml:space="preserve"> </w:t>
            </w:r>
            <w:r w:rsidRPr="003511C3">
              <w:rPr>
                <w:rFonts w:ascii="Century Gothic" w:hAnsi="Century Gothic" w:cs="Arial"/>
                <w:b/>
                <w:color w:val="000000"/>
                <w:sz w:val="18"/>
                <w:szCs w:val="18"/>
                <w:lang w:val="es-ES"/>
              </w:rPr>
              <w:t>0-249</w:t>
            </w:r>
          </w:p>
        </w:tc>
        <w:tc>
          <w:tcPr>
            <w:tcW w:w="834" w:type="pct"/>
            <w:shd w:val="clear" w:color="auto" w:fill="auto"/>
            <w:noWrap/>
            <w:vAlign w:val="center"/>
            <w:hideMark/>
          </w:tcPr>
          <w:p w14:paraId="3D40BBCD"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62,8 %</w:t>
            </w:r>
          </w:p>
        </w:tc>
        <w:tc>
          <w:tcPr>
            <w:tcW w:w="913" w:type="pct"/>
            <w:shd w:val="clear" w:color="auto" w:fill="auto"/>
            <w:noWrap/>
            <w:vAlign w:val="center"/>
            <w:hideMark/>
          </w:tcPr>
          <w:p w14:paraId="7771788B"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63,0 %</w:t>
            </w:r>
          </w:p>
        </w:tc>
        <w:tc>
          <w:tcPr>
            <w:tcW w:w="713" w:type="pct"/>
            <w:shd w:val="clear" w:color="auto" w:fill="auto"/>
            <w:noWrap/>
            <w:vAlign w:val="center"/>
            <w:hideMark/>
          </w:tcPr>
          <w:p w14:paraId="572A5ADD"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53,6 %</w:t>
            </w:r>
          </w:p>
        </w:tc>
        <w:tc>
          <w:tcPr>
            <w:tcW w:w="655" w:type="pct"/>
            <w:shd w:val="clear" w:color="auto" w:fill="auto"/>
            <w:noWrap/>
            <w:vAlign w:val="center"/>
            <w:hideMark/>
          </w:tcPr>
          <w:p w14:paraId="0EECBF8F"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79,3 %</w:t>
            </w:r>
          </w:p>
        </w:tc>
        <w:tc>
          <w:tcPr>
            <w:tcW w:w="651" w:type="pct"/>
            <w:tcBorders>
              <w:right w:val="nil"/>
            </w:tcBorders>
            <w:shd w:val="clear" w:color="auto" w:fill="auto"/>
            <w:noWrap/>
            <w:vAlign w:val="center"/>
            <w:hideMark/>
          </w:tcPr>
          <w:p w14:paraId="2B7D7A50"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73,0%</w:t>
            </w:r>
          </w:p>
        </w:tc>
      </w:tr>
      <w:tr w:rsidR="00E37FC0" w:rsidRPr="007C7B55" w14:paraId="1A3FADA4"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34" w:type="pct"/>
            <w:tcBorders>
              <w:right w:val="nil"/>
            </w:tcBorders>
            <w:shd w:val="clear" w:color="auto" w:fill="auto"/>
            <w:vAlign w:val="center"/>
            <w:hideMark/>
          </w:tcPr>
          <w:p w14:paraId="6D572837"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Grandes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+249</w:t>
            </w:r>
          </w:p>
        </w:tc>
        <w:tc>
          <w:tcPr>
            <w:tcW w:w="834" w:type="pct"/>
            <w:shd w:val="clear" w:color="auto" w:fill="auto"/>
            <w:noWrap/>
            <w:vAlign w:val="center"/>
            <w:hideMark/>
          </w:tcPr>
          <w:p w14:paraId="43AEAE5B"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37,2 %</w:t>
            </w:r>
          </w:p>
        </w:tc>
        <w:tc>
          <w:tcPr>
            <w:tcW w:w="913" w:type="pct"/>
            <w:shd w:val="clear" w:color="auto" w:fill="auto"/>
            <w:noWrap/>
            <w:vAlign w:val="center"/>
            <w:hideMark/>
          </w:tcPr>
          <w:p w14:paraId="1F63B3F3"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37,0 %</w:t>
            </w:r>
          </w:p>
        </w:tc>
        <w:tc>
          <w:tcPr>
            <w:tcW w:w="713" w:type="pct"/>
            <w:shd w:val="clear" w:color="auto" w:fill="auto"/>
            <w:noWrap/>
            <w:vAlign w:val="center"/>
            <w:hideMark/>
          </w:tcPr>
          <w:p w14:paraId="4EFB316A"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46,4 %</w:t>
            </w:r>
          </w:p>
        </w:tc>
        <w:tc>
          <w:tcPr>
            <w:tcW w:w="655" w:type="pct"/>
            <w:shd w:val="clear" w:color="auto" w:fill="auto"/>
            <w:noWrap/>
            <w:vAlign w:val="center"/>
            <w:hideMark/>
          </w:tcPr>
          <w:p w14:paraId="15A39BEF"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20,7 %</w:t>
            </w:r>
          </w:p>
        </w:tc>
        <w:tc>
          <w:tcPr>
            <w:tcW w:w="651" w:type="pct"/>
            <w:tcBorders>
              <w:right w:val="nil"/>
            </w:tcBorders>
            <w:shd w:val="clear" w:color="auto" w:fill="auto"/>
            <w:noWrap/>
            <w:vAlign w:val="center"/>
            <w:hideMark/>
          </w:tcPr>
          <w:p w14:paraId="40A1CCEE"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27,0%</w:t>
            </w:r>
          </w:p>
        </w:tc>
      </w:tr>
      <w:tr w:rsidR="00E37FC0" w:rsidRPr="007C7B55" w14:paraId="50065309"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34" w:type="pct"/>
            <w:tcBorders>
              <w:bottom w:val="single" w:sz="4" w:space="0" w:color="auto"/>
              <w:right w:val="nil"/>
            </w:tcBorders>
            <w:shd w:val="clear" w:color="auto" w:fill="auto"/>
            <w:noWrap/>
            <w:vAlign w:val="center"/>
            <w:hideMark/>
          </w:tcPr>
          <w:p w14:paraId="17F524A1"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TOTAL</w:t>
            </w:r>
          </w:p>
        </w:tc>
        <w:tc>
          <w:tcPr>
            <w:tcW w:w="834" w:type="pct"/>
            <w:tcBorders>
              <w:bottom w:val="single" w:sz="4" w:space="0" w:color="auto"/>
            </w:tcBorders>
            <w:shd w:val="clear" w:color="auto" w:fill="auto"/>
            <w:noWrap/>
            <w:vAlign w:val="center"/>
            <w:hideMark/>
          </w:tcPr>
          <w:p w14:paraId="328AE2DF"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w:t>
            </w:r>
          </w:p>
        </w:tc>
        <w:tc>
          <w:tcPr>
            <w:tcW w:w="913" w:type="pct"/>
            <w:tcBorders>
              <w:bottom w:val="single" w:sz="4" w:space="0" w:color="auto"/>
            </w:tcBorders>
            <w:shd w:val="clear" w:color="auto" w:fill="auto"/>
            <w:noWrap/>
            <w:vAlign w:val="center"/>
            <w:hideMark/>
          </w:tcPr>
          <w:p w14:paraId="152E4933"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w:t>
            </w:r>
          </w:p>
        </w:tc>
        <w:tc>
          <w:tcPr>
            <w:tcW w:w="713" w:type="pct"/>
            <w:tcBorders>
              <w:bottom w:val="single" w:sz="4" w:space="0" w:color="auto"/>
            </w:tcBorders>
            <w:shd w:val="clear" w:color="auto" w:fill="auto"/>
            <w:noWrap/>
            <w:vAlign w:val="center"/>
            <w:hideMark/>
          </w:tcPr>
          <w:p w14:paraId="2BBAE83E"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100,0 %</w:t>
            </w:r>
          </w:p>
        </w:tc>
        <w:tc>
          <w:tcPr>
            <w:tcW w:w="655" w:type="pct"/>
            <w:tcBorders>
              <w:bottom w:val="single" w:sz="4" w:space="0" w:color="auto"/>
            </w:tcBorders>
            <w:shd w:val="clear" w:color="auto" w:fill="auto"/>
            <w:noWrap/>
            <w:vAlign w:val="center"/>
            <w:hideMark/>
          </w:tcPr>
          <w:p w14:paraId="3C6C6DA3"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w:t>
            </w:r>
          </w:p>
        </w:tc>
        <w:tc>
          <w:tcPr>
            <w:tcW w:w="651" w:type="pct"/>
            <w:tcBorders>
              <w:bottom w:val="single" w:sz="4" w:space="0" w:color="auto"/>
              <w:right w:val="nil"/>
            </w:tcBorders>
            <w:shd w:val="clear" w:color="auto" w:fill="auto"/>
            <w:noWrap/>
            <w:vAlign w:val="center"/>
            <w:hideMark/>
          </w:tcPr>
          <w:p w14:paraId="26B6DB43"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w:t>
            </w:r>
          </w:p>
        </w:tc>
      </w:tr>
      <w:tr w:rsidR="00E37FC0" w:rsidRPr="008131E7" w14:paraId="77407EE5" w14:textId="77777777" w:rsidTr="00BF5F6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right w:val="nil"/>
            </w:tcBorders>
            <w:shd w:val="clear" w:color="auto" w:fill="auto"/>
            <w:noWrap/>
            <w:vAlign w:val="center"/>
          </w:tcPr>
          <w:p w14:paraId="1DAC54DE" w14:textId="77777777" w:rsidR="00E37FC0" w:rsidRPr="008131E7" w:rsidRDefault="00E37FC0" w:rsidP="00BF5F60">
            <w:pPr>
              <w:spacing w:afterLines="240" w:after="576"/>
              <w:contextualSpacing/>
              <w:rPr>
                <w:rFonts w:ascii="Century Gothic" w:hAnsi="Century Gothic" w:cs="Arial"/>
                <w:i/>
                <w:sz w:val="16"/>
                <w:szCs w:val="18"/>
                <w:lang w:val="en-US" w:eastAsia="en-GB"/>
              </w:rPr>
            </w:pPr>
            <w:r w:rsidRPr="008131E7">
              <w:rPr>
                <w:rFonts w:ascii="Century Gothic" w:hAnsi="Century Gothic" w:cs="Arial"/>
                <w:i/>
                <w:color w:val="000000"/>
                <w:sz w:val="16"/>
                <w:szCs w:val="18"/>
                <w:lang w:val="en-US"/>
              </w:rPr>
              <w:t xml:space="preserve">Fuente: Comisión Europea (2016), SBA Fact Sheet for </w:t>
            </w:r>
            <w:r>
              <w:rPr>
                <w:rFonts w:ascii="Century Gothic" w:hAnsi="Century Gothic" w:cs="Arial"/>
                <w:i/>
                <w:color w:val="000000"/>
                <w:sz w:val="16"/>
                <w:szCs w:val="18"/>
                <w:lang w:val="en-US"/>
              </w:rPr>
              <w:t xml:space="preserve">Germany, France, United Kingdom, Italy and </w:t>
            </w:r>
            <w:r w:rsidRPr="008131E7">
              <w:rPr>
                <w:rFonts w:ascii="Century Gothic" w:hAnsi="Century Gothic" w:cs="Arial"/>
                <w:i/>
                <w:color w:val="000000"/>
                <w:sz w:val="16"/>
                <w:szCs w:val="18"/>
                <w:lang w:val="en-US"/>
              </w:rPr>
              <w:t>Spain</w:t>
            </w:r>
          </w:p>
        </w:tc>
      </w:tr>
    </w:tbl>
    <w:p w14:paraId="00510484" w14:textId="77777777" w:rsidR="00E37FC0" w:rsidRDefault="00E37FC0" w:rsidP="00F1147F">
      <w:pPr>
        <w:pStyle w:val="Body"/>
        <w:spacing w:after="0"/>
        <w:rPr>
          <w:lang w:val="en-US"/>
        </w:rPr>
      </w:pPr>
    </w:p>
    <w:p w14:paraId="3F26F007" w14:textId="3AA988D8" w:rsidR="00E37FC0" w:rsidRPr="009D4CCE" w:rsidRDefault="00E37FC0" w:rsidP="00E37FC0">
      <w:pPr>
        <w:pStyle w:val="Descripcin1"/>
        <w:rPr>
          <w:b w:val="0"/>
        </w:rPr>
      </w:pPr>
      <w:bookmarkStart w:id="6" w:name="_Toc526423682"/>
      <w:r w:rsidRPr="009D4CCE">
        <w:rPr>
          <w:b w:val="0"/>
        </w:rPr>
        <w:t xml:space="preserve">Tabla </w:t>
      </w:r>
      <w:r w:rsidRPr="009D4CCE">
        <w:rPr>
          <w:b w:val="0"/>
        </w:rPr>
        <w:fldChar w:fldCharType="begin"/>
      </w:r>
      <w:r w:rsidRPr="009D4CCE">
        <w:rPr>
          <w:b w:val="0"/>
        </w:rPr>
        <w:instrText xml:space="preserve"> SEQ Tabla \* ARABIC </w:instrText>
      </w:r>
      <w:r w:rsidRPr="009D4CCE">
        <w:rPr>
          <w:b w:val="0"/>
        </w:rPr>
        <w:fldChar w:fldCharType="separate"/>
      </w:r>
      <w:r w:rsidR="00811CB8">
        <w:rPr>
          <w:b w:val="0"/>
          <w:noProof/>
        </w:rPr>
        <w:t>3</w:t>
      </w:r>
      <w:r w:rsidRPr="009D4CCE">
        <w:rPr>
          <w:b w:val="0"/>
        </w:rPr>
        <w:fldChar w:fldCharType="end"/>
      </w:r>
      <w:r w:rsidRPr="009D4CCE">
        <w:rPr>
          <w:b w:val="0"/>
        </w:rPr>
        <w:t>. Distribución de la contribución al PIB por tamaño de empresa en Alemania, Francia, Reino Unido, Italia y España</w:t>
      </w:r>
      <w:bookmarkEnd w:id="6"/>
    </w:p>
    <w:tbl>
      <w:tblPr>
        <w:tblStyle w:val="Listamedia2"/>
        <w:tblW w:w="5000" w:type="pct"/>
        <w:tblCellMar>
          <w:top w:w="28" w:type="dxa"/>
          <w:bottom w:w="28" w:type="dxa"/>
        </w:tblCellMar>
        <w:tblLook w:val="04A0" w:firstRow="1" w:lastRow="0" w:firstColumn="1" w:lastColumn="0" w:noHBand="0" w:noVBand="1"/>
      </w:tblPr>
      <w:tblGrid>
        <w:gridCol w:w="2262"/>
        <w:gridCol w:w="1549"/>
        <w:gridCol w:w="1687"/>
        <w:gridCol w:w="1335"/>
        <w:gridCol w:w="1230"/>
        <w:gridCol w:w="1224"/>
      </w:tblGrid>
      <w:tr w:rsidR="00E37FC0" w:rsidRPr="007C7B55" w14:paraId="063458DB" w14:textId="77777777" w:rsidTr="00BF5F60">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1218" w:type="pct"/>
            <w:tcBorders>
              <w:top w:val="single" w:sz="12" w:space="0" w:color="FFCC00"/>
              <w:bottom w:val="single" w:sz="6" w:space="0" w:color="000000" w:themeColor="text1"/>
            </w:tcBorders>
            <w:shd w:val="clear" w:color="auto" w:fill="auto"/>
            <w:vAlign w:val="center"/>
            <w:hideMark/>
          </w:tcPr>
          <w:p w14:paraId="53D31F99" w14:textId="77777777" w:rsidR="00E37FC0" w:rsidRPr="007C7B55" w:rsidRDefault="00E37FC0" w:rsidP="00BF5F60">
            <w:pPr>
              <w:spacing w:afterLines="240" w:after="576"/>
              <w:contextualSpacing/>
              <w:jc w:val="center"/>
              <w:rPr>
                <w:rFonts w:ascii="Century Gothic" w:hAnsi="Century Gothic" w:cs="Arial"/>
                <w:b/>
                <w:bCs/>
                <w:color w:val="333333"/>
                <w:sz w:val="18"/>
                <w:szCs w:val="18"/>
                <w:lang w:val="es-ES" w:eastAsia="en-GB"/>
              </w:rPr>
            </w:pPr>
          </w:p>
        </w:tc>
        <w:tc>
          <w:tcPr>
            <w:tcW w:w="834" w:type="pct"/>
            <w:tcBorders>
              <w:top w:val="single" w:sz="12" w:space="0" w:color="FFCC00"/>
              <w:bottom w:val="single" w:sz="6" w:space="0" w:color="000000" w:themeColor="text1"/>
            </w:tcBorders>
            <w:shd w:val="clear" w:color="auto" w:fill="auto"/>
            <w:vAlign w:val="center"/>
            <w:hideMark/>
          </w:tcPr>
          <w:p w14:paraId="65701DC0" w14:textId="77777777" w:rsidR="00E37FC0" w:rsidRPr="00615CD4"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5CD4">
              <w:rPr>
                <w:rFonts w:ascii="Arial" w:hAnsi="Arial" w:cs="Arial"/>
                <w:noProof/>
                <w:color w:val="000000"/>
                <w:sz w:val="18"/>
                <w:szCs w:val="18"/>
                <w:lang w:val="es-ES" w:eastAsia="es-ES"/>
              </w:rPr>
              <w:drawing>
                <wp:inline distT="0" distB="0" distL="0" distR="0" wp14:anchorId="2719B429" wp14:editId="68132709">
                  <wp:extent cx="247650" cy="150338"/>
                  <wp:effectExtent l="0" t="0" r="0" b="2540"/>
                  <wp:docPr id="222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73" cy="151506"/>
                          </a:xfrm>
                          <a:prstGeom prst="rect">
                            <a:avLst/>
                          </a:prstGeom>
                          <a:noFill/>
                          <a:ln>
                            <a:noFill/>
                          </a:ln>
                          <a:extLst/>
                        </pic:spPr>
                      </pic:pic>
                    </a:graphicData>
                  </a:graphic>
                </wp:inline>
              </w:drawing>
            </w:r>
          </w:p>
        </w:tc>
        <w:tc>
          <w:tcPr>
            <w:tcW w:w="908" w:type="pct"/>
            <w:tcBorders>
              <w:top w:val="single" w:sz="12" w:space="0" w:color="FFCC00"/>
              <w:bottom w:val="single" w:sz="6" w:space="0" w:color="000000" w:themeColor="text1"/>
            </w:tcBorders>
            <w:shd w:val="clear" w:color="auto" w:fill="auto"/>
            <w:vAlign w:val="center"/>
            <w:hideMark/>
          </w:tcPr>
          <w:p w14:paraId="1932418B"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344B03">
              <w:rPr>
                <w:rFonts w:ascii="Arial" w:hAnsi="Arial" w:cs="Arial"/>
                <w:noProof/>
                <w:color w:val="000000"/>
                <w:sz w:val="18"/>
                <w:szCs w:val="18"/>
                <w:lang w:val="es-ES" w:eastAsia="es-ES"/>
              </w:rPr>
              <w:drawing>
                <wp:inline distT="0" distB="0" distL="0" distR="0" wp14:anchorId="38C4DB47" wp14:editId="41CD79AF">
                  <wp:extent cx="216000" cy="144000"/>
                  <wp:effectExtent l="0" t="0" r="0" b="8890"/>
                  <wp:docPr id="222227" name="Picture 2" descr="Resultado de imagen de bandera franc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bandera francia"/>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144000"/>
                          </a:xfrm>
                          <a:prstGeom prst="rect">
                            <a:avLst/>
                          </a:prstGeom>
                          <a:noFill/>
                          <a:extLst/>
                        </pic:spPr>
                      </pic:pic>
                    </a:graphicData>
                  </a:graphic>
                </wp:inline>
              </w:drawing>
            </w:r>
          </w:p>
        </w:tc>
        <w:tc>
          <w:tcPr>
            <w:tcW w:w="719" w:type="pct"/>
            <w:tcBorders>
              <w:top w:val="single" w:sz="12" w:space="0" w:color="FFCC00"/>
              <w:bottom w:val="single" w:sz="6" w:space="0" w:color="000000" w:themeColor="text1"/>
            </w:tcBorders>
            <w:shd w:val="clear" w:color="auto" w:fill="auto"/>
            <w:vAlign w:val="center"/>
            <w:hideMark/>
          </w:tcPr>
          <w:p w14:paraId="38092F76"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243B4D">
              <w:rPr>
                <w:rFonts w:ascii="Arial" w:hAnsi="Arial" w:cs="Arial"/>
                <w:noProof/>
                <w:color w:val="000000"/>
                <w:sz w:val="18"/>
                <w:szCs w:val="18"/>
                <w:lang w:val="es-ES" w:eastAsia="es-ES"/>
              </w:rPr>
              <w:drawing>
                <wp:inline distT="0" distB="0" distL="0" distR="0" wp14:anchorId="388981EB" wp14:editId="02C1FA41">
                  <wp:extent cx="216000" cy="144000"/>
                  <wp:effectExtent l="0" t="0" r="0" b="8890"/>
                  <wp:docPr id="222228" name="Picture 2" descr="Resultado de imagen de bandera reino un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Resultado de imagen de bandera reino unido"/>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 cy="144000"/>
                          </a:xfrm>
                          <a:prstGeom prst="rect">
                            <a:avLst/>
                          </a:prstGeom>
                          <a:noFill/>
                          <a:extLst/>
                        </pic:spPr>
                      </pic:pic>
                    </a:graphicData>
                  </a:graphic>
                </wp:inline>
              </w:drawing>
            </w:r>
          </w:p>
        </w:tc>
        <w:tc>
          <w:tcPr>
            <w:tcW w:w="662" w:type="pct"/>
            <w:tcBorders>
              <w:top w:val="single" w:sz="12" w:space="0" w:color="FFCC00"/>
              <w:bottom w:val="single" w:sz="6" w:space="0" w:color="000000" w:themeColor="text1"/>
            </w:tcBorders>
            <w:shd w:val="clear" w:color="auto" w:fill="auto"/>
            <w:vAlign w:val="center"/>
            <w:hideMark/>
          </w:tcPr>
          <w:p w14:paraId="536EA406" w14:textId="77777777" w:rsidR="00E37FC0" w:rsidRPr="0095784D"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Pr>
                <w:noProof/>
                <w:lang w:val="es-ES" w:eastAsia="es-ES"/>
              </w:rPr>
              <w:drawing>
                <wp:inline distT="0" distB="0" distL="0" distR="0" wp14:anchorId="4383F377" wp14:editId="66AA549F">
                  <wp:extent cx="246574" cy="144000"/>
                  <wp:effectExtent l="0" t="0" r="1270" b="8890"/>
                  <wp:docPr id="222229" name="Imagen 222229" descr="Resultado de imagen de bandera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ndera it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74" cy="144000"/>
                          </a:xfrm>
                          <a:prstGeom prst="rect">
                            <a:avLst/>
                          </a:prstGeom>
                          <a:noFill/>
                          <a:ln>
                            <a:noFill/>
                          </a:ln>
                        </pic:spPr>
                      </pic:pic>
                    </a:graphicData>
                  </a:graphic>
                </wp:inline>
              </w:drawing>
            </w:r>
          </w:p>
        </w:tc>
        <w:tc>
          <w:tcPr>
            <w:tcW w:w="658" w:type="pct"/>
            <w:tcBorders>
              <w:top w:val="single" w:sz="12" w:space="0" w:color="FFCC00"/>
              <w:bottom w:val="single" w:sz="6" w:space="0" w:color="000000" w:themeColor="text1"/>
            </w:tcBorders>
            <w:shd w:val="clear" w:color="auto" w:fill="auto"/>
            <w:vAlign w:val="center"/>
            <w:hideMark/>
          </w:tcPr>
          <w:p w14:paraId="56975212" w14:textId="77777777" w:rsidR="00E37FC0" w:rsidRPr="00615CD4" w:rsidRDefault="00E37FC0" w:rsidP="00BF5F60">
            <w:pPr>
              <w:spacing w:before="60" w:after="60"/>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ES"/>
              </w:rPr>
            </w:pPr>
            <w:r w:rsidRPr="00615CD4">
              <w:rPr>
                <w:noProof/>
                <w:lang w:val="es-ES" w:eastAsia="es-ES"/>
              </w:rPr>
              <w:drawing>
                <wp:inline distT="0" distB="0" distL="0" distR="0" wp14:anchorId="3BBA3306" wp14:editId="2F7D3CC5">
                  <wp:extent cx="216542" cy="144000"/>
                  <wp:effectExtent l="0" t="0" r="0" b="8890"/>
                  <wp:docPr id="222230" name="Imagen 222230" descr="Resultado de imagen de bander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bandera españ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42" cy="144000"/>
                          </a:xfrm>
                          <a:prstGeom prst="rect">
                            <a:avLst/>
                          </a:prstGeom>
                          <a:noFill/>
                          <a:ln>
                            <a:noFill/>
                          </a:ln>
                        </pic:spPr>
                      </pic:pic>
                    </a:graphicData>
                  </a:graphic>
                </wp:inline>
              </w:drawing>
            </w:r>
          </w:p>
        </w:tc>
      </w:tr>
      <w:tr w:rsidR="00E37FC0" w:rsidRPr="007C7B55" w14:paraId="69687CD3"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18" w:type="pct"/>
            <w:tcBorders>
              <w:top w:val="single" w:sz="6" w:space="0" w:color="000000" w:themeColor="text1"/>
              <w:right w:val="nil"/>
            </w:tcBorders>
            <w:shd w:val="clear" w:color="auto" w:fill="auto"/>
            <w:vAlign w:val="center"/>
            <w:hideMark/>
          </w:tcPr>
          <w:p w14:paraId="214174A5"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Micro</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0-9</w:t>
            </w:r>
          </w:p>
        </w:tc>
        <w:tc>
          <w:tcPr>
            <w:tcW w:w="834" w:type="pct"/>
            <w:tcBorders>
              <w:top w:val="single" w:sz="6" w:space="0" w:color="000000" w:themeColor="text1"/>
            </w:tcBorders>
            <w:shd w:val="clear" w:color="auto" w:fill="auto"/>
            <w:noWrap/>
            <w:vAlign w:val="center"/>
            <w:hideMark/>
          </w:tcPr>
          <w:p w14:paraId="6724A26C"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15,4 %</w:t>
            </w:r>
          </w:p>
        </w:tc>
        <w:tc>
          <w:tcPr>
            <w:tcW w:w="908" w:type="pct"/>
            <w:tcBorders>
              <w:top w:val="single" w:sz="6" w:space="0" w:color="000000" w:themeColor="text1"/>
            </w:tcBorders>
            <w:shd w:val="clear" w:color="auto" w:fill="auto"/>
            <w:noWrap/>
            <w:vAlign w:val="center"/>
            <w:hideMark/>
          </w:tcPr>
          <w:p w14:paraId="03780A31"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26,1 %</w:t>
            </w:r>
          </w:p>
        </w:tc>
        <w:tc>
          <w:tcPr>
            <w:tcW w:w="719" w:type="pct"/>
            <w:tcBorders>
              <w:top w:val="single" w:sz="6" w:space="0" w:color="000000" w:themeColor="text1"/>
            </w:tcBorders>
            <w:shd w:val="clear" w:color="auto" w:fill="auto"/>
            <w:noWrap/>
            <w:vAlign w:val="center"/>
            <w:hideMark/>
          </w:tcPr>
          <w:p w14:paraId="2F2B9E11"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20,1 %</w:t>
            </w:r>
          </w:p>
        </w:tc>
        <w:tc>
          <w:tcPr>
            <w:tcW w:w="662" w:type="pct"/>
            <w:tcBorders>
              <w:top w:val="single" w:sz="6" w:space="0" w:color="000000" w:themeColor="text1"/>
            </w:tcBorders>
            <w:shd w:val="clear" w:color="auto" w:fill="auto"/>
            <w:noWrap/>
            <w:vAlign w:val="center"/>
            <w:hideMark/>
          </w:tcPr>
          <w:p w14:paraId="375BC8B8"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29,5 %</w:t>
            </w:r>
          </w:p>
        </w:tc>
        <w:tc>
          <w:tcPr>
            <w:tcW w:w="658" w:type="pct"/>
            <w:tcBorders>
              <w:top w:val="single" w:sz="6" w:space="0" w:color="000000" w:themeColor="text1"/>
              <w:right w:val="nil"/>
            </w:tcBorders>
            <w:shd w:val="clear" w:color="auto" w:fill="auto"/>
            <w:noWrap/>
            <w:vAlign w:val="center"/>
            <w:hideMark/>
          </w:tcPr>
          <w:p w14:paraId="57300CD0"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25,5%</w:t>
            </w:r>
          </w:p>
        </w:tc>
      </w:tr>
      <w:tr w:rsidR="00E37FC0" w:rsidRPr="007C7B55" w14:paraId="6D4798CA"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18" w:type="pct"/>
            <w:tcBorders>
              <w:right w:val="nil"/>
            </w:tcBorders>
            <w:shd w:val="clear" w:color="auto" w:fill="auto"/>
            <w:vAlign w:val="center"/>
            <w:hideMark/>
          </w:tcPr>
          <w:p w14:paraId="68898EC1"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Pequeñas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10-49</w:t>
            </w:r>
          </w:p>
        </w:tc>
        <w:tc>
          <w:tcPr>
            <w:tcW w:w="834" w:type="pct"/>
            <w:shd w:val="clear" w:color="auto" w:fill="auto"/>
            <w:noWrap/>
            <w:vAlign w:val="center"/>
            <w:hideMark/>
          </w:tcPr>
          <w:p w14:paraId="003675BB"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18,1 %</w:t>
            </w:r>
          </w:p>
        </w:tc>
        <w:tc>
          <w:tcPr>
            <w:tcW w:w="908" w:type="pct"/>
            <w:shd w:val="clear" w:color="auto" w:fill="auto"/>
            <w:noWrap/>
            <w:vAlign w:val="center"/>
            <w:hideMark/>
          </w:tcPr>
          <w:p w14:paraId="444F44D3"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16,6 %</w:t>
            </w:r>
          </w:p>
        </w:tc>
        <w:tc>
          <w:tcPr>
            <w:tcW w:w="719" w:type="pct"/>
            <w:shd w:val="clear" w:color="auto" w:fill="auto"/>
            <w:noWrap/>
            <w:vAlign w:val="center"/>
            <w:hideMark/>
          </w:tcPr>
          <w:p w14:paraId="30102DD8"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15,7 %</w:t>
            </w:r>
          </w:p>
        </w:tc>
        <w:tc>
          <w:tcPr>
            <w:tcW w:w="662" w:type="pct"/>
            <w:shd w:val="clear" w:color="auto" w:fill="auto"/>
            <w:noWrap/>
            <w:vAlign w:val="center"/>
            <w:hideMark/>
          </w:tcPr>
          <w:p w14:paraId="77BB7B80"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21,4 %</w:t>
            </w:r>
          </w:p>
        </w:tc>
        <w:tc>
          <w:tcPr>
            <w:tcW w:w="658" w:type="pct"/>
            <w:tcBorders>
              <w:right w:val="nil"/>
            </w:tcBorders>
            <w:shd w:val="clear" w:color="auto" w:fill="auto"/>
            <w:noWrap/>
            <w:vAlign w:val="center"/>
            <w:hideMark/>
          </w:tcPr>
          <w:p w14:paraId="6E7DDB01"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18,3%</w:t>
            </w:r>
          </w:p>
        </w:tc>
      </w:tr>
      <w:tr w:rsidR="00E37FC0" w:rsidRPr="007C7B55" w14:paraId="1785035B"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18" w:type="pct"/>
            <w:tcBorders>
              <w:right w:val="nil"/>
            </w:tcBorders>
            <w:shd w:val="clear" w:color="auto" w:fill="auto"/>
            <w:vAlign w:val="center"/>
          </w:tcPr>
          <w:p w14:paraId="6EBD7F15"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Medianas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50-249</w:t>
            </w:r>
          </w:p>
        </w:tc>
        <w:tc>
          <w:tcPr>
            <w:tcW w:w="834" w:type="pct"/>
            <w:shd w:val="clear" w:color="auto" w:fill="auto"/>
            <w:noWrap/>
            <w:vAlign w:val="center"/>
          </w:tcPr>
          <w:p w14:paraId="76C132A6"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19,7 %</w:t>
            </w:r>
          </w:p>
        </w:tc>
        <w:tc>
          <w:tcPr>
            <w:tcW w:w="908" w:type="pct"/>
            <w:shd w:val="clear" w:color="auto" w:fill="auto"/>
            <w:noWrap/>
            <w:vAlign w:val="center"/>
          </w:tcPr>
          <w:p w14:paraId="6CC10B67"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15,1 %</w:t>
            </w:r>
          </w:p>
        </w:tc>
        <w:tc>
          <w:tcPr>
            <w:tcW w:w="719" w:type="pct"/>
            <w:shd w:val="clear" w:color="auto" w:fill="auto"/>
            <w:noWrap/>
            <w:vAlign w:val="center"/>
          </w:tcPr>
          <w:p w14:paraId="44DF6D6C"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16,3 %</w:t>
            </w:r>
          </w:p>
        </w:tc>
        <w:tc>
          <w:tcPr>
            <w:tcW w:w="662" w:type="pct"/>
            <w:shd w:val="clear" w:color="auto" w:fill="auto"/>
            <w:noWrap/>
            <w:vAlign w:val="center"/>
          </w:tcPr>
          <w:p w14:paraId="4A759D94"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17,1 %</w:t>
            </w:r>
          </w:p>
        </w:tc>
        <w:tc>
          <w:tcPr>
            <w:tcW w:w="658" w:type="pct"/>
            <w:tcBorders>
              <w:right w:val="nil"/>
            </w:tcBorders>
            <w:shd w:val="clear" w:color="auto" w:fill="auto"/>
            <w:noWrap/>
            <w:vAlign w:val="center"/>
          </w:tcPr>
          <w:p w14:paraId="1D2B0C56"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17,5%</w:t>
            </w:r>
          </w:p>
        </w:tc>
      </w:tr>
      <w:tr w:rsidR="00E37FC0" w:rsidRPr="007C7B55" w14:paraId="3A56D36E"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18" w:type="pct"/>
            <w:tcBorders>
              <w:right w:val="nil"/>
            </w:tcBorders>
            <w:shd w:val="clear" w:color="auto" w:fill="auto"/>
            <w:vAlign w:val="center"/>
            <w:hideMark/>
          </w:tcPr>
          <w:p w14:paraId="64DE71CE" w14:textId="77777777" w:rsidR="00E37FC0" w:rsidRPr="003511C3" w:rsidRDefault="00E37FC0" w:rsidP="00BF5F60">
            <w:pPr>
              <w:spacing w:before="60" w:after="60"/>
              <w:contextualSpacing/>
              <w:jc w:val="center"/>
              <w:rPr>
                <w:rFonts w:ascii="Century Gothic" w:hAnsi="Century Gothic" w:cs="Arial"/>
                <w:b/>
                <w:color w:val="000000"/>
                <w:sz w:val="18"/>
                <w:szCs w:val="18"/>
                <w:lang w:val="es-ES"/>
              </w:rPr>
            </w:pPr>
            <w:r w:rsidRPr="003511C3">
              <w:rPr>
                <w:rFonts w:ascii="Century Gothic" w:hAnsi="Century Gothic" w:cs="Arial"/>
                <w:b/>
                <w:color w:val="000000"/>
                <w:sz w:val="18"/>
                <w:szCs w:val="18"/>
                <w:lang w:val="es-ES"/>
              </w:rPr>
              <w:t>PYME</w:t>
            </w:r>
            <w:r>
              <w:rPr>
                <w:rFonts w:ascii="Century Gothic" w:hAnsi="Century Gothic" w:cs="Arial"/>
                <w:b/>
                <w:color w:val="000000"/>
                <w:sz w:val="18"/>
                <w:szCs w:val="18"/>
                <w:lang w:val="es-ES"/>
              </w:rPr>
              <w:t xml:space="preserve"> </w:t>
            </w:r>
            <w:r w:rsidRPr="003511C3">
              <w:rPr>
                <w:rFonts w:ascii="Century Gothic" w:hAnsi="Century Gothic" w:cs="Arial"/>
                <w:b/>
                <w:color w:val="000000"/>
                <w:sz w:val="18"/>
                <w:szCs w:val="18"/>
                <w:lang w:val="es-ES"/>
              </w:rPr>
              <w:t>0-249</w:t>
            </w:r>
          </w:p>
        </w:tc>
        <w:tc>
          <w:tcPr>
            <w:tcW w:w="834" w:type="pct"/>
            <w:shd w:val="clear" w:color="auto" w:fill="auto"/>
            <w:noWrap/>
            <w:vAlign w:val="center"/>
            <w:hideMark/>
          </w:tcPr>
          <w:p w14:paraId="44C0CB12"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53,1 %</w:t>
            </w:r>
          </w:p>
        </w:tc>
        <w:tc>
          <w:tcPr>
            <w:tcW w:w="908" w:type="pct"/>
            <w:shd w:val="clear" w:color="auto" w:fill="auto"/>
            <w:noWrap/>
            <w:vAlign w:val="center"/>
            <w:hideMark/>
          </w:tcPr>
          <w:p w14:paraId="333B4636"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57,8 %</w:t>
            </w:r>
          </w:p>
        </w:tc>
        <w:tc>
          <w:tcPr>
            <w:tcW w:w="719" w:type="pct"/>
            <w:shd w:val="clear" w:color="auto" w:fill="auto"/>
            <w:noWrap/>
            <w:vAlign w:val="center"/>
            <w:hideMark/>
          </w:tcPr>
          <w:p w14:paraId="040142D6"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52,1 %</w:t>
            </w:r>
          </w:p>
        </w:tc>
        <w:tc>
          <w:tcPr>
            <w:tcW w:w="662" w:type="pct"/>
            <w:shd w:val="clear" w:color="auto" w:fill="auto"/>
            <w:noWrap/>
            <w:vAlign w:val="center"/>
            <w:hideMark/>
          </w:tcPr>
          <w:p w14:paraId="3F6DCE94"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68,0 %</w:t>
            </w:r>
          </w:p>
        </w:tc>
        <w:tc>
          <w:tcPr>
            <w:tcW w:w="658" w:type="pct"/>
            <w:tcBorders>
              <w:right w:val="nil"/>
            </w:tcBorders>
            <w:shd w:val="clear" w:color="auto" w:fill="auto"/>
            <w:noWrap/>
            <w:vAlign w:val="center"/>
            <w:hideMark/>
          </w:tcPr>
          <w:p w14:paraId="729ADE80"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rPr>
            </w:pPr>
            <w:r w:rsidRPr="00340226">
              <w:rPr>
                <w:rFonts w:ascii="Century Gothic" w:hAnsi="Century Gothic" w:cs="Arial"/>
                <w:b/>
                <w:color w:val="000000"/>
                <w:sz w:val="18"/>
                <w:szCs w:val="18"/>
                <w:lang w:val="es-ES"/>
              </w:rPr>
              <w:t>61,4%</w:t>
            </w:r>
          </w:p>
        </w:tc>
      </w:tr>
      <w:tr w:rsidR="00E37FC0" w:rsidRPr="007C7B55" w14:paraId="16D230CA"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218" w:type="pct"/>
            <w:tcBorders>
              <w:right w:val="nil"/>
            </w:tcBorders>
            <w:shd w:val="clear" w:color="auto" w:fill="auto"/>
            <w:vAlign w:val="center"/>
            <w:hideMark/>
          </w:tcPr>
          <w:p w14:paraId="2FF9F16A"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Grandes</w:t>
            </w:r>
            <w:r>
              <w:rPr>
                <w:rFonts w:ascii="Century Gothic" w:hAnsi="Century Gothic" w:cs="Arial"/>
                <w:color w:val="000000"/>
                <w:sz w:val="18"/>
                <w:szCs w:val="18"/>
                <w:lang w:val="es-ES"/>
              </w:rPr>
              <w:t xml:space="preserve"> </w:t>
            </w:r>
            <w:r w:rsidRPr="003511C3">
              <w:rPr>
                <w:rFonts w:ascii="Century Gothic" w:hAnsi="Century Gothic" w:cs="Arial"/>
                <w:color w:val="000000"/>
                <w:sz w:val="18"/>
                <w:szCs w:val="18"/>
                <w:lang w:val="es-ES"/>
              </w:rPr>
              <w:t>+249</w:t>
            </w:r>
          </w:p>
        </w:tc>
        <w:tc>
          <w:tcPr>
            <w:tcW w:w="834" w:type="pct"/>
            <w:shd w:val="clear" w:color="auto" w:fill="auto"/>
            <w:noWrap/>
            <w:vAlign w:val="center"/>
            <w:hideMark/>
          </w:tcPr>
          <w:p w14:paraId="22AF29CE"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46,9 %</w:t>
            </w:r>
          </w:p>
        </w:tc>
        <w:tc>
          <w:tcPr>
            <w:tcW w:w="908" w:type="pct"/>
            <w:shd w:val="clear" w:color="auto" w:fill="auto"/>
            <w:noWrap/>
            <w:vAlign w:val="center"/>
            <w:hideMark/>
          </w:tcPr>
          <w:p w14:paraId="34E38373"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42,2 %</w:t>
            </w:r>
          </w:p>
        </w:tc>
        <w:tc>
          <w:tcPr>
            <w:tcW w:w="719" w:type="pct"/>
            <w:shd w:val="clear" w:color="auto" w:fill="auto"/>
            <w:noWrap/>
            <w:vAlign w:val="center"/>
            <w:hideMark/>
          </w:tcPr>
          <w:p w14:paraId="1736B4C9"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47,9 %</w:t>
            </w:r>
          </w:p>
        </w:tc>
        <w:tc>
          <w:tcPr>
            <w:tcW w:w="662" w:type="pct"/>
            <w:shd w:val="clear" w:color="auto" w:fill="auto"/>
            <w:noWrap/>
            <w:vAlign w:val="center"/>
            <w:hideMark/>
          </w:tcPr>
          <w:p w14:paraId="28C24CFA" w14:textId="77777777" w:rsidR="00E37FC0" w:rsidRPr="00340226" w:rsidRDefault="00E37FC0" w:rsidP="00BF5F60">
            <w:pPr>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32,0 %</w:t>
            </w:r>
          </w:p>
        </w:tc>
        <w:tc>
          <w:tcPr>
            <w:tcW w:w="658" w:type="pct"/>
            <w:tcBorders>
              <w:right w:val="nil"/>
            </w:tcBorders>
            <w:shd w:val="clear" w:color="auto" w:fill="auto"/>
            <w:noWrap/>
            <w:vAlign w:val="center"/>
            <w:hideMark/>
          </w:tcPr>
          <w:p w14:paraId="410FD103"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38,6%</w:t>
            </w:r>
          </w:p>
        </w:tc>
      </w:tr>
      <w:tr w:rsidR="00E37FC0" w:rsidRPr="007C7B55" w14:paraId="6896F74F"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1218" w:type="pct"/>
            <w:tcBorders>
              <w:bottom w:val="single" w:sz="4" w:space="0" w:color="auto"/>
              <w:right w:val="nil"/>
            </w:tcBorders>
            <w:shd w:val="clear" w:color="auto" w:fill="auto"/>
            <w:noWrap/>
            <w:vAlign w:val="center"/>
            <w:hideMark/>
          </w:tcPr>
          <w:p w14:paraId="18A680EA"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3511C3">
              <w:rPr>
                <w:rFonts w:ascii="Century Gothic" w:hAnsi="Century Gothic" w:cs="Arial"/>
                <w:color w:val="000000"/>
                <w:sz w:val="18"/>
                <w:szCs w:val="18"/>
                <w:lang w:val="es-ES"/>
              </w:rPr>
              <w:t>TOTAL</w:t>
            </w:r>
          </w:p>
        </w:tc>
        <w:tc>
          <w:tcPr>
            <w:tcW w:w="834" w:type="pct"/>
            <w:tcBorders>
              <w:bottom w:val="single" w:sz="4" w:space="0" w:color="auto"/>
            </w:tcBorders>
            <w:shd w:val="clear" w:color="auto" w:fill="auto"/>
            <w:noWrap/>
            <w:vAlign w:val="center"/>
            <w:hideMark/>
          </w:tcPr>
          <w:p w14:paraId="46AC4814"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w:t>
            </w:r>
          </w:p>
        </w:tc>
        <w:tc>
          <w:tcPr>
            <w:tcW w:w="908" w:type="pct"/>
            <w:tcBorders>
              <w:bottom w:val="single" w:sz="4" w:space="0" w:color="auto"/>
            </w:tcBorders>
            <w:shd w:val="clear" w:color="auto" w:fill="auto"/>
            <w:noWrap/>
            <w:vAlign w:val="center"/>
            <w:hideMark/>
          </w:tcPr>
          <w:p w14:paraId="5A561483"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w:t>
            </w:r>
          </w:p>
        </w:tc>
        <w:tc>
          <w:tcPr>
            <w:tcW w:w="719" w:type="pct"/>
            <w:tcBorders>
              <w:bottom w:val="single" w:sz="4" w:space="0" w:color="auto"/>
            </w:tcBorders>
            <w:shd w:val="clear" w:color="auto" w:fill="auto"/>
            <w:noWrap/>
            <w:vAlign w:val="center"/>
            <w:hideMark/>
          </w:tcPr>
          <w:p w14:paraId="335DB8FC"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100,0 %</w:t>
            </w:r>
          </w:p>
        </w:tc>
        <w:tc>
          <w:tcPr>
            <w:tcW w:w="662" w:type="pct"/>
            <w:tcBorders>
              <w:bottom w:val="single" w:sz="4" w:space="0" w:color="auto"/>
            </w:tcBorders>
            <w:shd w:val="clear" w:color="auto" w:fill="auto"/>
            <w:noWrap/>
            <w:vAlign w:val="center"/>
            <w:hideMark/>
          </w:tcPr>
          <w:p w14:paraId="2D8E7BC2" w14:textId="77777777" w:rsidR="00E37FC0" w:rsidRPr="00340226" w:rsidRDefault="00E37FC0" w:rsidP="00BF5F60">
            <w:pPr>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w:t>
            </w:r>
          </w:p>
        </w:tc>
        <w:tc>
          <w:tcPr>
            <w:tcW w:w="658" w:type="pct"/>
            <w:tcBorders>
              <w:bottom w:val="single" w:sz="4" w:space="0" w:color="auto"/>
              <w:right w:val="nil"/>
            </w:tcBorders>
            <w:shd w:val="clear" w:color="auto" w:fill="auto"/>
            <w:noWrap/>
            <w:vAlign w:val="center"/>
            <w:hideMark/>
          </w:tcPr>
          <w:p w14:paraId="4E2E7DA5"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340226">
              <w:rPr>
                <w:rFonts w:ascii="Century Gothic" w:hAnsi="Century Gothic" w:cs="Arial"/>
                <w:color w:val="000000"/>
                <w:sz w:val="18"/>
                <w:szCs w:val="18"/>
                <w:lang w:val="es-ES"/>
              </w:rPr>
              <w:t>100,0%</w:t>
            </w:r>
          </w:p>
        </w:tc>
      </w:tr>
      <w:tr w:rsidR="00E37FC0" w:rsidRPr="008131E7" w14:paraId="7C247BE2" w14:textId="77777777" w:rsidTr="00BF5F6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right w:val="nil"/>
            </w:tcBorders>
            <w:shd w:val="clear" w:color="auto" w:fill="auto"/>
            <w:noWrap/>
            <w:vAlign w:val="center"/>
          </w:tcPr>
          <w:p w14:paraId="029A7FC6" w14:textId="77777777" w:rsidR="00E37FC0" w:rsidRPr="008131E7" w:rsidRDefault="00E37FC0" w:rsidP="00BF5F60">
            <w:pPr>
              <w:spacing w:afterLines="240" w:after="576"/>
              <w:contextualSpacing/>
              <w:rPr>
                <w:rFonts w:ascii="Century Gothic" w:hAnsi="Century Gothic" w:cs="Arial"/>
                <w:i/>
                <w:sz w:val="16"/>
                <w:szCs w:val="18"/>
                <w:lang w:val="en-US" w:eastAsia="en-GB"/>
              </w:rPr>
            </w:pPr>
            <w:r w:rsidRPr="008131E7">
              <w:rPr>
                <w:rFonts w:ascii="Century Gothic" w:hAnsi="Century Gothic" w:cs="Arial"/>
                <w:i/>
                <w:color w:val="000000"/>
                <w:sz w:val="16"/>
                <w:szCs w:val="18"/>
                <w:lang w:val="en-US"/>
              </w:rPr>
              <w:t xml:space="preserve">Fuente: Comisión Europea (2016), SBA Fact Sheet for </w:t>
            </w:r>
            <w:r>
              <w:rPr>
                <w:rFonts w:ascii="Century Gothic" w:hAnsi="Century Gothic" w:cs="Arial"/>
                <w:i/>
                <w:color w:val="000000"/>
                <w:sz w:val="16"/>
                <w:szCs w:val="18"/>
                <w:lang w:val="en-US"/>
              </w:rPr>
              <w:t xml:space="preserve">Germany, France, United Kingdom, Italy and </w:t>
            </w:r>
            <w:r w:rsidRPr="008131E7">
              <w:rPr>
                <w:rFonts w:ascii="Century Gothic" w:hAnsi="Century Gothic" w:cs="Arial"/>
                <w:i/>
                <w:color w:val="000000"/>
                <w:sz w:val="16"/>
                <w:szCs w:val="18"/>
                <w:lang w:val="en-US"/>
              </w:rPr>
              <w:t>Spain</w:t>
            </w:r>
          </w:p>
        </w:tc>
      </w:tr>
    </w:tbl>
    <w:p w14:paraId="1EB18CB6" w14:textId="77777777" w:rsidR="00E37FC0" w:rsidRPr="008131E7" w:rsidRDefault="00E37FC0" w:rsidP="00E37FC0">
      <w:pPr>
        <w:pStyle w:val="Body"/>
        <w:rPr>
          <w:sz w:val="8"/>
          <w:lang w:val="en-US"/>
        </w:rPr>
      </w:pPr>
    </w:p>
    <w:p w14:paraId="1C6FD30C" w14:textId="77777777" w:rsidR="00E37FC0" w:rsidRPr="008131E7" w:rsidRDefault="00E37FC0" w:rsidP="00E37FC0">
      <w:pPr>
        <w:spacing w:after="0"/>
        <w:jc w:val="left"/>
        <w:rPr>
          <w:rFonts w:ascii="Century Gothic" w:hAnsi="Century Gothic"/>
          <w:color w:val="003399"/>
          <w:sz w:val="22"/>
          <w:lang w:val="en-US"/>
        </w:rPr>
      </w:pPr>
      <w:r w:rsidRPr="008131E7">
        <w:rPr>
          <w:lang w:val="en-US"/>
        </w:rPr>
        <w:br w:type="page"/>
      </w:r>
    </w:p>
    <w:p w14:paraId="09003E4B" w14:textId="7C8110FB" w:rsidR="00E37FC0" w:rsidRDefault="00E37FC0" w:rsidP="00DB0F5A">
      <w:pPr>
        <w:pStyle w:val="Ttulo3"/>
        <w:numPr>
          <w:ilvl w:val="1"/>
          <w:numId w:val="28"/>
        </w:numPr>
      </w:pPr>
      <w:bookmarkStart w:id="7" w:name="_Toc523847353"/>
      <w:bookmarkStart w:id="8" w:name="_Toc525300091"/>
      <w:bookmarkStart w:id="9" w:name="_Toc526423223"/>
      <w:r w:rsidRPr="00922B27">
        <w:lastRenderedPageBreak/>
        <w:t>Alemania</w:t>
      </w:r>
      <w:bookmarkEnd w:id="7"/>
      <w:bookmarkEnd w:id="8"/>
      <w:bookmarkEnd w:id="9"/>
    </w:p>
    <w:tbl>
      <w:tblPr>
        <w:tblStyle w:val="DocumentTable1"/>
        <w:tblW w:w="5019" w:type="pct"/>
        <w:tblLayout w:type="fixed"/>
        <w:tblLook w:val="04A0" w:firstRow="1" w:lastRow="0" w:firstColumn="1" w:lastColumn="0" w:noHBand="0" w:noVBand="1"/>
      </w:tblPr>
      <w:tblGrid>
        <w:gridCol w:w="4217"/>
        <w:gridCol w:w="5105"/>
      </w:tblGrid>
      <w:tr w:rsidR="00E37FC0" w:rsidRPr="00340226" w14:paraId="34353D3F" w14:textId="77777777" w:rsidTr="00F1147F">
        <w:tc>
          <w:tcPr>
            <w:tcW w:w="2262" w:type="pct"/>
            <w:tcBorders>
              <w:top w:val="nil"/>
              <w:left w:val="single" w:sz="24" w:space="0" w:color="003399"/>
              <w:bottom w:val="nil"/>
            </w:tcBorders>
            <w:shd w:val="clear" w:color="auto" w:fill="auto"/>
            <w:vAlign w:val="center"/>
          </w:tcPr>
          <w:p w14:paraId="696268EF" w14:textId="77777777" w:rsidR="00E37FC0" w:rsidRPr="00340226" w:rsidRDefault="00E37FC0" w:rsidP="00BF5F60">
            <w:pPr>
              <w:pStyle w:val="Body"/>
              <w:spacing w:before="60" w:after="60"/>
              <w:jc w:val="left"/>
              <w:rPr>
                <w:b/>
                <w:sz w:val="18"/>
                <w:szCs w:val="18"/>
              </w:rPr>
            </w:pPr>
            <w:r w:rsidRPr="00340226">
              <w:rPr>
                <w:b/>
                <w:sz w:val="18"/>
                <w:szCs w:val="18"/>
              </w:rPr>
              <w:t>Organismo competente en política de</w:t>
            </w:r>
            <w:r>
              <w:rPr>
                <w:b/>
                <w:sz w:val="18"/>
                <w:szCs w:val="18"/>
              </w:rPr>
              <w:t xml:space="preserve"> PYME</w:t>
            </w:r>
            <w:r w:rsidRPr="00340226">
              <w:rPr>
                <w:b/>
                <w:sz w:val="18"/>
                <w:szCs w:val="18"/>
              </w:rPr>
              <w:t>:</w:t>
            </w:r>
          </w:p>
        </w:tc>
        <w:tc>
          <w:tcPr>
            <w:tcW w:w="2738" w:type="pct"/>
            <w:tcBorders>
              <w:top w:val="nil"/>
              <w:bottom w:val="nil"/>
              <w:right w:val="nil"/>
            </w:tcBorders>
            <w:vAlign w:val="center"/>
          </w:tcPr>
          <w:p w14:paraId="7F6080AC" w14:textId="77777777" w:rsidR="00E37FC0" w:rsidRPr="00340226" w:rsidRDefault="00E37FC0" w:rsidP="00BF5F60">
            <w:pPr>
              <w:pStyle w:val="Body"/>
              <w:spacing w:before="60" w:after="60"/>
              <w:jc w:val="left"/>
              <w:rPr>
                <w:sz w:val="18"/>
                <w:szCs w:val="18"/>
              </w:rPr>
            </w:pPr>
            <w:r w:rsidRPr="00340226">
              <w:rPr>
                <w:sz w:val="18"/>
                <w:szCs w:val="18"/>
              </w:rPr>
              <w:t>Ministerio de Asuntos Económicos</w:t>
            </w:r>
          </w:p>
        </w:tc>
      </w:tr>
      <w:tr w:rsidR="00E37FC0" w:rsidRPr="003A71CF" w14:paraId="4C380D61" w14:textId="77777777" w:rsidTr="00F1147F">
        <w:tc>
          <w:tcPr>
            <w:tcW w:w="2262" w:type="pct"/>
            <w:tcBorders>
              <w:top w:val="nil"/>
              <w:left w:val="single" w:sz="24" w:space="0" w:color="003399"/>
              <w:bottom w:val="nil"/>
            </w:tcBorders>
            <w:shd w:val="clear" w:color="auto" w:fill="auto"/>
            <w:vAlign w:val="center"/>
          </w:tcPr>
          <w:p w14:paraId="797B6FFA" w14:textId="77777777" w:rsidR="00E37FC0" w:rsidRPr="00340226" w:rsidRDefault="00E37FC0" w:rsidP="00BF5F60">
            <w:pPr>
              <w:pStyle w:val="Body"/>
              <w:spacing w:before="60" w:after="60"/>
              <w:jc w:val="left"/>
              <w:rPr>
                <w:b/>
                <w:sz w:val="18"/>
                <w:szCs w:val="18"/>
              </w:rPr>
            </w:pPr>
            <w:r w:rsidRPr="00340226">
              <w:rPr>
                <w:b/>
                <w:sz w:val="18"/>
                <w:szCs w:val="18"/>
              </w:rPr>
              <w:t>Página web:</w:t>
            </w:r>
          </w:p>
        </w:tc>
        <w:tc>
          <w:tcPr>
            <w:tcW w:w="2738" w:type="pct"/>
            <w:tcBorders>
              <w:top w:val="nil"/>
              <w:bottom w:val="nil"/>
              <w:right w:val="nil"/>
            </w:tcBorders>
            <w:vAlign w:val="center"/>
          </w:tcPr>
          <w:p w14:paraId="0F83BEB6" w14:textId="77777777" w:rsidR="00E37FC0" w:rsidRPr="00340226" w:rsidRDefault="00E37FC0" w:rsidP="00BF5F60">
            <w:pPr>
              <w:pStyle w:val="Body"/>
              <w:spacing w:before="60" w:after="60"/>
              <w:jc w:val="left"/>
              <w:rPr>
                <w:sz w:val="18"/>
                <w:szCs w:val="18"/>
              </w:rPr>
            </w:pPr>
            <w:r w:rsidRPr="00340226">
              <w:rPr>
                <w:sz w:val="18"/>
                <w:szCs w:val="18"/>
              </w:rPr>
              <w:t>https://www.bmwi.de/Redaktion/EN/Dossier/sme-policy.html</w:t>
            </w:r>
          </w:p>
        </w:tc>
      </w:tr>
    </w:tbl>
    <w:p w14:paraId="1D662419" w14:textId="77777777" w:rsidR="00E37FC0" w:rsidRDefault="00E37FC0" w:rsidP="00E37FC0">
      <w:pPr>
        <w:pStyle w:val="Body"/>
      </w:pPr>
    </w:p>
    <w:p w14:paraId="72838F19" w14:textId="6957473C" w:rsidR="00E37FC0" w:rsidRDefault="00E37FC0" w:rsidP="00E37FC0">
      <w:pPr>
        <w:pStyle w:val="Body"/>
      </w:pPr>
      <w:r>
        <w:rPr>
          <w:noProof/>
          <w:lang w:eastAsia="es-ES"/>
        </w:rPr>
        <w:drawing>
          <wp:anchor distT="0" distB="0" distL="114300" distR="114300" simplePos="0" relativeHeight="251655168" behindDoc="0" locked="0" layoutInCell="1" allowOverlap="1" wp14:anchorId="59FBC192" wp14:editId="72911659">
            <wp:simplePos x="0" y="0"/>
            <wp:positionH relativeFrom="column">
              <wp:posOffset>13970</wp:posOffset>
            </wp:positionH>
            <wp:positionV relativeFrom="margin">
              <wp:posOffset>1272540</wp:posOffset>
            </wp:positionV>
            <wp:extent cx="1296035" cy="1845310"/>
            <wp:effectExtent l="38100" t="38100" r="94615" b="977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96035" cy="18453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El Ministerio de Asuntos Económicos y de Energía de Alemania lanzó en 2016 su programa de acción para las PYME del país – “Future of the German Mittelstand” Action Programme. </w:t>
      </w:r>
      <w:r w:rsidRPr="00767308">
        <w:t xml:space="preserve">Este programa </w:t>
      </w:r>
      <w:r>
        <w:t>está promovido por el Ministerio de Economía, que es el responsable de la política federal en materia de PYME, y fue lanzado con el objetivo de “asegurar que las PYME alemanas permanecen fuertes e innovadoras, gozando de buena salud para hacer frente a los retos” que el mismo programa de acción identifica.</w:t>
      </w:r>
    </w:p>
    <w:p w14:paraId="3C159EE1" w14:textId="3231C33F" w:rsidR="00E37FC0" w:rsidRDefault="00E37FC0" w:rsidP="00E37FC0">
      <w:pPr>
        <w:pStyle w:val="Body"/>
      </w:pPr>
      <w:r>
        <w:t xml:space="preserve">Este plan de acción está estructurado en base a 10 campos de acción que deben impulsar la política de PYME en Alemania. Cada uno de estos puntos está acompañado por un cuadro de “medidas”, donde se desglosan las que ya se han llevado a cabo y las que se pretender implementar para cada uno de los campos de acción. </w:t>
      </w:r>
    </w:p>
    <w:tbl>
      <w:tblPr>
        <w:tblStyle w:val="Listamedia2"/>
        <w:tblW w:w="5000" w:type="pct"/>
        <w:tblLayout w:type="fixed"/>
        <w:tblCellMar>
          <w:top w:w="108" w:type="dxa"/>
          <w:bottom w:w="108" w:type="dxa"/>
        </w:tblCellMar>
        <w:tblLook w:val="04A0" w:firstRow="1" w:lastRow="0" w:firstColumn="1" w:lastColumn="0" w:noHBand="0" w:noVBand="1"/>
      </w:tblPr>
      <w:tblGrid>
        <w:gridCol w:w="4643"/>
        <w:gridCol w:w="4644"/>
      </w:tblGrid>
      <w:tr w:rsidR="00E37FC0" w:rsidRPr="007C7B55" w14:paraId="7DD89A82" w14:textId="77777777" w:rsidTr="00BF5F60">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24" w:space="0" w:color="FFCC00"/>
              <w:bottom w:val="single" w:sz="6" w:space="0" w:color="000000" w:themeColor="text1"/>
            </w:tcBorders>
            <w:shd w:val="clear" w:color="auto" w:fill="auto"/>
            <w:vAlign w:val="center"/>
            <w:hideMark/>
          </w:tcPr>
          <w:p w14:paraId="67B74B82" w14:textId="77777777" w:rsidR="00E37FC0" w:rsidRPr="00607232" w:rsidRDefault="00E37FC0" w:rsidP="00BF5F60">
            <w:pPr>
              <w:spacing w:before="60" w:after="60"/>
              <w:contextualSpacing/>
              <w:jc w:val="center"/>
              <w:rPr>
                <w:rFonts w:ascii="Arial" w:hAnsi="Arial" w:cs="Arial"/>
                <w:color w:val="000000"/>
                <w:sz w:val="18"/>
                <w:szCs w:val="18"/>
                <w:lang w:val="en-US"/>
              </w:rPr>
            </w:pPr>
            <w:r w:rsidRPr="00607232">
              <w:rPr>
                <w:rFonts w:ascii="Century Gothic" w:hAnsi="Century Gothic" w:cs="Arial"/>
                <w:b/>
                <w:bCs/>
                <w:color w:val="333333"/>
                <w:sz w:val="18"/>
                <w:szCs w:val="18"/>
                <w:lang w:val="en-US" w:eastAsia="en-GB"/>
              </w:rPr>
              <w:t>“Future of the German Mittelstand” Action Programme</w:t>
            </w:r>
          </w:p>
        </w:tc>
      </w:tr>
      <w:tr w:rsidR="00E37FC0" w:rsidRPr="003A71CF" w14:paraId="20C868BD"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00" w:type="pct"/>
            <w:tcBorders>
              <w:top w:val="single" w:sz="6" w:space="0" w:color="000000" w:themeColor="text1"/>
              <w:right w:val="nil"/>
            </w:tcBorders>
            <w:shd w:val="clear" w:color="auto" w:fill="auto"/>
            <w:hideMark/>
          </w:tcPr>
          <w:p w14:paraId="79AC56B9" w14:textId="77777777" w:rsidR="00E37FC0" w:rsidRPr="00607232" w:rsidRDefault="00E37FC0" w:rsidP="00BF5F60">
            <w:pPr>
              <w:spacing w:before="60" w:after="60"/>
              <w:contextualSpacing/>
              <w:jc w:val="center"/>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1</w:t>
            </w:r>
          </w:p>
          <w:p w14:paraId="6387EDD1"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Promoción del espíritu empresarial</w:t>
            </w:r>
          </w:p>
        </w:tc>
        <w:tc>
          <w:tcPr>
            <w:tcW w:w="2500" w:type="pct"/>
            <w:tcBorders>
              <w:top w:val="single" w:sz="6" w:space="0" w:color="000000" w:themeColor="text1"/>
              <w:right w:val="nil"/>
            </w:tcBorders>
            <w:shd w:val="clear" w:color="auto" w:fill="auto"/>
            <w:noWrap/>
            <w:hideMark/>
          </w:tcPr>
          <w:p w14:paraId="70BB5971" w14:textId="77777777" w:rsidR="00E37FC0" w:rsidRPr="00607232"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2</w:t>
            </w:r>
          </w:p>
          <w:p w14:paraId="5E63412E"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Reforzar la financiación de las start-ups y asegurar su acceso a la financiación bancaria</w:t>
            </w:r>
          </w:p>
        </w:tc>
      </w:tr>
      <w:tr w:rsidR="00E37FC0" w:rsidRPr="003A71CF" w14:paraId="27384213"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2500" w:type="pct"/>
            <w:tcBorders>
              <w:right w:val="nil"/>
            </w:tcBorders>
            <w:shd w:val="clear" w:color="auto" w:fill="auto"/>
            <w:hideMark/>
          </w:tcPr>
          <w:p w14:paraId="4366EB22" w14:textId="77777777" w:rsidR="00E37FC0" w:rsidRPr="00607232" w:rsidRDefault="00E37FC0" w:rsidP="00BF5F60">
            <w:pPr>
              <w:spacing w:before="60" w:after="60"/>
              <w:contextualSpacing/>
              <w:jc w:val="center"/>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3</w:t>
            </w:r>
          </w:p>
          <w:p w14:paraId="5E575456"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Luchar contra la escasez de cualificaciones, integrando refugiados en formación y empleo</w:t>
            </w:r>
          </w:p>
        </w:tc>
        <w:tc>
          <w:tcPr>
            <w:tcW w:w="2500" w:type="pct"/>
            <w:tcBorders>
              <w:right w:val="nil"/>
            </w:tcBorders>
            <w:shd w:val="clear" w:color="auto" w:fill="auto"/>
            <w:noWrap/>
            <w:hideMark/>
          </w:tcPr>
          <w:p w14:paraId="574B510A" w14:textId="77777777" w:rsidR="00E37FC0" w:rsidRPr="00607232"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4</w:t>
            </w:r>
          </w:p>
          <w:p w14:paraId="7F70D8C0"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Promover una regulación más favorable para las</w:t>
            </w:r>
            <w:r>
              <w:rPr>
                <w:rFonts w:ascii="Century Gothic" w:eastAsia="Times New Roman" w:hAnsi="Century Gothic" w:cs="Arial"/>
                <w:color w:val="000000"/>
                <w:sz w:val="18"/>
                <w:szCs w:val="18"/>
                <w:lang w:val="es-ES" w:eastAsia="nl-BE"/>
              </w:rPr>
              <w:t xml:space="preserve"> PYME</w:t>
            </w:r>
          </w:p>
        </w:tc>
      </w:tr>
      <w:tr w:rsidR="00E37FC0" w:rsidRPr="003A71CF" w14:paraId="24FE8E7D"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00" w:type="pct"/>
            <w:tcBorders>
              <w:right w:val="nil"/>
            </w:tcBorders>
            <w:shd w:val="clear" w:color="auto" w:fill="auto"/>
          </w:tcPr>
          <w:p w14:paraId="344BA45A" w14:textId="77777777" w:rsidR="00E37FC0" w:rsidRPr="00607232" w:rsidRDefault="00E37FC0" w:rsidP="00BF5F60">
            <w:pPr>
              <w:spacing w:before="60" w:after="60"/>
              <w:contextualSpacing/>
              <w:jc w:val="center"/>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5</w:t>
            </w:r>
          </w:p>
          <w:p w14:paraId="54ECD52E"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Promover y utilizar las ventajas de la Digitalización</w:t>
            </w:r>
          </w:p>
        </w:tc>
        <w:tc>
          <w:tcPr>
            <w:tcW w:w="2500" w:type="pct"/>
            <w:tcBorders>
              <w:right w:val="nil"/>
            </w:tcBorders>
            <w:shd w:val="clear" w:color="auto" w:fill="auto"/>
            <w:noWrap/>
          </w:tcPr>
          <w:p w14:paraId="1CBB204D" w14:textId="77777777" w:rsidR="00E37FC0" w:rsidRPr="00607232"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6</w:t>
            </w:r>
          </w:p>
          <w:p w14:paraId="51D2F49A"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Fortalecer las capacidades en innovación</w:t>
            </w:r>
          </w:p>
        </w:tc>
      </w:tr>
      <w:tr w:rsidR="00E37FC0" w:rsidRPr="003A71CF" w14:paraId="3E230847"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2500" w:type="pct"/>
            <w:tcBorders>
              <w:right w:val="nil"/>
            </w:tcBorders>
            <w:shd w:val="clear" w:color="auto" w:fill="auto"/>
            <w:hideMark/>
          </w:tcPr>
          <w:p w14:paraId="54AD2361" w14:textId="77777777" w:rsidR="00E37FC0" w:rsidRPr="00607232" w:rsidRDefault="00E37FC0" w:rsidP="00BF5F60">
            <w:pPr>
              <w:spacing w:before="60" w:after="60"/>
              <w:contextualSpacing/>
              <w:jc w:val="center"/>
              <w:rPr>
                <w:rFonts w:ascii="Century Gothic" w:hAnsi="Century Gothic" w:cs="Arial"/>
                <w:b/>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7</w:t>
            </w:r>
          </w:p>
          <w:p w14:paraId="11333581" w14:textId="77777777" w:rsidR="00E37FC0" w:rsidRPr="00607232" w:rsidRDefault="00E37FC0" w:rsidP="00BF5F60">
            <w:pPr>
              <w:spacing w:before="60" w:after="60"/>
              <w:contextualSpacing/>
              <w:jc w:val="center"/>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Utilización de las oportunidades de la globalización</w:t>
            </w:r>
          </w:p>
        </w:tc>
        <w:tc>
          <w:tcPr>
            <w:tcW w:w="2500" w:type="pct"/>
            <w:tcBorders>
              <w:right w:val="nil"/>
            </w:tcBorders>
            <w:shd w:val="clear" w:color="auto" w:fill="auto"/>
            <w:noWrap/>
            <w:hideMark/>
          </w:tcPr>
          <w:p w14:paraId="7498539A" w14:textId="77777777" w:rsidR="00E37FC0" w:rsidRPr="00607232"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8</w:t>
            </w:r>
          </w:p>
          <w:p w14:paraId="12CC2E90" w14:textId="77777777" w:rsidR="00E37FC0" w:rsidRPr="00607232"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Contribuir a definir la política europea en materia de</w:t>
            </w:r>
            <w:r>
              <w:rPr>
                <w:rFonts w:ascii="Century Gothic" w:eastAsia="Times New Roman" w:hAnsi="Century Gothic" w:cs="Arial"/>
                <w:color w:val="000000"/>
                <w:sz w:val="18"/>
                <w:szCs w:val="18"/>
                <w:lang w:val="es-ES" w:eastAsia="nl-BE"/>
              </w:rPr>
              <w:t xml:space="preserve"> PYME</w:t>
            </w:r>
          </w:p>
        </w:tc>
      </w:tr>
      <w:tr w:rsidR="00E37FC0" w:rsidRPr="003A71CF" w14:paraId="7759D7E9"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right w:val="nil"/>
            </w:tcBorders>
            <w:shd w:val="clear" w:color="auto" w:fill="auto"/>
            <w:noWrap/>
            <w:hideMark/>
          </w:tcPr>
          <w:p w14:paraId="61016DF3" w14:textId="77777777" w:rsidR="00E37FC0" w:rsidRPr="00607232" w:rsidRDefault="00E37FC0" w:rsidP="00BF5F60">
            <w:pPr>
              <w:spacing w:before="60" w:after="60"/>
              <w:contextualSpacing/>
              <w:jc w:val="center"/>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9</w:t>
            </w:r>
          </w:p>
          <w:p w14:paraId="0EE3DB2C"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Fortalecer las</w:t>
            </w:r>
            <w:r>
              <w:rPr>
                <w:rFonts w:ascii="Century Gothic" w:eastAsia="Times New Roman" w:hAnsi="Century Gothic" w:cs="Arial"/>
                <w:color w:val="000000"/>
                <w:sz w:val="18"/>
                <w:szCs w:val="18"/>
                <w:lang w:val="es-ES" w:eastAsia="nl-BE"/>
              </w:rPr>
              <w:t xml:space="preserve"> PYME </w:t>
            </w:r>
            <w:r w:rsidRPr="00607232">
              <w:rPr>
                <w:rFonts w:ascii="Century Gothic" w:eastAsia="Times New Roman" w:hAnsi="Century Gothic" w:cs="Arial"/>
                <w:color w:val="000000"/>
                <w:sz w:val="18"/>
                <w:szCs w:val="18"/>
                <w:lang w:val="es-ES" w:eastAsia="nl-BE"/>
              </w:rPr>
              <w:t>en regiones estructuralmente más débiles</w:t>
            </w:r>
          </w:p>
        </w:tc>
        <w:tc>
          <w:tcPr>
            <w:tcW w:w="2500" w:type="pct"/>
            <w:tcBorders>
              <w:bottom w:val="single" w:sz="4" w:space="0" w:color="auto"/>
              <w:right w:val="nil"/>
            </w:tcBorders>
            <w:shd w:val="clear" w:color="auto" w:fill="auto"/>
            <w:noWrap/>
            <w:hideMark/>
          </w:tcPr>
          <w:p w14:paraId="565BDCEF" w14:textId="77777777" w:rsidR="00E37FC0" w:rsidRPr="00607232"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10</w:t>
            </w:r>
          </w:p>
          <w:p w14:paraId="1D378E46"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607232">
              <w:rPr>
                <w:rFonts w:ascii="Century Gothic" w:eastAsia="Times New Roman" w:hAnsi="Century Gothic" w:cs="Arial"/>
                <w:color w:val="000000"/>
                <w:sz w:val="18"/>
                <w:szCs w:val="18"/>
                <w:lang w:val="es-ES" w:eastAsia="nl-BE"/>
              </w:rPr>
              <w:t>Apoyar el desarrollo de oportunidades empresariales derivadas de la transición energética</w:t>
            </w:r>
          </w:p>
        </w:tc>
      </w:tr>
      <w:tr w:rsidR="00E37FC0" w:rsidRPr="003A71CF" w14:paraId="0AB2E64A" w14:textId="77777777" w:rsidTr="00BF5F60">
        <w:trPr>
          <w:trHeight w:val="2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right w:val="nil"/>
            </w:tcBorders>
            <w:shd w:val="clear" w:color="auto" w:fill="auto"/>
            <w:noWrap/>
            <w:vAlign w:val="center"/>
          </w:tcPr>
          <w:p w14:paraId="4CBD0698" w14:textId="77777777" w:rsidR="00E37FC0" w:rsidRPr="003511C3" w:rsidRDefault="00E37FC0" w:rsidP="00BF5F60">
            <w:pPr>
              <w:spacing w:afterLines="240" w:after="576"/>
              <w:contextualSpacing/>
              <w:rPr>
                <w:rFonts w:ascii="Century Gothic" w:hAnsi="Century Gothic" w:cs="Arial"/>
                <w:i/>
                <w:sz w:val="16"/>
                <w:szCs w:val="18"/>
                <w:lang w:val="es-ES" w:eastAsia="en-GB"/>
              </w:rPr>
            </w:pPr>
          </w:p>
        </w:tc>
      </w:tr>
    </w:tbl>
    <w:p w14:paraId="0C395C09" w14:textId="77777777" w:rsidR="00E37FC0" w:rsidRDefault="00E37FC0" w:rsidP="00E37FC0">
      <w:pPr>
        <w:pStyle w:val="Body"/>
      </w:pPr>
      <w:r>
        <w:t xml:space="preserve"> </w:t>
      </w:r>
    </w:p>
    <w:p w14:paraId="0F8C6CC3" w14:textId="77777777" w:rsidR="00E37FC0" w:rsidRDefault="00E37FC0" w:rsidP="00E37FC0">
      <w:pPr>
        <w:spacing w:after="0"/>
        <w:jc w:val="left"/>
        <w:rPr>
          <w:rFonts w:ascii="Arial" w:hAnsi="Arial"/>
          <w:sz w:val="22"/>
          <w:lang w:val="es-ES"/>
        </w:rPr>
      </w:pPr>
      <w:r w:rsidRPr="00C44DBA">
        <w:rPr>
          <w:lang w:val="es-ES"/>
        </w:rPr>
        <w:br w:type="page"/>
      </w:r>
    </w:p>
    <w:p w14:paraId="19351DC1" w14:textId="01B54470" w:rsidR="00E37FC0" w:rsidRDefault="00E37FC0" w:rsidP="00DB0F5A">
      <w:pPr>
        <w:pStyle w:val="Ttulo3"/>
        <w:numPr>
          <w:ilvl w:val="1"/>
          <w:numId w:val="28"/>
        </w:numPr>
      </w:pPr>
      <w:bookmarkStart w:id="10" w:name="_Toc523847354"/>
      <w:bookmarkStart w:id="11" w:name="_Toc525300092"/>
      <w:bookmarkStart w:id="12" w:name="_Toc526423224"/>
      <w:r>
        <w:lastRenderedPageBreak/>
        <w:t>Francia</w:t>
      </w:r>
      <w:bookmarkEnd w:id="10"/>
      <w:bookmarkEnd w:id="11"/>
      <w:bookmarkEnd w:id="12"/>
    </w:p>
    <w:tbl>
      <w:tblPr>
        <w:tblStyle w:val="DocumentTable1"/>
        <w:tblW w:w="5000" w:type="pct"/>
        <w:tblLayout w:type="fixed"/>
        <w:tblLook w:val="04A0" w:firstRow="1" w:lastRow="0" w:firstColumn="1" w:lastColumn="0" w:noHBand="0" w:noVBand="1"/>
      </w:tblPr>
      <w:tblGrid>
        <w:gridCol w:w="4361"/>
        <w:gridCol w:w="4926"/>
      </w:tblGrid>
      <w:tr w:rsidR="00E37FC0" w:rsidRPr="003A71CF" w14:paraId="3BFC30CD" w14:textId="77777777" w:rsidTr="00F1147F">
        <w:tc>
          <w:tcPr>
            <w:tcW w:w="2348" w:type="pct"/>
            <w:tcBorders>
              <w:top w:val="nil"/>
              <w:left w:val="single" w:sz="24" w:space="0" w:color="003399"/>
              <w:bottom w:val="nil"/>
            </w:tcBorders>
            <w:shd w:val="clear" w:color="auto" w:fill="auto"/>
            <w:vAlign w:val="center"/>
          </w:tcPr>
          <w:p w14:paraId="25C32F56" w14:textId="77777777" w:rsidR="00E37FC0" w:rsidRPr="00340226" w:rsidRDefault="00E37FC0" w:rsidP="00BF5F60">
            <w:pPr>
              <w:pStyle w:val="Body"/>
              <w:spacing w:before="60" w:after="60"/>
              <w:jc w:val="left"/>
              <w:rPr>
                <w:b/>
                <w:sz w:val="18"/>
                <w:szCs w:val="18"/>
              </w:rPr>
            </w:pPr>
            <w:r w:rsidRPr="00340226">
              <w:rPr>
                <w:b/>
                <w:sz w:val="18"/>
                <w:szCs w:val="18"/>
              </w:rPr>
              <w:t>Organismo competente en política de</w:t>
            </w:r>
            <w:r>
              <w:rPr>
                <w:b/>
                <w:sz w:val="18"/>
                <w:szCs w:val="18"/>
              </w:rPr>
              <w:t xml:space="preserve"> PYME</w:t>
            </w:r>
            <w:r w:rsidRPr="00340226">
              <w:rPr>
                <w:b/>
                <w:sz w:val="18"/>
                <w:szCs w:val="18"/>
              </w:rPr>
              <w:t>:</w:t>
            </w:r>
          </w:p>
        </w:tc>
        <w:tc>
          <w:tcPr>
            <w:tcW w:w="2652" w:type="pct"/>
            <w:tcBorders>
              <w:top w:val="nil"/>
              <w:bottom w:val="nil"/>
              <w:right w:val="nil"/>
            </w:tcBorders>
            <w:vAlign w:val="center"/>
          </w:tcPr>
          <w:p w14:paraId="4BFBAEE3" w14:textId="77777777" w:rsidR="00E37FC0" w:rsidRPr="00A243FA" w:rsidRDefault="00E37FC0" w:rsidP="00BF5F60">
            <w:pPr>
              <w:pStyle w:val="Body"/>
              <w:spacing w:before="60" w:after="60"/>
              <w:jc w:val="left"/>
              <w:rPr>
                <w:sz w:val="18"/>
                <w:szCs w:val="18"/>
              </w:rPr>
            </w:pPr>
            <w:r w:rsidRPr="00A243FA">
              <w:rPr>
                <w:sz w:val="18"/>
                <w:szCs w:val="18"/>
              </w:rPr>
              <w:t xml:space="preserve">Ministerio de Economía y Finanzas </w:t>
            </w:r>
          </w:p>
          <w:p w14:paraId="11712098" w14:textId="77777777" w:rsidR="00E37FC0" w:rsidRPr="00A243FA" w:rsidRDefault="00E37FC0" w:rsidP="00BF5F60">
            <w:pPr>
              <w:pStyle w:val="Body"/>
              <w:spacing w:before="60" w:after="60"/>
              <w:jc w:val="left"/>
              <w:rPr>
                <w:sz w:val="18"/>
                <w:szCs w:val="18"/>
              </w:rPr>
            </w:pPr>
            <w:r w:rsidRPr="00A243FA">
              <w:rPr>
                <w:sz w:val="18"/>
                <w:szCs w:val="18"/>
              </w:rPr>
              <w:t>Dirección General de Empresas (DGE)</w:t>
            </w:r>
          </w:p>
        </w:tc>
      </w:tr>
      <w:tr w:rsidR="00E37FC0" w:rsidRPr="003A71CF" w14:paraId="6885B131" w14:textId="77777777" w:rsidTr="00F1147F">
        <w:tc>
          <w:tcPr>
            <w:tcW w:w="2348" w:type="pct"/>
            <w:tcBorders>
              <w:top w:val="nil"/>
              <w:left w:val="single" w:sz="24" w:space="0" w:color="003399"/>
              <w:bottom w:val="nil"/>
            </w:tcBorders>
            <w:shd w:val="clear" w:color="auto" w:fill="auto"/>
            <w:vAlign w:val="center"/>
          </w:tcPr>
          <w:p w14:paraId="54E8EA2F" w14:textId="77777777" w:rsidR="00E37FC0" w:rsidRPr="00340226" w:rsidRDefault="00E37FC0" w:rsidP="00BF5F60">
            <w:pPr>
              <w:pStyle w:val="Body"/>
              <w:spacing w:before="60" w:after="60"/>
              <w:jc w:val="left"/>
              <w:rPr>
                <w:b/>
                <w:sz w:val="18"/>
                <w:szCs w:val="18"/>
              </w:rPr>
            </w:pPr>
            <w:r w:rsidRPr="00340226">
              <w:rPr>
                <w:b/>
                <w:sz w:val="18"/>
                <w:szCs w:val="18"/>
              </w:rPr>
              <w:t>Página web:</w:t>
            </w:r>
          </w:p>
        </w:tc>
        <w:tc>
          <w:tcPr>
            <w:tcW w:w="2652" w:type="pct"/>
            <w:tcBorders>
              <w:top w:val="nil"/>
              <w:bottom w:val="nil"/>
              <w:right w:val="nil"/>
            </w:tcBorders>
            <w:vAlign w:val="center"/>
          </w:tcPr>
          <w:p w14:paraId="066CF262" w14:textId="77777777" w:rsidR="00E37FC0" w:rsidRPr="00A243FA" w:rsidRDefault="00E37FC0" w:rsidP="00BF5F60">
            <w:pPr>
              <w:pStyle w:val="Body"/>
              <w:spacing w:before="60" w:after="60"/>
              <w:jc w:val="left"/>
              <w:rPr>
                <w:sz w:val="18"/>
                <w:szCs w:val="18"/>
              </w:rPr>
            </w:pPr>
            <w:r w:rsidRPr="00A243FA">
              <w:rPr>
                <w:sz w:val="18"/>
                <w:szCs w:val="18"/>
              </w:rPr>
              <w:t>http://www.entreprises.gouv.fr/actualites/5691</w:t>
            </w:r>
          </w:p>
          <w:p w14:paraId="1C9B3CE5" w14:textId="77777777" w:rsidR="00E37FC0" w:rsidRPr="00A243FA" w:rsidRDefault="00E37FC0" w:rsidP="00BF5F60">
            <w:pPr>
              <w:pStyle w:val="Body"/>
              <w:spacing w:before="60" w:after="60"/>
              <w:jc w:val="left"/>
              <w:rPr>
                <w:sz w:val="18"/>
                <w:szCs w:val="18"/>
              </w:rPr>
            </w:pPr>
            <w:r w:rsidRPr="00A243FA">
              <w:rPr>
                <w:sz w:val="18"/>
                <w:szCs w:val="18"/>
              </w:rPr>
              <w:t xml:space="preserve">http://www.gouvernement.fr/l-embauche-dans-les-tpe-et-les-pme-c-est-la-priorite-du-moment-c-est-l-essentiel-2345 </w:t>
            </w:r>
          </w:p>
          <w:p w14:paraId="0A7BE5E0" w14:textId="77777777" w:rsidR="00E37FC0" w:rsidRPr="00A243FA" w:rsidRDefault="00E37FC0" w:rsidP="00BF5F60">
            <w:pPr>
              <w:pStyle w:val="Body"/>
              <w:spacing w:before="60" w:after="60"/>
              <w:jc w:val="left"/>
              <w:rPr>
                <w:sz w:val="18"/>
                <w:szCs w:val="18"/>
              </w:rPr>
            </w:pPr>
            <w:r w:rsidRPr="00A243FA">
              <w:rPr>
                <w:sz w:val="18"/>
                <w:szCs w:val="18"/>
              </w:rPr>
              <w:t>http://www.gouvernement.fr/action/la-loi-artisanat-commerce-et-tres-petites-entreprises</w:t>
            </w:r>
          </w:p>
          <w:p w14:paraId="4E2E7D31" w14:textId="77777777" w:rsidR="00E37FC0" w:rsidRPr="00A243FA" w:rsidRDefault="00E37FC0" w:rsidP="00BF5F60">
            <w:pPr>
              <w:pStyle w:val="Body"/>
              <w:spacing w:before="60" w:after="60"/>
              <w:jc w:val="left"/>
              <w:rPr>
                <w:sz w:val="18"/>
                <w:szCs w:val="18"/>
              </w:rPr>
            </w:pPr>
            <w:r w:rsidRPr="00A243FA">
              <w:rPr>
                <w:sz w:val="18"/>
                <w:szCs w:val="18"/>
              </w:rPr>
              <w:t>http://www.gouvernement.fr/action/le-soutien-au-financement-des-pme-et-eti</w:t>
            </w:r>
          </w:p>
        </w:tc>
      </w:tr>
    </w:tbl>
    <w:p w14:paraId="6BEB9052" w14:textId="77777777" w:rsidR="00E37FC0" w:rsidRDefault="00E37FC0" w:rsidP="00E37FC0">
      <w:pPr>
        <w:pStyle w:val="Body"/>
      </w:pPr>
    </w:p>
    <w:p w14:paraId="470C8CBB" w14:textId="77777777" w:rsidR="00E37FC0" w:rsidRPr="00EA5DEE" w:rsidRDefault="00E37FC0" w:rsidP="00E37FC0">
      <w:pPr>
        <w:pStyle w:val="Body"/>
        <w:rPr>
          <w:b/>
          <w:lang w:val="fr-FR"/>
        </w:rPr>
      </w:pPr>
      <w:r w:rsidRPr="00EA5DEE">
        <w:rPr>
          <w:b/>
          <w:lang w:val="fr-FR"/>
        </w:rPr>
        <w:t>Tout pour l’Emploi dans les TPE et PME</w:t>
      </w:r>
    </w:p>
    <w:p w14:paraId="477FADFC" w14:textId="5CA3AB39" w:rsidR="00E37FC0" w:rsidRDefault="00E37FC0" w:rsidP="00E37FC0">
      <w:pPr>
        <w:pStyle w:val="Body"/>
      </w:pPr>
      <w:r>
        <w:rPr>
          <w:noProof/>
          <w:lang w:eastAsia="es-ES"/>
        </w:rPr>
        <w:drawing>
          <wp:anchor distT="0" distB="0" distL="114300" distR="114300" simplePos="0" relativeHeight="251658240" behindDoc="0" locked="0" layoutInCell="1" allowOverlap="1" wp14:anchorId="13E17BE2" wp14:editId="43134ACB">
            <wp:simplePos x="0" y="0"/>
            <wp:positionH relativeFrom="column">
              <wp:posOffset>11430</wp:posOffset>
            </wp:positionH>
            <wp:positionV relativeFrom="margin">
              <wp:posOffset>2910205</wp:posOffset>
            </wp:positionV>
            <wp:extent cx="1400175" cy="1978025"/>
            <wp:effectExtent l="38100" t="38100" r="104775" b="984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00175" cy="19780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A5DEE">
        <w:rPr>
          <w:lang w:val="fr-FR"/>
        </w:rPr>
        <w:t xml:space="preserve">La acción estratégica de Francia en materia de PYME pivota en torno a la iniciativa “Tout pour l’Emploi dans les TPE et PME”. </w:t>
      </w:r>
      <w:r>
        <w:t>Esta iniciativa (“Todo por el empleo en las micro, pequeñas y medianas empresas”) es un paquete de medidas lanzado por el gobierno francés en junio de 2015,</w:t>
      </w:r>
      <w:r w:rsidR="00F1147F">
        <w:t xml:space="preserve"> que</w:t>
      </w:r>
      <w:r>
        <w:t xml:space="preserve"> tiene como objetivo responder a las preocupaciones cotidianas y a las necesidades concretas de las micro</w:t>
      </w:r>
      <w:r w:rsidR="00F1147F">
        <w:t xml:space="preserve">, </w:t>
      </w:r>
      <w:r>
        <w:t>pequeñas y medianas empresas, con el fin de:</w:t>
      </w:r>
      <w:r w:rsidRPr="00AA3339">
        <w:rPr>
          <w:rFonts w:cs="Arial"/>
          <w:noProof/>
          <w:color w:val="003399"/>
          <w:sz w:val="24"/>
          <w:lang w:eastAsia="es-ES"/>
        </w:rPr>
        <w:t xml:space="preserve"> </w:t>
      </w:r>
    </w:p>
    <w:p w14:paraId="08428467" w14:textId="77777777" w:rsidR="00E37FC0" w:rsidRDefault="00E37FC0" w:rsidP="00E37FC0">
      <w:pPr>
        <w:pStyle w:val="Body"/>
        <w:numPr>
          <w:ilvl w:val="0"/>
          <w:numId w:val="30"/>
        </w:numPr>
      </w:pPr>
      <w:r>
        <w:t>Levantar los frenos a la creación de empleo;</w:t>
      </w:r>
    </w:p>
    <w:p w14:paraId="7ADE0D73" w14:textId="77777777" w:rsidR="00E37FC0" w:rsidRDefault="00E37FC0" w:rsidP="00E37FC0">
      <w:pPr>
        <w:pStyle w:val="Body"/>
        <w:numPr>
          <w:ilvl w:val="0"/>
          <w:numId w:val="30"/>
        </w:numPr>
      </w:pPr>
      <w:r>
        <w:t>Contribuir al desarrollo de la actividad empresarial;</w:t>
      </w:r>
    </w:p>
    <w:p w14:paraId="33B6F129" w14:textId="77777777" w:rsidR="00E37FC0" w:rsidRDefault="00E37FC0" w:rsidP="00E37FC0">
      <w:pPr>
        <w:pStyle w:val="Body"/>
        <w:numPr>
          <w:ilvl w:val="0"/>
          <w:numId w:val="30"/>
        </w:numPr>
      </w:pPr>
      <w:r>
        <w:t>Facilitar la creación y la re-activación de las PYME;</w:t>
      </w:r>
    </w:p>
    <w:p w14:paraId="0C4E7974" w14:textId="77777777" w:rsidR="00E37FC0" w:rsidRDefault="00E37FC0" w:rsidP="00E37FC0">
      <w:pPr>
        <w:pStyle w:val="Body"/>
        <w:numPr>
          <w:ilvl w:val="0"/>
          <w:numId w:val="30"/>
        </w:numPr>
      </w:pPr>
      <w:r>
        <w:t>Aligerar las formalidades y la burocracia.</w:t>
      </w:r>
    </w:p>
    <w:p w14:paraId="39961C86" w14:textId="77777777" w:rsidR="00E37FC0" w:rsidRDefault="00E37FC0" w:rsidP="00E37FC0">
      <w:pPr>
        <w:pStyle w:val="Body"/>
      </w:pPr>
      <w:r>
        <w:t xml:space="preserve">Este paquete de medidas está en plena coherencia con otros proyectos de reforma impulsados por el gobierno francés, como la ley por el crecimiento, la actividad y la igualdad de oportunidades económicas y la ley relativa al dialogo social y el empleo. </w:t>
      </w:r>
    </w:p>
    <w:p w14:paraId="4ED12229" w14:textId="77777777" w:rsidR="00E37FC0" w:rsidRDefault="00E37FC0" w:rsidP="00E37FC0">
      <w:pPr>
        <w:pStyle w:val="Body"/>
      </w:pPr>
      <w:r>
        <w:t>Este paquete de medidas está compuesto por 18 medidas, que están agrupadas a su vez en cuatro ejes:</w:t>
      </w:r>
    </w:p>
    <w:tbl>
      <w:tblPr>
        <w:tblStyle w:val="Listamedia2"/>
        <w:tblW w:w="5000" w:type="pct"/>
        <w:tblLayout w:type="fixed"/>
        <w:tblCellMar>
          <w:top w:w="108" w:type="dxa"/>
          <w:bottom w:w="108" w:type="dxa"/>
        </w:tblCellMar>
        <w:tblLook w:val="04A0" w:firstRow="1" w:lastRow="0" w:firstColumn="1" w:lastColumn="0" w:noHBand="0" w:noVBand="1"/>
      </w:tblPr>
      <w:tblGrid>
        <w:gridCol w:w="4643"/>
        <w:gridCol w:w="4644"/>
      </w:tblGrid>
      <w:tr w:rsidR="00E37FC0" w:rsidRPr="0085558B" w14:paraId="25019CE2" w14:textId="77777777" w:rsidTr="00BF5F60">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24" w:space="0" w:color="FFCC00"/>
              <w:bottom w:val="single" w:sz="6" w:space="0" w:color="000000" w:themeColor="text1"/>
            </w:tcBorders>
            <w:shd w:val="clear" w:color="auto" w:fill="auto"/>
            <w:vAlign w:val="center"/>
            <w:hideMark/>
          </w:tcPr>
          <w:p w14:paraId="6ADFC125" w14:textId="77777777" w:rsidR="00E37FC0" w:rsidRPr="00EA5DEE" w:rsidRDefault="00E37FC0" w:rsidP="00BF5F60">
            <w:pPr>
              <w:spacing w:before="60" w:after="60"/>
              <w:contextualSpacing/>
              <w:jc w:val="center"/>
              <w:rPr>
                <w:rFonts w:ascii="Arial" w:hAnsi="Arial" w:cs="Arial"/>
                <w:color w:val="000000"/>
                <w:sz w:val="18"/>
                <w:szCs w:val="18"/>
                <w:lang w:val="fr-FR"/>
              </w:rPr>
            </w:pPr>
            <w:r w:rsidRPr="00EA5DEE">
              <w:rPr>
                <w:rFonts w:ascii="Century Gothic" w:hAnsi="Century Gothic" w:cs="Arial"/>
                <w:b/>
                <w:bCs/>
                <w:color w:val="333333"/>
                <w:sz w:val="18"/>
                <w:szCs w:val="18"/>
                <w:lang w:val="fr-FR" w:eastAsia="en-GB"/>
              </w:rPr>
              <w:t>“Tout pour l’Emploi dans les TPE et PME”</w:t>
            </w:r>
          </w:p>
        </w:tc>
      </w:tr>
      <w:tr w:rsidR="00E37FC0" w:rsidRPr="003A71CF" w14:paraId="036EE830"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00" w:type="pct"/>
            <w:tcBorders>
              <w:top w:val="single" w:sz="6" w:space="0" w:color="000000" w:themeColor="text1"/>
              <w:right w:val="nil"/>
            </w:tcBorders>
            <w:shd w:val="clear" w:color="auto" w:fill="auto"/>
            <w:hideMark/>
          </w:tcPr>
          <w:p w14:paraId="49EC4811" w14:textId="77777777" w:rsidR="00E37FC0" w:rsidRPr="00607232" w:rsidRDefault="00E37FC0" w:rsidP="00BF5F60">
            <w:pPr>
              <w:spacing w:before="60" w:after="60"/>
              <w:contextualSpacing/>
              <w:jc w:val="center"/>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1</w:t>
            </w:r>
          </w:p>
          <w:p w14:paraId="08959656"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Aumentar el empleo en las PYME</w:t>
            </w:r>
          </w:p>
        </w:tc>
        <w:tc>
          <w:tcPr>
            <w:tcW w:w="2500" w:type="pct"/>
            <w:tcBorders>
              <w:top w:val="single" w:sz="6" w:space="0" w:color="000000" w:themeColor="text1"/>
              <w:right w:val="nil"/>
            </w:tcBorders>
            <w:shd w:val="clear" w:color="auto" w:fill="auto"/>
            <w:noWrap/>
            <w:hideMark/>
          </w:tcPr>
          <w:p w14:paraId="6DB512C4" w14:textId="77777777" w:rsidR="00E37FC0" w:rsidRPr="00607232"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 2</w:t>
            </w:r>
          </w:p>
          <w:p w14:paraId="569DEBE1"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Contribuir al desarrollo de la actividad empresarial</w:t>
            </w:r>
          </w:p>
        </w:tc>
      </w:tr>
      <w:tr w:rsidR="00E37FC0" w:rsidRPr="003A71CF" w14:paraId="6F98187F"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right w:val="nil"/>
            </w:tcBorders>
            <w:shd w:val="clear" w:color="auto" w:fill="auto"/>
            <w:noWrap/>
            <w:hideMark/>
          </w:tcPr>
          <w:p w14:paraId="50CE3DEC" w14:textId="77777777" w:rsidR="00E37FC0" w:rsidRPr="00607232" w:rsidRDefault="00E37FC0" w:rsidP="00BF5F60">
            <w:pPr>
              <w:spacing w:before="60" w:after="60"/>
              <w:contextualSpacing/>
              <w:jc w:val="center"/>
              <w:rPr>
                <w:rFonts w:ascii="Century Gothic" w:hAnsi="Century Gothic" w:cs="Arial"/>
                <w:color w:val="000000"/>
                <w:sz w:val="18"/>
                <w:szCs w:val="18"/>
                <w:lang w:val="es-ES" w:eastAsia="nl-BE"/>
              </w:rPr>
            </w:pPr>
            <w:r w:rsidRPr="00607232">
              <w:rPr>
                <w:rFonts w:ascii="Century Gothic" w:eastAsia="Times New Roman" w:hAnsi="Century Gothic" w:cs="Arial"/>
                <w:b/>
                <w:bCs/>
                <w:color w:val="000000"/>
                <w:sz w:val="18"/>
                <w:szCs w:val="18"/>
                <w:lang w:val="es-ES" w:eastAsia="nl-BE"/>
              </w:rPr>
              <w:t>Punto</w:t>
            </w:r>
            <w:r>
              <w:rPr>
                <w:rFonts w:ascii="Century Gothic" w:hAnsi="Century Gothic" w:cs="Arial"/>
                <w:b/>
                <w:bCs/>
                <w:color w:val="000000"/>
                <w:sz w:val="18"/>
                <w:szCs w:val="18"/>
                <w:lang w:val="es-ES"/>
              </w:rPr>
              <w:t xml:space="preserve"> 3</w:t>
            </w:r>
          </w:p>
          <w:p w14:paraId="132A6153"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Facilitar la creación y la recuperación de las PYME</w:t>
            </w:r>
          </w:p>
        </w:tc>
        <w:tc>
          <w:tcPr>
            <w:tcW w:w="2500" w:type="pct"/>
            <w:tcBorders>
              <w:top w:val="nil"/>
              <w:bottom w:val="single" w:sz="4" w:space="0" w:color="auto"/>
              <w:right w:val="nil"/>
            </w:tcBorders>
            <w:shd w:val="clear" w:color="auto" w:fill="auto"/>
            <w:noWrap/>
            <w:hideMark/>
          </w:tcPr>
          <w:p w14:paraId="5BE477C8" w14:textId="77777777" w:rsidR="00E37FC0" w:rsidRPr="00607232"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eastAsia="nl-BE"/>
              </w:rPr>
            </w:pPr>
            <w:r>
              <w:rPr>
                <w:rFonts w:ascii="Century Gothic" w:eastAsia="Times New Roman" w:hAnsi="Century Gothic" w:cs="Arial"/>
                <w:b/>
                <w:bCs/>
                <w:color w:val="000000"/>
                <w:sz w:val="18"/>
                <w:szCs w:val="18"/>
                <w:lang w:val="es-ES" w:eastAsia="nl-BE"/>
              </w:rPr>
              <w:t>Punto 4</w:t>
            </w:r>
          </w:p>
          <w:p w14:paraId="66D40A32"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Agilizar los trámites burocráticos para las PYME</w:t>
            </w:r>
          </w:p>
        </w:tc>
      </w:tr>
      <w:tr w:rsidR="00E37FC0" w:rsidRPr="003A71CF" w14:paraId="056BEE3D" w14:textId="77777777" w:rsidTr="00BF5F6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right w:val="nil"/>
            </w:tcBorders>
            <w:shd w:val="clear" w:color="auto" w:fill="auto"/>
            <w:noWrap/>
            <w:vAlign w:val="center"/>
          </w:tcPr>
          <w:p w14:paraId="38F0B566" w14:textId="77777777" w:rsidR="00E37FC0" w:rsidRPr="003511C3" w:rsidRDefault="00E37FC0" w:rsidP="00BF5F60">
            <w:pPr>
              <w:spacing w:afterLines="240" w:after="576"/>
              <w:contextualSpacing/>
              <w:rPr>
                <w:rFonts w:ascii="Century Gothic" w:hAnsi="Century Gothic" w:cs="Arial"/>
                <w:i/>
                <w:sz w:val="16"/>
                <w:szCs w:val="18"/>
                <w:lang w:val="es-ES" w:eastAsia="en-GB"/>
              </w:rPr>
            </w:pPr>
          </w:p>
        </w:tc>
      </w:tr>
    </w:tbl>
    <w:p w14:paraId="189F4805" w14:textId="76464AEC" w:rsidR="00E37FC0" w:rsidRDefault="00E37FC0" w:rsidP="00E37FC0">
      <w:pPr>
        <w:pStyle w:val="Body"/>
        <w:jc w:val="center"/>
      </w:pPr>
    </w:p>
    <w:p w14:paraId="319AA196" w14:textId="77777777" w:rsidR="00E37FC0" w:rsidRDefault="00E37FC0" w:rsidP="00E37FC0">
      <w:pPr>
        <w:pStyle w:val="Body"/>
        <w:rPr>
          <w:b/>
        </w:rPr>
      </w:pPr>
      <w:r w:rsidRPr="00C23611">
        <w:rPr>
          <w:b/>
        </w:rPr>
        <w:lastRenderedPageBreak/>
        <w:t>Otras iniciativas</w:t>
      </w:r>
    </w:p>
    <w:p w14:paraId="1435D30F" w14:textId="457CB5DA" w:rsidR="00E37FC0" w:rsidRPr="00C23611" w:rsidRDefault="00E37FC0" w:rsidP="00DB0F5A">
      <w:pPr>
        <w:pStyle w:val="Body"/>
        <w:numPr>
          <w:ilvl w:val="0"/>
          <w:numId w:val="34"/>
        </w:numPr>
      </w:pPr>
      <w:r>
        <w:rPr>
          <w:b/>
        </w:rPr>
        <w:t xml:space="preserve">Jeune Entreprise Innovante – JEI: </w:t>
      </w:r>
      <w:r>
        <w:t>El estatuto de Joven Empresa Innovadora fue creado por la ley de finanzas de 2004, y confiere a las PYME de menos de 8 años que invierten al menos el 15% de su presupuesto en I+D+i un</w:t>
      </w:r>
      <w:r w:rsidR="00F1147F">
        <w:t xml:space="preserve">a serie de ventajas, como son: </w:t>
      </w:r>
    </w:p>
    <w:p w14:paraId="6FEE9893" w14:textId="6B5DA294" w:rsidR="00E37FC0" w:rsidRPr="00C23611" w:rsidRDefault="00E37FC0" w:rsidP="00DB0F5A">
      <w:pPr>
        <w:pStyle w:val="Body"/>
        <w:numPr>
          <w:ilvl w:val="1"/>
          <w:numId w:val="34"/>
        </w:numPr>
      </w:pPr>
      <w:r w:rsidRPr="00C23611">
        <w:t>Exoneración del impuesto sobre los beneficios y del impuesto sobre las plusvalías de las acciones cedidas a los socios de las JEI</w:t>
      </w:r>
      <w:r w:rsidR="00F1147F">
        <w:t>.</w:t>
      </w:r>
    </w:p>
    <w:p w14:paraId="2F602D19" w14:textId="77777777" w:rsidR="00E37FC0" w:rsidRDefault="00E37FC0" w:rsidP="00DB0F5A">
      <w:pPr>
        <w:pStyle w:val="Body"/>
        <w:numPr>
          <w:ilvl w:val="1"/>
          <w:numId w:val="34"/>
        </w:numPr>
      </w:pPr>
      <w:r w:rsidRPr="00C23611">
        <w:t>Reducción de las cotizaciones sociales a cargo de la empresa sobre los salarios de los empleados dedicados a la investigación y la innovación</w:t>
      </w:r>
      <w:r>
        <w:t xml:space="preserve">. </w:t>
      </w:r>
    </w:p>
    <w:p w14:paraId="17AEEEED" w14:textId="77777777" w:rsidR="00E37FC0" w:rsidRDefault="00E37FC0" w:rsidP="00E37FC0">
      <w:pPr>
        <w:pStyle w:val="Body"/>
        <w:ind w:left="720"/>
      </w:pPr>
      <w:r>
        <w:t>En 2015 fueron 3.500 empresas las que se beneficiaron de esta medida, sobre todo en los sectores digitales y científicos.</w:t>
      </w:r>
      <w:r w:rsidRPr="00C23611">
        <w:t xml:space="preserve"> </w:t>
      </w:r>
    </w:p>
    <w:p w14:paraId="2D10C195" w14:textId="77777777" w:rsidR="00E37FC0" w:rsidRDefault="00E37FC0" w:rsidP="00DB0F5A">
      <w:pPr>
        <w:pStyle w:val="Body"/>
        <w:numPr>
          <w:ilvl w:val="0"/>
          <w:numId w:val="34"/>
        </w:numPr>
      </w:pPr>
      <w:r w:rsidRPr="00510D42">
        <w:rPr>
          <w:b/>
        </w:rPr>
        <w:t>Ley del artesanado, comercio y las microempresas</w:t>
      </w:r>
      <w:r>
        <w:t xml:space="preserve"> (</w:t>
      </w:r>
      <w:r w:rsidRPr="00510D42">
        <w:t xml:space="preserve">La </w:t>
      </w:r>
      <w:r w:rsidRPr="00510D42">
        <w:rPr>
          <w:i/>
        </w:rPr>
        <w:t>loi artisanat, commerce et très petites entreprises</w:t>
      </w:r>
      <w:r>
        <w:t>) de 2014 tenía como objetivo</w:t>
      </w:r>
      <w:r w:rsidRPr="00510D42">
        <w:t xml:space="preserve"> apoyar </w:t>
      </w:r>
      <w:r>
        <w:t>la oferta comercial y artesanal</w:t>
      </w:r>
      <w:r w:rsidRPr="00510D42">
        <w:t xml:space="preserve"> en el territorio francés, promoviendo el desarrollo de las pequeñas empresas</w:t>
      </w:r>
      <w:r>
        <w:t>. En materia de PYME, la ley busca:</w:t>
      </w:r>
    </w:p>
    <w:p w14:paraId="76DF2F8B" w14:textId="77777777" w:rsidR="00E37FC0" w:rsidRDefault="00E37FC0" w:rsidP="00DB0F5A">
      <w:pPr>
        <w:pStyle w:val="Body"/>
        <w:numPr>
          <w:ilvl w:val="1"/>
          <w:numId w:val="34"/>
        </w:numPr>
      </w:pPr>
      <w:r>
        <w:t>Simplificar las obligaciones administrativas para las PYES</w:t>
      </w:r>
    </w:p>
    <w:p w14:paraId="6B2FCD19" w14:textId="77777777" w:rsidR="00E37FC0" w:rsidRDefault="00E37FC0" w:rsidP="00DB0F5A">
      <w:pPr>
        <w:pStyle w:val="Body"/>
        <w:numPr>
          <w:ilvl w:val="1"/>
          <w:numId w:val="34"/>
        </w:numPr>
      </w:pPr>
      <w:r>
        <w:t>Fortalecer el apoyo a los empresarios</w:t>
      </w:r>
    </w:p>
    <w:p w14:paraId="23DC1D9D" w14:textId="77777777" w:rsidR="00E37FC0" w:rsidRDefault="00E37FC0" w:rsidP="00DB0F5A">
      <w:pPr>
        <w:pStyle w:val="Body"/>
        <w:numPr>
          <w:ilvl w:val="1"/>
          <w:numId w:val="34"/>
        </w:numPr>
      </w:pPr>
      <w:r>
        <w:t>Crear una vía de crecimiento para apoyar la creación, el desarrollo y la sostenibilidad de las PYME.</w:t>
      </w:r>
    </w:p>
    <w:p w14:paraId="4E68C84E" w14:textId="77777777" w:rsidR="00E37FC0" w:rsidRDefault="00E37FC0" w:rsidP="00E37FC0">
      <w:pPr>
        <w:pStyle w:val="Body"/>
        <w:ind w:left="720"/>
      </w:pPr>
      <w:r>
        <w:t>Para ello:</w:t>
      </w:r>
    </w:p>
    <w:p w14:paraId="24D941FD" w14:textId="77777777" w:rsidR="00E37FC0" w:rsidRDefault="00E37FC0" w:rsidP="00DB0F5A">
      <w:pPr>
        <w:pStyle w:val="Body"/>
        <w:numPr>
          <w:ilvl w:val="1"/>
          <w:numId w:val="34"/>
        </w:numPr>
      </w:pPr>
      <w:r>
        <w:t>Crea el régimen único de micro-empresa</w:t>
      </w:r>
    </w:p>
    <w:p w14:paraId="3DC53EBB" w14:textId="77777777" w:rsidR="00E37FC0" w:rsidRDefault="00E37FC0" w:rsidP="00DB0F5A">
      <w:pPr>
        <w:pStyle w:val="Body"/>
        <w:numPr>
          <w:ilvl w:val="1"/>
          <w:numId w:val="34"/>
        </w:numPr>
      </w:pPr>
      <w:r w:rsidRPr="0079565F">
        <w:t>Combina los regímenes de micro-social y micro-impuesto en un solo régimen simplificado para las mi</w:t>
      </w:r>
      <w:r>
        <w:t>croempresas y fortalece el acompañamiento</w:t>
      </w:r>
      <w:r w:rsidRPr="0079565F">
        <w:t xml:space="preserve"> a este tipo de empresas individuales.</w:t>
      </w:r>
    </w:p>
    <w:p w14:paraId="53047223" w14:textId="77777777" w:rsidR="00E37FC0" w:rsidRDefault="00E37FC0" w:rsidP="00DB0F5A">
      <w:pPr>
        <w:pStyle w:val="Body"/>
        <w:numPr>
          <w:ilvl w:val="1"/>
          <w:numId w:val="34"/>
        </w:numPr>
      </w:pPr>
      <w:r>
        <w:t>F</w:t>
      </w:r>
      <w:r w:rsidRPr="0079565F">
        <w:t xml:space="preserve">acilita el acceso al </w:t>
      </w:r>
      <w:r>
        <w:t>régimen de empresario individual de responsabilidad limitada</w:t>
      </w:r>
      <w:r w:rsidRPr="0079565F">
        <w:t xml:space="preserve"> (EIRL)</w:t>
      </w:r>
    </w:p>
    <w:p w14:paraId="6C9B7943" w14:textId="0312AC66" w:rsidR="00E37FC0" w:rsidRDefault="00E37FC0" w:rsidP="00DB0F5A">
      <w:pPr>
        <w:pStyle w:val="Body"/>
        <w:numPr>
          <w:ilvl w:val="1"/>
          <w:numId w:val="35"/>
        </w:numPr>
        <w:ind w:left="851"/>
        <w:rPr>
          <w:b/>
        </w:rPr>
      </w:pPr>
      <w:r>
        <w:rPr>
          <w:b/>
        </w:rPr>
        <w:t xml:space="preserve">Bpifrance </w:t>
      </w:r>
      <w:r w:rsidRPr="00E71162">
        <w:t>(Banca Pública de Inversión) se creó en 2012 con el objetivo de dinamizar y hacer más competitiva la economía francesa. Desde entonces, ha jugado un papel clave en el apoyo a la financiación y el desarrollo de las</w:t>
      </w:r>
      <w:r>
        <w:t xml:space="preserve"> PYME </w:t>
      </w:r>
      <w:r w:rsidRPr="00E71162">
        <w:t>francesas.</w:t>
      </w:r>
      <w:r>
        <w:rPr>
          <w:b/>
        </w:rPr>
        <w:t xml:space="preserve"> </w:t>
      </w:r>
      <w:r w:rsidRPr="00E71162">
        <w:t xml:space="preserve">Además, </w:t>
      </w:r>
      <w:r w:rsidRPr="00E71162">
        <w:rPr>
          <w:b/>
        </w:rPr>
        <w:t>Bpifrance Le Lab</w:t>
      </w:r>
      <w:r w:rsidRPr="00E71162">
        <w:t xml:space="preserve"> persigue dos misiones principales: generar y revalorizar el conocimiento sobre las</w:t>
      </w:r>
      <w:r>
        <w:t xml:space="preserve"> PYME </w:t>
      </w:r>
      <w:r w:rsidRPr="00E71162">
        <w:t xml:space="preserve">y crear un espacio de intercambio y de debate entre académicos, emprendedores y </w:t>
      </w:r>
      <w:r w:rsidR="006868C9" w:rsidRPr="00E71162">
        <w:t>gestores públicos</w:t>
      </w:r>
      <w:r w:rsidRPr="00E71162">
        <w:t xml:space="preserve"> en materia de</w:t>
      </w:r>
      <w:r>
        <w:t xml:space="preserve"> PYME</w:t>
      </w:r>
      <w:r w:rsidRPr="00E71162">
        <w:t>.</w:t>
      </w:r>
      <w:r>
        <w:rPr>
          <w:b/>
        </w:rPr>
        <w:t xml:space="preserve"> </w:t>
      </w:r>
    </w:p>
    <w:p w14:paraId="2387E34C" w14:textId="77777777" w:rsidR="00E37FC0" w:rsidRPr="00244ABF" w:rsidRDefault="00E37FC0" w:rsidP="00DB0F5A">
      <w:pPr>
        <w:pStyle w:val="Body"/>
        <w:numPr>
          <w:ilvl w:val="1"/>
          <w:numId w:val="35"/>
        </w:numPr>
        <w:ind w:left="851"/>
        <w:rPr>
          <w:b/>
        </w:rPr>
      </w:pPr>
      <w:r>
        <w:rPr>
          <w:b/>
        </w:rPr>
        <w:t>Transition Numérique</w:t>
      </w:r>
      <w:r w:rsidRPr="00580114">
        <w:t>: el programa lanzado por el gobierno en 2012 para ayudar a las</w:t>
      </w:r>
      <w:r>
        <w:t xml:space="preserve"> PYME </w:t>
      </w:r>
      <w:r w:rsidRPr="00580114">
        <w:t>a adquirir nuevos usos digitales e integrar estas tecnologías para mejorar su competitividad.</w:t>
      </w:r>
    </w:p>
    <w:p w14:paraId="5F2AD546" w14:textId="77777777" w:rsidR="00D333F8" w:rsidRDefault="00D333F8">
      <w:pPr>
        <w:spacing w:after="0"/>
        <w:jc w:val="left"/>
        <w:rPr>
          <w:rFonts w:ascii="Century Gothic" w:hAnsi="Century Gothic"/>
          <w:color w:val="003399"/>
          <w:sz w:val="22"/>
          <w:lang w:val="es-ES"/>
        </w:rPr>
      </w:pPr>
      <w:r w:rsidRPr="003A3B50">
        <w:rPr>
          <w:lang w:val="es-ES"/>
        </w:rPr>
        <w:br w:type="page"/>
      </w:r>
    </w:p>
    <w:p w14:paraId="1D4E9EF9" w14:textId="569CF9DF" w:rsidR="00E37FC0" w:rsidRDefault="00E37FC0" w:rsidP="00DB0F5A">
      <w:pPr>
        <w:pStyle w:val="Ttulo3"/>
        <w:numPr>
          <w:ilvl w:val="1"/>
          <w:numId w:val="28"/>
        </w:numPr>
      </w:pPr>
      <w:bookmarkStart w:id="13" w:name="_Toc523847355"/>
      <w:bookmarkStart w:id="14" w:name="_Toc525300093"/>
      <w:bookmarkStart w:id="15" w:name="_Toc526423225"/>
      <w:r>
        <w:lastRenderedPageBreak/>
        <w:t>Reino Unido</w:t>
      </w:r>
      <w:bookmarkEnd w:id="13"/>
      <w:bookmarkEnd w:id="14"/>
      <w:bookmarkEnd w:id="15"/>
    </w:p>
    <w:tbl>
      <w:tblPr>
        <w:tblStyle w:val="DocumentTable1"/>
        <w:tblW w:w="5000" w:type="pct"/>
        <w:tblLayout w:type="fixed"/>
        <w:tblLook w:val="04A0" w:firstRow="1" w:lastRow="0" w:firstColumn="1" w:lastColumn="0" w:noHBand="0" w:noVBand="1"/>
      </w:tblPr>
      <w:tblGrid>
        <w:gridCol w:w="4645"/>
        <w:gridCol w:w="4642"/>
      </w:tblGrid>
      <w:tr w:rsidR="00E37FC0" w:rsidRPr="003A71CF" w14:paraId="0C10C3B4" w14:textId="77777777" w:rsidTr="00BF5F60">
        <w:tc>
          <w:tcPr>
            <w:tcW w:w="2501" w:type="pct"/>
            <w:tcBorders>
              <w:top w:val="nil"/>
              <w:left w:val="single" w:sz="24" w:space="0" w:color="003399"/>
              <w:bottom w:val="nil"/>
            </w:tcBorders>
            <w:shd w:val="clear" w:color="auto" w:fill="auto"/>
            <w:vAlign w:val="center"/>
          </w:tcPr>
          <w:p w14:paraId="6C3588A7" w14:textId="77777777" w:rsidR="00E37FC0" w:rsidRPr="00340226" w:rsidRDefault="00E37FC0" w:rsidP="00BF5F60">
            <w:pPr>
              <w:pStyle w:val="Body"/>
              <w:spacing w:before="60" w:after="60"/>
              <w:jc w:val="left"/>
              <w:rPr>
                <w:b/>
                <w:sz w:val="18"/>
                <w:szCs w:val="18"/>
              </w:rPr>
            </w:pPr>
            <w:r w:rsidRPr="00340226">
              <w:rPr>
                <w:b/>
                <w:sz w:val="18"/>
                <w:szCs w:val="18"/>
              </w:rPr>
              <w:t>Organismo competente en política de</w:t>
            </w:r>
            <w:r>
              <w:rPr>
                <w:b/>
                <w:sz w:val="18"/>
                <w:szCs w:val="18"/>
              </w:rPr>
              <w:t xml:space="preserve"> PYME</w:t>
            </w:r>
            <w:r w:rsidRPr="00340226">
              <w:rPr>
                <w:b/>
                <w:sz w:val="18"/>
                <w:szCs w:val="18"/>
              </w:rPr>
              <w:t>:</w:t>
            </w:r>
          </w:p>
        </w:tc>
        <w:tc>
          <w:tcPr>
            <w:tcW w:w="2499" w:type="pct"/>
            <w:tcBorders>
              <w:top w:val="nil"/>
              <w:bottom w:val="nil"/>
              <w:right w:val="nil"/>
            </w:tcBorders>
            <w:vAlign w:val="center"/>
          </w:tcPr>
          <w:p w14:paraId="5CC85279" w14:textId="77777777" w:rsidR="00E37FC0" w:rsidRPr="00340226" w:rsidRDefault="00E37FC0" w:rsidP="00BF5F60">
            <w:pPr>
              <w:pStyle w:val="Body"/>
              <w:spacing w:before="60" w:after="60"/>
              <w:jc w:val="left"/>
              <w:rPr>
                <w:sz w:val="18"/>
                <w:szCs w:val="18"/>
              </w:rPr>
            </w:pPr>
            <w:r w:rsidRPr="00A243FA">
              <w:rPr>
                <w:sz w:val="18"/>
                <w:szCs w:val="18"/>
              </w:rPr>
              <w:t xml:space="preserve">Departamento de </w:t>
            </w:r>
            <w:r>
              <w:rPr>
                <w:sz w:val="18"/>
                <w:szCs w:val="18"/>
              </w:rPr>
              <w:t>Empresas</w:t>
            </w:r>
            <w:r w:rsidRPr="00A243FA">
              <w:rPr>
                <w:sz w:val="18"/>
                <w:szCs w:val="18"/>
              </w:rPr>
              <w:t>, Energía y Estrategia Industrial</w:t>
            </w:r>
          </w:p>
        </w:tc>
      </w:tr>
      <w:tr w:rsidR="00E37FC0" w:rsidRPr="003A71CF" w14:paraId="67D3B2FB" w14:textId="77777777" w:rsidTr="00BF5F60">
        <w:tc>
          <w:tcPr>
            <w:tcW w:w="2501" w:type="pct"/>
            <w:tcBorders>
              <w:top w:val="nil"/>
              <w:left w:val="single" w:sz="24" w:space="0" w:color="003399"/>
              <w:bottom w:val="nil"/>
            </w:tcBorders>
            <w:shd w:val="clear" w:color="auto" w:fill="auto"/>
            <w:vAlign w:val="center"/>
          </w:tcPr>
          <w:p w14:paraId="7A307866" w14:textId="77777777" w:rsidR="00E37FC0" w:rsidRPr="00340226" w:rsidRDefault="00E37FC0" w:rsidP="00BF5F60">
            <w:pPr>
              <w:pStyle w:val="Body"/>
              <w:spacing w:before="60" w:after="60"/>
              <w:jc w:val="left"/>
              <w:rPr>
                <w:b/>
                <w:sz w:val="18"/>
                <w:szCs w:val="18"/>
              </w:rPr>
            </w:pPr>
            <w:r w:rsidRPr="00340226">
              <w:rPr>
                <w:b/>
                <w:sz w:val="18"/>
                <w:szCs w:val="18"/>
              </w:rPr>
              <w:t>Página web:</w:t>
            </w:r>
          </w:p>
        </w:tc>
        <w:tc>
          <w:tcPr>
            <w:tcW w:w="2499" w:type="pct"/>
            <w:tcBorders>
              <w:top w:val="nil"/>
              <w:bottom w:val="nil"/>
              <w:right w:val="nil"/>
            </w:tcBorders>
            <w:vAlign w:val="center"/>
          </w:tcPr>
          <w:p w14:paraId="3087E11C" w14:textId="77777777" w:rsidR="00E37FC0" w:rsidRPr="00340226" w:rsidRDefault="00E37FC0" w:rsidP="00BF5F60">
            <w:pPr>
              <w:pStyle w:val="Body"/>
              <w:spacing w:before="60" w:after="60"/>
              <w:jc w:val="left"/>
              <w:rPr>
                <w:sz w:val="18"/>
                <w:szCs w:val="18"/>
              </w:rPr>
            </w:pPr>
            <w:r w:rsidRPr="00A243FA">
              <w:rPr>
                <w:sz w:val="18"/>
                <w:szCs w:val="18"/>
              </w:rPr>
              <w:t>https://www.gov.uk/government/organisations/department-for-business-energy-and-industrial-strategy</w:t>
            </w:r>
          </w:p>
        </w:tc>
      </w:tr>
    </w:tbl>
    <w:p w14:paraId="3F862FC9" w14:textId="77777777" w:rsidR="00E37FC0" w:rsidRDefault="00E37FC0" w:rsidP="00E37FC0">
      <w:pPr>
        <w:pStyle w:val="Body"/>
      </w:pPr>
    </w:p>
    <w:p w14:paraId="19E3FB61" w14:textId="086A8107" w:rsidR="00E37FC0" w:rsidRDefault="00E37FC0" w:rsidP="00E37FC0">
      <w:pPr>
        <w:pStyle w:val="Body"/>
      </w:pPr>
      <w:r>
        <w:rPr>
          <w:noProof/>
          <w:lang w:eastAsia="es-ES"/>
        </w:rPr>
        <w:drawing>
          <wp:anchor distT="0" distB="0" distL="114300" distR="114300" simplePos="0" relativeHeight="251659264" behindDoc="0" locked="0" layoutInCell="1" allowOverlap="1" wp14:anchorId="21A8EDAC" wp14:editId="56292E54">
            <wp:simplePos x="0" y="0"/>
            <wp:positionH relativeFrom="column">
              <wp:posOffset>47625</wp:posOffset>
            </wp:positionH>
            <wp:positionV relativeFrom="margin">
              <wp:posOffset>1478280</wp:posOffset>
            </wp:positionV>
            <wp:extent cx="1403985" cy="1996440"/>
            <wp:effectExtent l="38100" t="38100" r="100965" b="99060"/>
            <wp:wrapSquare wrapText="bothSides"/>
            <wp:docPr id="222218" name="Imagen 22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03985" cy="19964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 xml:space="preserve">El Ministerio de Competencias y Empresa lanzó en 2013 su programa de acción para las PYME – “Small Business, Great Ambition: Government´s comitment to making it easier for small business grow”. Este programa se realizó con el objetivo de promover la creación y crecimiento de nuevas empresas en Reino Unido. </w:t>
      </w:r>
    </w:p>
    <w:p w14:paraId="5A2F650B" w14:textId="43B0F475" w:rsidR="00E37FC0" w:rsidRDefault="00E37FC0" w:rsidP="00E37FC0">
      <w:pPr>
        <w:pStyle w:val="Body"/>
      </w:pPr>
      <w:r>
        <w:t>Este plan de acción trata de facilitar y promover la mejora de la situación de las PYME en 6 ámbitos clave (Financiación, Contratación, Nuevas Ideas, Entrada a nuevos mercados, Asesoramiento y Práctica del negocio). En el plan se definieron una serie de medidas para cada uno de los ámbitos, con el fin de mejorar la situación</w:t>
      </w:r>
      <w:r w:rsidR="00F1147F">
        <w:t xml:space="preserve"> de la PYME</w:t>
      </w:r>
      <w:r>
        <w:t>.</w:t>
      </w:r>
    </w:p>
    <w:p w14:paraId="674448A9" w14:textId="77777777" w:rsidR="00E37FC0" w:rsidRDefault="00E37FC0" w:rsidP="00E37FC0">
      <w:pPr>
        <w:pStyle w:val="Body"/>
      </w:pPr>
    </w:p>
    <w:tbl>
      <w:tblPr>
        <w:tblStyle w:val="Listamedia2"/>
        <w:tblW w:w="5000" w:type="pct"/>
        <w:tblLayout w:type="fixed"/>
        <w:tblCellMar>
          <w:top w:w="108" w:type="dxa"/>
          <w:bottom w:w="108" w:type="dxa"/>
        </w:tblCellMar>
        <w:tblLook w:val="04A0" w:firstRow="1" w:lastRow="0" w:firstColumn="1" w:lastColumn="0" w:noHBand="0" w:noVBand="1"/>
      </w:tblPr>
      <w:tblGrid>
        <w:gridCol w:w="4643"/>
        <w:gridCol w:w="4644"/>
      </w:tblGrid>
      <w:tr w:rsidR="00E37FC0" w:rsidRPr="007C7B55" w14:paraId="5B8E6C20" w14:textId="77777777" w:rsidTr="00BF5F60">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24" w:space="0" w:color="FFCC00"/>
              <w:bottom w:val="single" w:sz="6" w:space="0" w:color="000000" w:themeColor="text1"/>
            </w:tcBorders>
            <w:shd w:val="clear" w:color="auto" w:fill="auto"/>
            <w:vAlign w:val="center"/>
            <w:hideMark/>
          </w:tcPr>
          <w:p w14:paraId="41A46A4A" w14:textId="77777777" w:rsidR="00E37FC0" w:rsidRPr="00607232" w:rsidRDefault="00E37FC0" w:rsidP="00BF5F60">
            <w:pPr>
              <w:spacing w:before="60" w:after="60"/>
              <w:contextualSpacing/>
              <w:jc w:val="center"/>
              <w:rPr>
                <w:rFonts w:ascii="Arial" w:hAnsi="Arial" w:cs="Arial"/>
                <w:color w:val="000000"/>
                <w:sz w:val="18"/>
                <w:szCs w:val="18"/>
                <w:lang w:val="en-US"/>
              </w:rPr>
            </w:pPr>
            <w:r w:rsidRPr="00607232">
              <w:rPr>
                <w:rFonts w:ascii="Century Gothic" w:hAnsi="Century Gothic" w:cs="Arial"/>
                <w:b/>
                <w:bCs/>
                <w:color w:val="333333"/>
                <w:sz w:val="18"/>
                <w:szCs w:val="18"/>
                <w:lang w:val="en-US" w:eastAsia="en-GB"/>
              </w:rPr>
              <w:t>“</w:t>
            </w:r>
            <w:r>
              <w:rPr>
                <w:rFonts w:ascii="Century Gothic" w:hAnsi="Century Gothic" w:cs="Arial"/>
                <w:b/>
                <w:bCs/>
                <w:color w:val="333333"/>
                <w:sz w:val="18"/>
                <w:szCs w:val="18"/>
                <w:lang w:val="en-US" w:eastAsia="en-GB"/>
              </w:rPr>
              <w:t>Small Business: GREAT Ambition”</w:t>
            </w:r>
          </w:p>
        </w:tc>
      </w:tr>
      <w:tr w:rsidR="00E37FC0" w:rsidRPr="00607232" w14:paraId="4F857ECE"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00" w:type="pct"/>
            <w:tcBorders>
              <w:top w:val="single" w:sz="6" w:space="0" w:color="000000" w:themeColor="text1"/>
              <w:right w:val="nil"/>
            </w:tcBorders>
            <w:shd w:val="clear" w:color="auto" w:fill="auto"/>
            <w:hideMark/>
          </w:tcPr>
          <w:p w14:paraId="01D70043" w14:textId="77777777" w:rsidR="00E37FC0" w:rsidRPr="00607232" w:rsidRDefault="00E37FC0" w:rsidP="00BF5F60">
            <w:pPr>
              <w:spacing w:before="60" w:after="60"/>
              <w:contextualSpacing/>
              <w:jc w:val="center"/>
              <w:rPr>
                <w:rFonts w:ascii="Century Gothic" w:hAnsi="Century Gothic" w:cs="Arial"/>
                <w:color w:val="000000"/>
                <w:sz w:val="18"/>
                <w:szCs w:val="18"/>
                <w:lang w:val="es-ES"/>
              </w:rPr>
            </w:pPr>
            <w:r w:rsidRPr="00607232">
              <w:rPr>
                <w:rFonts w:ascii="Century Gothic" w:hAnsi="Century Gothic" w:cs="Arial"/>
                <w:b/>
                <w:bCs/>
                <w:color w:val="000000"/>
                <w:sz w:val="18"/>
                <w:szCs w:val="18"/>
                <w:lang w:val="es-ES"/>
              </w:rPr>
              <w:t>Punto 1</w:t>
            </w:r>
          </w:p>
          <w:p w14:paraId="3031CEC0"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Facilitar la financiación para el crecimiento de los negocios</w:t>
            </w:r>
          </w:p>
        </w:tc>
        <w:tc>
          <w:tcPr>
            <w:tcW w:w="2500" w:type="pct"/>
            <w:tcBorders>
              <w:top w:val="single" w:sz="6" w:space="0" w:color="000000" w:themeColor="text1"/>
              <w:right w:val="nil"/>
            </w:tcBorders>
            <w:shd w:val="clear" w:color="auto" w:fill="auto"/>
            <w:noWrap/>
            <w:hideMark/>
          </w:tcPr>
          <w:p w14:paraId="01D56F60" w14:textId="77777777" w:rsidR="00E37FC0" w:rsidRPr="00607232"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0607232">
              <w:rPr>
                <w:rFonts w:ascii="Century Gothic" w:hAnsi="Century Gothic" w:cs="Arial"/>
                <w:b/>
                <w:bCs/>
                <w:color w:val="000000"/>
                <w:sz w:val="18"/>
                <w:szCs w:val="18"/>
                <w:lang w:val="es-ES"/>
              </w:rPr>
              <w:t>Punto 2</w:t>
            </w:r>
          </w:p>
          <w:p w14:paraId="741E7543"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Fomentar la contratación</w:t>
            </w:r>
          </w:p>
        </w:tc>
      </w:tr>
      <w:tr w:rsidR="00E37FC0" w:rsidRPr="00BB5008" w14:paraId="10EEF0C0" w14:textId="77777777" w:rsidTr="00BF5F60">
        <w:trPr>
          <w:trHeight w:val="250"/>
        </w:trPr>
        <w:tc>
          <w:tcPr>
            <w:cnfStyle w:val="001000000000" w:firstRow="0" w:lastRow="0" w:firstColumn="1" w:lastColumn="0" w:oddVBand="0" w:evenVBand="0" w:oddHBand="0" w:evenHBand="0" w:firstRowFirstColumn="0" w:firstRowLastColumn="0" w:lastRowFirstColumn="0" w:lastRowLastColumn="0"/>
            <w:tcW w:w="2500" w:type="pct"/>
            <w:tcBorders>
              <w:right w:val="nil"/>
            </w:tcBorders>
            <w:shd w:val="clear" w:color="auto" w:fill="auto"/>
          </w:tcPr>
          <w:p w14:paraId="4F5E9228" w14:textId="77777777" w:rsidR="00E37FC0" w:rsidRPr="00607232" w:rsidRDefault="00E37FC0" w:rsidP="00BF5F60">
            <w:pPr>
              <w:spacing w:before="60" w:after="60"/>
              <w:contextualSpacing/>
              <w:jc w:val="center"/>
              <w:rPr>
                <w:rFonts w:ascii="Century Gothic" w:hAnsi="Century Gothic" w:cs="Arial"/>
                <w:color w:val="000000"/>
                <w:sz w:val="18"/>
                <w:szCs w:val="18"/>
                <w:lang w:val="es-ES"/>
              </w:rPr>
            </w:pPr>
            <w:r w:rsidRPr="00607232">
              <w:rPr>
                <w:rFonts w:ascii="Century Gothic" w:hAnsi="Century Gothic" w:cs="Arial"/>
                <w:b/>
                <w:bCs/>
                <w:color w:val="000000"/>
                <w:sz w:val="18"/>
                <w:szCs w:val="18"/>
                <w:lang w:val="es-ES"/>
              </w:rPr>
              <w:t>Punto</w:t>
            </w:r>
            <w:r>
              <w:rPr>
                <w:rFonts w:ascii="Century Gothic" w:hAnsi="Century Gothic" w:cs="Arial"/>
                <w:b/>
                <w:bCs/>
                <w:color w:val="000000"/>
                <w:sz w:val="18"/>
                <w:szCs w:val="18"/>
                <w:lang w:val="es-ES"/>
              </w:rPr>
              <w:t xml:space="preserve"> 3</w:t>
            </w:r>
          </w:p>
          <w:p w14:paraId="7A19E2E4"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Facilitar el desarrollo de nuevas ideas y productos</w:t>
            </w:r>
          </w:p>
        </w:tc>
        <w:tc>
          <w:tcPr>
            <w:tcW w:w="2500" w:type="pct"/>
            <w:tcBorders>
              <w:top w:val="nil"/>
              <w:bottom w:val="nil"/>
              <w:right w:val="nil"/>
            </w:tcBorders>
            <w:shd w:val="clear" w:color="auto" w:fill="auto"/>
            <w:noWrap/>
          </w:tcPr>
          <w:p w14:paraId="4E224747" w14:textId="77777777" w:rsidR="00E37FC0" w:rsidRPr="00607232"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b/>
                <w:bCs/>
                <w:color w:val="000000"/>
                <w:sz w:val="18"/>
                <w:szCs w:val="18"/>
                <w:lang w:val="es-ES"/>
              </w:rPr>
              <w:t>Punto 4</w:t>
            </w:r>
          </w:p>
          <w:p w14:paraId="141551C7" w14:textId="77777777" w:rsidR="00E37FC0" w:rsidRPr="00340226" w:rsidRDefault="00E37FC0" w:rsidP="00BF5F6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Facilitar el acceso a nuevos mercados</w:t>
            </w:r>
          </w:p>
        </w:tc>
      </w:tr>
      <w:tr w:rsidR="00E37FC0" w:rsidRPr="00BB5008" w14:paraId="68F852E8" w14:textId="77777777" w:rsidTr="00BF5F6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00" w:type="pct"/>
            <w:tcBorders>
              <w:bottom w:val="single" w:sz="4" w:space="0" w:color="auto"/>
              <w:right w:val="nil"/>
            </w:tcBorders>
            <w:shd w:val="clear" w:color="auto" w:fill="auto"/>
            <w:noWrap/>
            <w:hideMark/>
          </w:tcPr>
          <w:p w14:paraId="3996A4BB" w14:textId="77777777" w:rsidR="00E37FC0" w:rsidRPr="00607232" w:rsidRDefault="00E37FC0" w:rsidP="00BF5F60">
            <w:pPr>
              <w:spacing w:before="60" w:after="60"/>
              <w:contextualSpacing/>
              <w:jc w:val="center"/>
              <w:rPr>
                <w:rFonts w:ascii="Century Gothic" w:hAnsi="Century Gothic" w:cs="Arial"/>
                <w:color w:val="000000"/>
                <w:sz w:val="18"/>
                <w:szCs w:val="18"/>
                <w:lang w:val="es-ES"/>
              </w:rPr>
            </w:pPr>
            <w:r w:rsidRPr="00607232">
              <w:rPr>
                <w:rFonts w:ascii="Century Gothic" w:hAnsi="Century Gothic" w:cs="Arial"/>
                <w:b/>
                <w:bCs/>
                <w:color w:val="000000"/>
                <w:sz w:val="18"/>
                <w:szCs w:val="18"/>
                <w:lang w:val="es-ES"/>
              </w:rPr>
              <w:t>Punto</w:t>
            </w:r>
            <w:r>
              <w:rPr>
                <w:rFonts w:ascii="Century Gothic" w:hAnsi="Century Gothic" w:cs="Arial"/>
                <w:b/>
                <w:bCs/>
                <w:color w:val="000000"/>
                <w:sz w:val="18"/>
                <w:szCs w:val="18"/>
                <w:lang w:val="es-ES"/>
              </w:rPr>
              <w:t xml:space="preserve"> 5</w:t>
            </w:r>
          </w:p>
          <w:p w14:paraId="633A6F80" w14:textId="77777777" w:rsidR="00E37FC0" w:rsidRPr="003511C3" w:rsidRDefault="00E37FC0" w:rsidP="00BF5F60">
            <w:pPr>
              <w:spacing w:before="60" w:after="60"/>
              <w:contextualSpacing/>
              <w:jc w:val="center"/>
              <w:rPr>
                <w:rFonts w:ascii="Century Gothic" w:hAnsi="Century Gothic" w:cs="Arial"/>
                <w:color w:val="000000"/>
                <w:sz w:val="18"/>
                <w:szCs w:val="18"/>
                <w:lang w:val="es-ES"/>
              </w:rPr>
            </w:pPr>
            <w:r>
              <w:rPr>
                <w:rFonts w:ascii="Century Gothic" w:hAnsi="Century Gothic" w:cs="Arial"/>
                <w:color w:val="000000"/>
                <w:sz w:val="18"/>
                <w:szCs w:val="18"/>
                <w:lang w:val="es-ES"/>
              </w:rPr>
              <w:t>Facilitar el apoyo necesario en el momento adecuado</w:t>
            </w:r>
          </w:p>
        </w:tc>
        <w:tc>
          <w:tcPr>
            <w:tcW w:w="2500" w:type="pct"/>
            <w:tcBorders>
              <w:bottom w:val="single" w:sz="4" w:space="0" w:color="auto"/>
              <w:right w:val="nil"/>
            </w:tcBorders>
            <w:shd w:val="clear" w:color="auto" w:fill="auto"/>
            <w:noWrap/>
            <w:hideMark/>
          </w:tcPr>
          <w:p w14:paraId="53D46BF9" w14:textId="77777777" w:rsidR="00E37FC0" w:rsidRPr="00607232"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b/>
                <w:bCs/>
                <w:color w:val="000000"/>
                <w:sz w:val="18"/>
                <w:szCs w:val="18"/>
                <w:lang w:val="es-ES"/>
              </w:rPr>
              <w:t>Punto 6</w:t>
            </w:r>
          </w:p>
          <w:p w14:paraId="173F0D92" w14:textId="77777777" w:rsidR="00E37FC0" w:rsidRPr="00340226" w:rsidRDefault="00E37FC0" w:rsidP="00BF5F6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Pr>
                <w:rFonts w:ascii="Century Gothic" w:hAnsi="Century Gothic" w:cs="Arial"/>
                <w:color w:val="000000"/>
                <w:sz w:val="18"/>
                <w:szCs w:val="18"/>
                <w:lang w:val="es-ES"/>
              </w:rPr>
              <w:t>Facilitar la práctica del negocio</w:t>
            </w:r>
          </w:p>
        </w:tc>
      </w:tr>
      <w:tr w:rsidR="00E37FC0" w:rsidRPr="00BB5008" w14:paraId="7F4DA5A3" w14:textId="77777777" w:rsidTr="00BF5F60">
        <w:trPr>
          <w:trHeight w:val="21"/>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right w:val="nil"/>
            </w:tcBorders>
            <w:shd w:val="clear" w:color="auto" w:fill="auto"/>
            <w:noWrap/>
            <w:vAlign w:val="center"/>
          </w:tcPr>
          <w:p w14:paraId="19918951" w14:textId="77777777" w:rsidR="00E37FC0" w:rsidRPr="003511C3" w:rsidRDefault="00E37FC0" w:rsidP="00BF5F60">
            <w:pPr>
              <w:spacing w:afterLines="240" w:after="576"/>
              <w:contextualSpacing/>
              <w:rPr>
                <w:rFonts w:ascii="Century Gothic" w:hAnsi="Century Gothic" w:cs="Arial"/>
                <w:i/>
                <w:sz w:val="16"/>
                <w:szCs w:val="18"/>
                <w:lang w:val="es-ES" w:eastAsia="en-GB"/>
              </w:rPr>
            </w:pPr>
          </w:p>
        </w:tc>
      </w:tr>
    </w:tbl>
    <w:p w14:paraId="60D86DC7" w14:textId="77777777" w:rsidR="00E37FC0" w:rsidRDefault="00E37FC0" w:rsidP="00E37FC0">
      <w:pPr>
        <w:spacing w:after="0"/>
        <w:jc w:val="left"/>
        <w:rPr>
          <w:rFonts w:ascii="Arial" w:hAnsi="Arial"/>
          <w:sz w:val="22"/>
          <w:lang w:val="es-ES"/>
        </w:rPr>
      </w:pPr>
      <w:r w:rsidRPr="003911FA">
        <w:rPr>
          <w:lang w:val="es-ES"/>
        </w:rPr>
        <w:br w:type="page"/>
      </w:r>
    </w:p>
    <w:p w14:paraId="69F84607" w14:textId="1FA44859" w:rsidR="00E37FC0" w:rsidRDefault="00E37FC0" w:rsidP="00DB0F5A">
      <w:pPr>
        <w:pStyle w:val="Ttulo3"/>
        <w:numPr>
          <w:ilvl w:val="1"/>
          <w:numId w:val="28"/>
        </w:numPr>
      </w:pPr>
      <w:bookmarkStart w:id="16" w:name="_Toc523847356"/>
      <w:bookmarkStart w:id="17" w:name="_Toc525300094"/>
      <w:bookmarkStart w:id="18" w:name="_Toc526423226"/>
      <w:r w:rsidRPr="00922B27">
        <w:lastRenderedPageBreak/>
        <w:t>Italia</w:t>
      </w:r>
      <w:bookmarkEnd w:id="16"/>
      <w:bookmarkEnd w:id="17"/>
      <w:bookmarkEnd w:id="18"/>
    </w:p>
    <w:tbl>
      <w:tblPr>
        <w:tblStyle w:val="DocumentTable1"/>
        <w:tblW w:w="5000" w:type="pct"/>
        <w:tblLayout w:type="fixed"/>
        <w:tblLook w:val="04A0" w:firstRow="1" w:lastRow="0" w:firstColumn="1" w:lastColumn="0" w:noHBand="0" w:noVBand="1"/>
      </w:tblPr>
      <w:tblGrid>
        <w:gridCol w:w="4361"/>
        <w:gridCol w:w="4926"/>
      </w:tblGrid>
      <w:tr w:rsidR="00E37FC0" w:rsidRPr="00BB5008" w14:paraId="18A2E7C6" w14:textId="77777777" w:rsidTr="00F1147F">
        <w:tc>
          <w:tcPr>
            <w:tcW w:w="2348" w:type="pct"/>
            <w:tcBorders>
              <w:top w:val="nil"/>
              <w:left w:val="single" w:sz="24" w:space="0" w:color="003399"/>
              <w:bottom w:val="nil"/>
            </w:tcBorders>
            <w:shd w:val="clear" w:color="auto" w:fill="auto"/>
            <w:vAlign w:val="center"/>
          </w:tcPr>
          <w:p w14:paraId="74A37978" w14:textId="77777777" w:rsidR="00E37FC0" w:rsidRPr="00340226" w:rsidRDefault="00E37FC0" w:rsidP="00BF5F60">
            <w:pPr>
              <w:pStyle w:val="Body"/>
              <w:spacing w:before="60" w:after="60"/>
              <w:jc w:val="left"/>
              <w:rPr>
                <w:b/>
                <w:sz w:val="18"/>
                <w:szCs w:val="18"/>
              </w:rPr>
            </w:pPr>
            <w:r w:rsidRPr="00340226">
              <w:rPr>
                <w:b/>
                <w:sz w:val="18"/>
                <w:szCs w:val="18"/>
              </w:rPr>
              <w:t>Organismo competente en política de</w:t>
            </w:r>
            <w:r>
              <w:rPr>
                <w:b/>
                <w:sz w:val="18"/>
                <w:szCs w:val="18"/>
              </w:rPr>
              <w:t xml:space="preserve"> PYME</w:t>
            </w:r>
            <w:r w:rsidRPr="00340226">
              <w:rPr>
                <w:b/>
                <w:sz w:val="18"/>
                <w:szCs w:val="18"/>
              </w:rPr>
              <w:t>:</w:t>
            </w:r>
          </w:p>
        </w:tc>
        <w:tc>
          <w:tcPr>
            <w:tcW w:w="2652" w:type="pct"/>
            <w:tcBorders>
              <w:top w:val="nil"/>
              <w:bottom w:val="nil"/>
              <w:right w:val="nil"/>
            </w:tcBorders>
            <w:vAlign w:val="center"/>
          </w:tcPr>
          <w:p w14:paraId="3E77E542" w14:textId="77777777" w:rsidR="00E37FC0" w:rsidRPr="00340226" w:rsidRDefault="00E37FC0" w:rsidP="00BF5F60">
            <w:pPr>
              <w:pStyle w:val="Body"/>
              <w:spacing w:before="60" w:after="60"/>
              <w:jc w:val="left"/>
              <w:rPr>
                <w:sz w:val="18"/>
                <w:szCs w:val="18"/>
              </w:rPr>
            </w:pPr>
            <w:r>
              <w:rPr>
                <w:sz w:val="18"/>
                <w:szCs w:val="18"/>
              </w:rPr>
              <w:t>DG</w:t>
            </w:r>
            <w:r w:rsidRPr="00A243FA">
              <w:rPr>
                <w:sz w:val="18"/>
                <w:szCs w:val="18"/>
              </w:rPr>
              <w:t xml:space="preserve"> para la Política Industrial, la Competitividad y la </w:t>
            </w:r>
            <w:r>
              <w:rPr>
                <w:sz w:val="18"/>
                <w:szCs w:val="18"/>
              </w:rPr>
              <w:t>PYME</w:t>
            </w:r>
          </w:p>
        </w:tc>
      </w:tr>
      <w:tr w:rsidR="00E37FC0" w:rsidRPr="00BB5008" w14:paraId="082CBAA0" w14:textId="77777777" w:rsidTr="00F1147F">
        <w:tc>
          <w:tcPr>
            <w:tcW w:w="2348" w:type="pct"/>
            <w:tcBorders>
              <w:top w:val="nil"/>
              <w:left w:val="single" w:sz="24" w:space="0" w:color="003399"/>
              <w:bottom w:val="nil"/>
            </w:tcBorders>
            <w:shd w:val="clear" w:color="auto" w:fill="auto"/>
            <w:vAlign w:val="center"/>
          </w:tcPr>
          <w:p w14:paraId="3CA265C1" w14:textId="77777777" w:rsidR="00E37FC0" w:rsidRPr="00340226" w:rsidRDefault="00E37FC0" w:rsidP="00BF5F60">
            <w:pPr>
              <w:pStyle w:val="Body"/>
              <w:spacing w:before="60" w:after="60"/>
              <w:jc w:val="left"/>
              <w:rPr>
                <w:b/>
                <w:sz w:val="18"/>
                <w:szCs w:val="18"/>
              </w:rPr>
            </w:pPr>
            <w:r w:rsidRPr="00340226">
              <w:rPr>
                <w:b/>
                <w:sz w:val="18"/>
                <w:szCs w:val="18"/>
              </w:rPr>
              <w:t>Página web:</w:t>
            </w:r>
          </w:p>
        </w:tc>
        <w:tc>
          <w:tcPr>
            <w:tcW w:w="2652" w:type="pct"/>
            <w:tcBorders>
              <w:top w:val="nil"/>
              <w:bottom w:val="nil"/>
              <w:right w:val="nil"/>
            </w:tcBorders>
            <w:vAlign w:val="center"/>
          </w:tcPr>
          <w:p w14:paraId="3D267A40" w14:textId="77777777" w:rsidR="00E37FC0" w:rsidRPr="00340226" w:rsidRDefault="00E37FC0" w:rsidP="00BF5F60">
            <w:pPr>
              <w:pStyle w:val="Body"/>
              <w:spacing w:before="60" w:after="60"/>
              <w:jc w:val="left"/>
              <w:rPr>
                <w:sz w:val="18"/>
                <w:szCs w:val="18"/>
              </w:rPr>
            </w:pPr>
            <w:r w:rsidRPr="00A243FA">
              <w:rPr>
                <w:sz w:val="18"/>
                <w:szCs w:val="18"/>
              </w:rPr>
              <w:t>http://www.sviluppoeconomico.gov.it/index.php/it/component/organigram/?view=structure&amp;id=13</w:t>
            </w:r>
          </w:p>
        </w:tc>
      </w:tr>
    </w:tbl>
    <w:p w14:paraId="370049A4" w14:textId="77777777" w:rsidR="0093079C" w:rsidRDefault="0093079C" w:rsidP="0093079C">
      <w:pPr>
        <w:pStyle w:val="Body"/>
        <w:spacing w:after="0"/>
      </w:pPr>
    </w:p>
    <w:p w14:paraId="2115F74A" w14:textId="77777777" w:rsidR="00E37FC0" w:rsidRDefault="00E37FC0" w:rsidP="00E37FC0">
      <w:pPr>
        <w:pStyle w:val="Body"/>
      </w:pPr>
      <w:r w:rsidRPr="00A204A2">
        <w:t xml:space="preserve">En los últimos años, Italia ha </w:t>
      </w:r>
      <w:r>
        <w:t>puesto en marcha una serie de acciones en materia de PYME:</w:t>
      </w:r>
    </w:p>
    <w:p w14:paraId="62BC9C23" w14:textId="681581E1" w:rsidR="00E37FC0" w:rsidRDefault="00E37FC0" w:rsidP="00DB0F5A">
      <w:pPr>
        <w:pStyle w:val="Body"/>
        <w:numPr>
          <w:ilvl w:val="0"/>
          <w:numId w:val="32"/>
        </w:numPr>
      </w:pPr>
      <w:r>
        <w:t>Creación, por vía legislativa, del ‘Estatuto de las empresas’ (</w:t>
      </w:r>
      <w:r w:rsidR="006868C9">
        <w:t>noviembre</w:t>
      </w:r>
      <w:r>
        <w:t xml:space="preserve"> de 2011), y del ‘SMEs Standing Committee’, con el objetivo de monitorizar la implementación de la SBA y de proponer iniciativas en apoyo de las PYME.</w:t>
      </w:r>
    </w:p>
    <w:p w14:paraId="78BEC4C7" w14:textId="77777777" w:rsidR="00E37FC0" w:rsidRDefault="00E37FC0" w:rsidP="00DB0F5A">
      <w:pPr>
        <w:pStyle w:val="Body"/>
        <w:numPr>
          <w:ilvl w:val="0"/>
          <w:numId w:val="32"/>
        </w:numPr>
      </w:pPr>
      <w:r>
        <w:t>Elaboración del ‘Regulatory Impact Analysis’ y sus modificaciones, que introdujeron el ‘Test PYME’.</w:t>
      </w:r>
    </w:p>
    <w:p w14:paraId="498FECDF" w14:textId="77777777" w:rsidR="00E37FC0" w:rsidRDefault="00E37FC0" w:rsidP="00E37FC0">
      <w:pPr>
        <w:pStyle w:val="Body"/>
      </w:pPr>
      <w:r>
        <w:t>Aunque estas medidas ya han sido aprobadas, aún no están implementadas completamente.</w:t>
      </w:r>
    </w:p>
    <w:p w14:paraId="317EF41D" w14:textId="3A1E797D" w:rsidR="00E37FC0" w:rsidRDefault="00E37FC0" w:rsidP="00E37FC0">
      <w:pPr>
        <w:pStyle w:val="Body"/>
      </w:pPr>
      <w:r>
        <w:t xml:space="preserve">En </w:t>
      </w:r>
      <w:r w:rsidR="006868C9">
        <w:t>mayo</w:t>
      </w:r>
      <w:r>
        <w:t xml:space="preserve"> de 2015, a través de un decreto ministerial, se aprobó la creación de un nuevo comité (‘</w:t>
      </w:r>
      <w:r w:rsidRPr="00A204A2">
        <w:t>Comitato tecnico per il monitoraggio e la valutazione delle politiche a favore delle start-up e delle PMI innovative</w:t>
      </w:r>
      <w:r>
        <w:t>’), para apoyar la monitorización y evaluación de políticas en favor de las start-ups y las PYME innovadoras. Este comité está presidido por el Ministro de Desarrollo Económico y está compuesto por representantes del instituto nacional de estadística, del sistema nacional de cámaras de comercio y de la autoridad nacional para la vigilancia de los mercados financieros. El Comité tiene un mandato de tres años y su tarea consiste en diseñar directrices para supervisar y evaluar permanentemente las políticas en favor de las start-ups y las PYME innovadoras. También contribuye en la elaboración del informe anual del Ministerio de Desarrollo Económico sobre las start-ups, con especial atención a las PYME innovadoras.</w:t>
      </w:r>
    </w:p>
    <w:p w14:paraId="6E67D2DA" w14:textId="43117CBD" w:rsidR="00E37FC0" w:rsidRDefault="00F1147F" w:rsidP="00E37FC0">
      <w:pPr>
        <w:pStyle w:val="Body"/>
      </w:pPr>
      <w:r w:rsidRPr="00F1147F">
        <w:rPr>
          <w:noProof/>
          <w:lang w:eastAsia="es-ES"/>
        </w:rPr>
        <w:drawing>
          <wp:anchor distT="0" distB="0" distL="114300" distR="114300" simplePos="0" relativeHeight="251660288" behindDoc="1" locked="0" layoutInCell="1" allowOverlap="1" wp14:anchorId="0F20A68B" wp14:editId="04E32B87">
            <wp:simplePos x="0" y="0"/>
            <wp:positionH relativeFrom="column">
              <wp:posOffset>1731451</wp:posOffset>
            </wp:positionH>
            <wp:positionV relativeFrom="paragraph">
              <wp:posOffset>1107357</wp:posOffset>
            </wp:positionV>
            <wp:extent cx="2535359" cy="185265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43327" cy="1858476"/>
                    </a:xfrm>
                    <a:prstGeom prst="rect">
                      <a:avLst/>
                    </a:prstGeom>
                  </pic:spPr>
                </pic:pic>
              </a:graphicData>
            </a:graphic>
            <wp14:sizeRelH relativeFrom="margin">
              <wp14:pctWidth>0</wp14:pctWidth>
            </wp14:sizeRelH>
            <wp14:sizeRelV relativeFrom="margin">
              <wp14:pctHeight>0</wp14:pctHeight>
            </wp14:sizeRelV>
          </wp:anchor>
        </w:drawing>
      </w:r>
      <w:r w:rsidR="00E37FC0">
        <w:t>Italia no tiene definida una estrategia transversal en materia de PYME o un programa de acción como tal. El gobierno italiano guía su actuación en materia de PYME según los principios establecidos por la Small Business Act, y la Dirección General para la Política Industrial, la Competitividad y la Pequeña y Mediana Empresa publica de manera anual un informe de seguimiento y evolución de estos principios en Italia:</w:t>
      </w:r>
    </w:p>
    <w:p w14:paraId="41534D76" w14:textId="77777777" w:rsidR="00E37FC0" w:rsidRDefault="00E37FC0" w:rsidP="00E37FC0">
      <w:pPr>
        <w:spacing w:after="0"/>
        <w:jc w:val="left"/>
        <w:rPr>
          <w:lang w:val="es-ES"/>
        </w:rPr>
        <w:sectPr w:rsidR="00E37FC0" w:rsidSect="004D4E6B">
          <w:headerReference w:type="default" r:id="rId23"/>
          <w:footerReference w:type="default" r:id="rId24"/>
          <w:endnotePr>
            <w:numFmt w:val="decimal"/>
          </w:endnotePr>
          <w:type w:val="continuous"/>
          <w:pgSz w:w="11907" w:h="16840" w:code="9"/>
          <w:pgMar w:top="1952" w:right="1418" w:bottom="1418" w:left="1418" w:header="720" w:footer="589" w:gutter="0"/>
          <w:cols w:space="720"/>
          <w:docGrid w:linePitch="299"/>
        </w:sectPr>
      </w:pPr>
    </w:p>
    <w:p w14:paraId="33CF91D1" w14:textId="77777777" w:rsidR="00E37FC0" w:rsidRPr="00E37FC0" w:rsidRDefault="00E37FC0" w:rsidP="00DB0F5A">
      <w:pPr>
        <w:pStyle w:val="Ttulo3"/>
        <w:numPr>
          <w:ilvl w:val="1"/>
          <w:numId w:val="28"/>
        </w:numPr>
      </w:pPr>
      <w:bookmarkStart w:id="19" w:name="_Toc523847357"/>
      <w:bookmarkStart w:id="20" w:name="_Toc525300095"/>
      <w:bookmarkStart w:id="21" w:name="_Toc526423227"/>
      <w:r w:rsidRPr="00922B27">
        <w:lastRenderedPageBreak/>
        <w:t>Conclusiones</w:t>
      </w:r>
      <w:r w:rsidRPr="00E37FC0">
        <w:t xml:space="preserve"> del análisis internacional</w:t>
      </w:r>
      <w:bookmarkEnd w:id="19"/>
      <w:bookmarkEnd w:id="20"/>
      <w:bookmarkEnd w:id="21"/>
    </w:p>
    <w:tbl>
      <w:tblPr>
        <w:tblStyle w:val="Listamedia2"/>
        <w:tblW w:w="5034" w:type="pct"/>
        <w:jc w:val="center"/>
        <w:tblLayout w:type="fixed"/>
        <w:tblCellMar>
          <w:top w:w="108" w:type="dxa"/>
          <w:bottom w:w="108" w:type="dxa"/>
        </w:tblCellMar>
        <w:tblLook w:val="04A0" w:firstRow="1" w:lastRow="0" w:firstColumn="1" w:lastColumn="0" w:noHBand="0" w:noVBand="1"/>
      </w:tblPr>
      <w:tblGrid>
        <w:gridCol w:w="2302"/>
        <w:gridCol w:w="2878"/>
        <w:gridCol w:w="3768"/>
        <w:gridCol w:w="5340"/>
        <w:gridCol w:w="29"/>
      </w:tblGrid>
      <w:tr w:rsidR="00E37FC0" w:rsidRPr="007C7B55" w14:paraId="22B1F37B" w14:textId="77777777" w:rsidTr="00C90F2D">
        <w:trPr>
          <w:gridAfter w:val="1"/>
          <w:cnfStyle w:val="100000000000" w:firstRow="1" w:lastRow="0" w:firstColumn="0" w:lastColumn="0" w:oddVBand="0" w:evenVBand="0" w:oddHBand="0" w:evenHBand="0" w:firstRowFirstColumn="0" w:firstRowLastColumn="0" w:lastRowFirstColumn="0" w:lastRowLastColumn="0"/>
          <w:wAfter w:w="10" w:type="pct"/>
          <w:cantSplit/>
          <w:trHeight w:val="104"/>
          <w:tblHeader/>
          <w:jc w:val="center"/>
        </w:trPr>
        <w:tc>
          <w:tcPr>
            <w:cnfStyle w:val="001000000100" w:firstRow="0" w:lastRow="0" w:firstColumn="1" w:lastColumn="0" w:oddVBand="0" w:evenVBand="0" w:oddHBand="0" w:evenHBand="0" w:firstRowFirstColumn="1" w:firstRowLastColumn="0" w:lastRowFirstColumn="0" w:lastRowLastColumn="0"/>
            <w:tcW w:w="4990" w:type="pct"/>
            <w:gridSpan w:val="4"/>
            <w:tcBorders>
              <w:bottom w:val="single" w:sz="24" w:space="0" w:color="FFCC00"/>
            </w:tcBorders>
          </w:tcPr>
          <w:p w14:paraId="3D19D29F" w14:textId="77777777" w:rsidR="00E37FC0" w:rsidRPr="007C7B55" w:rsidRDefault="00E37FC0" w:rsidP="00BF5F60">
            <w:pPr>
              <w:spacing w:afterLines="240" w:after="576"/>
              <w:contextualSpacing/>
              <w:jc w:val="center"/>
              <w:rPr>
                <w:rFonts w:ascii="Century Gothic" w:hAnsi="Century Gothic" w:cs="Arial"/>
                <w:b/>
                <w:bCs/>
                <w:color w:val="333333"/>
                <w:sz w:val="18"/>
                <w:szCs w:val="18"/>
                <w:lang w:val="es-ES" w:eastAsia="en-GB"/>
              </w:rPr>
            </w:pPr>
            <w:r w:rsidRPr="008803DD">
              <w:rPr>
                <w:rFonts w:ascii="Century Gothic" w:hAnsi="Century Gothic" w:cs="Arial"/>
                <w:b/>
                <w:bCs/>
                <w:color w:val="333333"/>
                <w:sz w:val="18"/>
                <w:szCs w:val="18"/>
                <w:lang w:val="es-ES" w:eastAsia="en-GB"/>
              </w:rPr>
              <w:t>Análisis de políticas internacionales</w:t>
            </w:r>
          </w:p>
        </w:tc>
      </w:tr>
      <w:tr w:rsidR="00C90F2D" w:rsidRPr="000B43CE" w14:paraId="04A6E6BA" w14:textId="77777777" w:rsidTr="0083035C">
        <w:trPr>
          <w:cnfStyle w:val="100000000000" w:firstRow="1" w:lastRow="0" w:firstColumn="0" w:lastColumn="0" w:oddVBand="0" w:evenVBand="0" w:oddHBand="0" w:evenHBand="0" w:firstRowFirstColumn="0" w:firstRowLastColumn="0" w:lastRowFirstColumn="0" w:lastRowLastColumn="0"/>
          <w:cantSplit/>
          <w:trHeight w:val="250"/>
          <w:tblHeader/>
          <w:jc w:val="center"/>
        </w:trPr>
        <w:tc>
          <w:tcPr>
            <w:cnfStyle w:val="001000000100" w:firstRow="0" w:lastRow="0" w:firstColumn="1" w:lastColumn="0" w:oddVBand="0" w:evenVBand="0" w:oddHBand="0" w:evenHBand="0" w:firstRowFirstColumn="1" w:firstRowLastColumn="0" w:lastRowFirstColumn="0" w:lastRowLastColumn="0"/>
            <w:tcW w:w="804" w:type="pct"/>
            <w:tcBorders>
              <w:bottom w:val="single" w:sz="4" w:space="0" w:color="auto"/>
            </w:tcBorders>
            <w:vAlign w:val="center"/>
          </w:tcPr>
          <w:p w14:paraId="1FD687BB" w14:textId="77777777" w:rsidR="00C90F2D" w:rsidRPr="007C7B55" w:rsidRDefault="00C90F2D" w:rsidP="00BF5F60">
            <w:pPr>
              <w:spacing w:afterLines="240" w:after="576"/>
              <w:contextualSpacing/>
              <w:jc w:val="center"/>
              <w:rPr>
                <w:rFonts w:ascii="Century Gothic" w:hAnsi="Century Gothic" w:cs="Arial"/>
                <w:b/>
                <w:bCs/>
                <w:color w:val="333333"/>
                <w:sz w:val="18"/>
                <w:szCs w:val="18"/>
                <w:lang w:val="es-ES" w:eastAsia="en-GB"/>
              </w:rPr>
            </w:pPr>
          </w:p>
        </w:tc>
        <w:tc>
          <w:tcPr>
            <w:tcW w:w="1005" w:type="pct"/>
            <w:tcBorders>
              <w:bottom w:val="single" w:sz="4" w:space="0" w:color="auto"/>
            </w:tcBorders>
            <w:shd w:val="clear" w:color="auto" w:fill="auto"/>
            <w:vAlign w:val="center"/>
          </w:tcPr>
          <w:p w14:paraId="0421E6CE" w14:textId="77777777" w:rsidR="00C90F2D" w:rsidRPr="000B43CE" w:rsidRDefault="00C90F2D" w:rsidP="00BF5F60">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color w:val="333333"/>
                <w:sz w:val="16"/>
                <w:szCs w:val="18"/>
                <w:lang w:val="es-ES" w:eastAsia="en-GB"/>
              </w:rPr>
            </w:pPr>
            <w:r>
              <w:rPr>
                <w:rFonts w:ascii="Century Gothic" w:hAnsi="Century Gothic" w:cs="Arial"/>
                <w:b/>
                <w:bCs/>
                <w:color w:val="333333"/>
                <w:sz w:val="16"/>
                <w:szCs w:val="18"/>
                <w:lang w:val="es-ES" w:eastAsia="en-GB"/>
              </w:rPr>
              <w:t>Alemania</w:t>
            </w:r>
          </w:p>
        </w:tc>
        <w:tc>
          <w:tcPr>
            <w:tcW w:w="1316" w:type="pct"/>
            <w:tcBorders>
              <w:bottom w:val="single" w:sz="4" w:space="0" w:color="auto"/>
            </w:tcBorders>
            <w:shd w:val="clear" w:color="auto" w:fill="auto"/>
            <w:vAlign w:val="center"/>
          </w:tcPr>
          <w:p w14:paraId="23A02675" w14:textId="77777777" w:rsidR="00C90F2D" w:rsidRPr="000B43CE" w:rsidRDefault="00C90F2D" w:rsidP="00BF5F60">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color w:val="333333"/>
                <w:sz w:val="16"/>
                <w:szCs w:val="18"/>
                <w:lang w:val="es-ES" w:eastAsia="en-GB"/>
              </w:rPr>
            </w:pPr>
            <w:r>
              <w:rPr>
                <w:rFonts w:ascii="Century Gothic" w:hAnsi="Century Gothic" w:cs="Arial"/>
                <w:b/>
                <w:bCs/>
                <w:color w:val="333333"/>
                <w:sz w:val="16"/>
                <w:szCs w:val="18"/>
                <w:lang w:val="es-ES" w:eastAsia="en-GB"/>
              </w:rPr>
              <w:t>Reino Unido</w:t>
            </w:r>
          </w:p>
        </w:tc>
        <w:tc>
          <w:tcPr>
            <w:tcW w:w="1875" w:type="pct"/>
            <w:gridSpan w:val="2"/>
            <w:tcBorders>
              <w:bottom w:val="single" w:sz="4" w:space="0" w:color="auto"/>
            </w:tcBorders>
            <w:shd w:val="clear" w:color="auto" w:fill="auto"/>
            <w:vAlign w:val="center"/>
          </w:tcPr>
          <w:p w14:paraId="51F02421" w14:textId="77777777" w:rsidR="00C90F2D" w:rsidRPr="000B43CE" w:rsidRDefault="00C90F2D" w:rsidP="00BF5F60">
            <w:pPr>
              <w:spacing w:afterLines="240" w:after="576"/>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bCs/>
                <w:color w:val="333333"/>
                <w:sz w:val="16"/>
                <w:szCs w:val="18"/>
                <w:lang w:val="es-ES" w:eastAsia="en-GB"/>
              </w:rPr>
            </w:pPr>
            <w:r>
              <w:rPr>
                <w:rFonts w:ascii="Century Gothic" w:hAnsi="Century Gothic" w:cs="Arial"/>
                <w:b/>
                <w:bCs/>
                <w:color w:val="333333"/>
                <w:sz w:val="16"/>
                <w:szCs w:val="18"/>
                <w:lang w:val="es-ES" w:eastAsia="en-GB"/>
              </w:rPr>
              <w:t>Francia</w:t>
            </w:r>
          </w:p>
        </w:tc>
      </w:tr>
      <w:tr w:rsidR="00C90F2D" w:rsidRPr="00B52775" w14:paraId="12551ABA" w14:textId="77777777" w:rsidTr="0083035C">
        <w:trPr>
          <w:cnfStyle w:val="000000100000" w:firstRow="0" w:lastRow="0" w:firstColumn="0" w:lastColumn="0" w:oddVBand="0" w:evenVBand="0" w:oddHBand="1" w:evenHBand="0" w:firstRowFirstColumn="0" w:firstRowLastColumn="0" w:lastRowFirstColumn="0" w:lastRowLastColumn="0"/>
          <w:cantSplit/>
          <w:trHeight w:val="250"/>
          <w:jc w:val="center"/>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auto"/>
              <w:bottom w:val="single" w:sz="4" w:space="0" w:color="auto"/>
              <w:right w:val="nil"/>
            </w:tcBorders>
            <w:shd w:val="clear" w:color="auto" w:fill="auto"/>
            <w:vAlign w:val="center"/>
          </w:tcPr>
          <w:p w14:paraId="11EE0DCB" w14:textId="77777777" w:rsidR="00C90F2D" w:rsidRPr="00E90022" w:rsidRDefault="00C90F2D" w:rsidP="00BF5F60">
            <w:pPr>
              <w:spacing w:afterLines="240" w:after="576"/>
              <w:contextualSpacing/>
              <w:jc w:val="center"/>
              <w:rPr>
                <w:rFonts w:ascii="Century Gothic" w:hAnsi="Century Gothic" w:cs="Arial"/>
                <w:b/>
                <w:bCs/>
                <w:color w:val="333333"/>
                <w:sz w:val="16"/>
                <w:szCs w:val="18"/>
                <w:lang w:val="es-ES" w:eastAsia="en-GB"/>
              </w:rPr>
            </w:pPr>
            <w:r w:rsidRPr="00E90022">
              <w:rPr>
                <w:rFonts w:ascii="Century Gothic" w:hAnsi="Century Gothic" w:cs="Arial"/>
                <w:b/>
                <w:bCs/>
                <w:color w:val="333333"/>
                <w:sz w:val="16"/>
                <w:szCs w:val="18"/>
                <w:lang w:val="es-ES" w:eastAsia="en-GB"/>
              </w:rPr>
              <w:t>Financiación</w:t>
            </w:r>
          </w:p>
        </w:tc>
        <w:tc>
          <w:tcPr>
            <w:tcW w:w="1005" w:type="pct"/>
            <w:tcBorders>
              <w:top w:val="single" w:sz="4" w:space="0" w:color="auto"/>
              <w:bottom w:val="single" w:sz="4" w:space="0" w:color="auto"/>
            </w:tcBorders>
            <w:shd w:val="clear" w:color="auto" w:fill="auto"/>
            <w:noWrap/>
            <w:vAlign w:val="center"/>
          </w:tcPr>
          <w:p w14:paraId="7493DC44" w14:textId="77777777" w:rsidR="00C90F2D" w:rsidRPr="000B43CE" w:rsidRDefault="00C90F2D" w:rsidP="00BF5F60">
            <w:pPr>
              <w:spacing w:afterLines="240" w:after="576" w:line="276" w:lineRule="auto"/>
              <w:ind w:hanging="15"/>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szCs w:val="18"/>
                <w:lang w:val="es-ES" w:eastAsia="en-GB"/>
              </w:rPr>
            </w:pPr>
            <w:r w:rsidRPr="00AB5B9A">
              <w:rPr>
                <w:rFonts w:ascii="Century Gothic" w:hAnsi="Century Gothic" w:cs="Arial"/>
                <w:bCs/>
                <w:color w:val="333333"/>
                <w:sz w:val="16"/>
                <w:szCs w:val="18"/>
                <w:lang w:val="es-ES" w:eastAsia="en-GB"/>
              </w:rPr>
              <w:t>2. Reforzar la financiación de las start-ups y asegurar su acceso a la financiación bancaria</w:t>
            </w:r>
          </w:p>
        </w:tc>
        <w:tc>
          <w:tcPr>
            <w:tcW w:w="1316" w:type="pct"/>
            <w:tcBorders>
              <w:top w:val="single" w:sz="4" w:space="0" w:color="auto"/>
              <w:bottom w:val="single" w:sz="4" w:space="0" w:color="auto"/>
            </w:tcBorders>
            <w:shd w:val="clear" w:color="auto" w:fill="auto"/>
            <w:noWrap/>
            <w:vAlign w:val="center"/>
          </w:tcPr>
          <w:p w14:paraId="67760D65" w14:textId="77777777" w:rsidR="00C90F2D" w:rsidRPr="000B43CE"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AB5B9A">
              <w:rPr>
                <w:rFonts w:ascii="Century Gothic" w:hAnsi="Century Gothic" w:cs="Arial"/>
                <w:bCs/>
                <w:color w:val="333333"/>
                <w:sz w:val="16"/>
                <w:szCs w:val="18"/>
                <w:lang w:val="es-ES" w:eastAsia="en-GB"/>
              </w:rPr>
              <w:t>1. Facilitar la financiación para el crecimiento del negocio</w:t>
            </w:r>
          </w:p>
        </w:tc>
        <w:tc>
          <w:tcPr>
            <w:tcW w:w="1875" w:type="pct"/>
            <w:gridSpan w:val="2"/>
            <w:tcBorders>
              <w:top w:val="single" w:sz="4" w:space="0" w:color="auto"/>
              <w:bottom w:val="single" w:sz="4" w:space="0" w:color="auto"/>
            </w:tcBorders>
            <w:shd w:val="clear" w:color="auto" w:fill="auto"/>
            <w:noWrap/>
            <w:vAlign w:val="center"/>
          </w:tcPr>
          <w:p w14:paraId="36ECBCB9" w14:textId="77777777" w:rsidR="00C90F2D" w:rsidRPr="00AB5B9A"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AB5B9A">
              <w:rPr>
                <w:rFonts w:ascii="Century Gothic" w:hAnsi="Century Gothic" w:cs="Arial"/>
                <w:bCs/>
                <w:color w:val="333333"/>
                <w:sz w:val="16"/>
                <w:szCs w:val="18"/>
                <w:lang w:val="es-ES" w:eastAsia="en-GB"/>
              </w:rPr>
              <w:t>10. Mejorar la situación de tesorería de las</w:t>
            </w:r>
            <w:r>
              <w:rPr>
                <w:rFonts w:ascii="Century Gothic" w:hAnsi="Century Gothic" w:cs="Arial"/>
                <w:bCs/>
                <w:color w:val="333333"/>
                <w:sz w:val="16"/>
                <w:szCs w:val="18"/>
                <w:lang w:val="es-ES" w:eastAsia="en-GB"/>
              </w:rPr>
              <w:t xml:space="preserve"> PYME</w:t>
            </w:r>
          </w:p>
          <w:p w14:paraId="3310E7AA" w14:textId="77777777" w:rsidR="00C90F2D" w:rsidRPr="00AB5B9A"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AB5B9A">
              <w:rPr>
                <w:rFonts w:ascii="Century Gothic" w:hAnsi="Century Gothic" w:cs="Arial"/>
                <w:bCs/>
                <w:color w:val="333333"/>
                <w:sz w:val="16"/>
                <w:szCs w:val="18"/>
                <w:lang w:val="es-ES" w:eastAsia="en-GB"/>
              </w:rPr>
              <w:t>17. Simplificar el acceso a las ayudas públicas</w:t>
            </w:r>
          </w:p>
          <w:p w14:paraId="2A943229" w14:textId="77777777" w:rsidR="00C90F2D" w:rsidRPr="000B43CE" w:rsidRDefault="00C90F2D" w:rsidP="00BF5F60">
            <w:pPr>
              <w:spacing w:afterLines="240" w:after="576" w:line="276" w:lineRule="auto"/>
              <w:contextualSpacing/>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AB5B9A">
              <w:rPr>
                <w:rFonts w:ascii="Century Gothic" w:hAnsi="Century Gothic" w:cs="Arial"/>
                <w:bCs/>
                <w:color w:val="333333"/>
                <w:sz w:val="16"/>
                <w:szCs w:val="18"/>
                <w:lang w:val="es-ES" w:eastAsia="en-GB"/>
              </w:rPr>
              <w:t>Bpifrance</w:t>
            </w:r>
          </w:p>
        </w:tc>
      </w:tr>
      <w:tr w:rsidR="00C90F2D" w:rsidRPr="00BB5008" w14:paraId="6931DB8B" w14:textId="77777777" w:rsidTr="0083035C">
        <w:trPr>
          <w:cantSplit/>
          <w:trHeight w:val="250"/>
          <w:jc w:val="center"/>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auto"/>
              <w:bottom w:val="single" w:sz="4" w:space="0" w:color="auto"/>
              <w:right w:val="nil"/>
            </w:tcBorders>
            <w:shd w:val="clear" w:color="auto" w:fill="auto"/>
            <w:vAlign w:val="center"/>
          </w:tcPr>
          <w:p w14:paraId="65EEFE27" w14:textId="77777777" w:rsidR="00C90F2D" w:rsidRPr="00E90022" w:rsidRDefault="00C90F2D" w:rsidP="00BF5F60">
            <w:pPr>
              <w:spacing w:afterLines="240" w:after="576"/>
              <w:contextualSpacing/>
              <w:jc w:val="center"/>
              <w:rPr>
                <w:rFonts w:ascii="Century Gothic" w:hAnsi="Century Gothic" w:cs="Arial"/>
                <w:b/>
                <w:bCs/>
                <w:color w:val="333333"/>
                <w:sz w:val="16"/>
                <w:szCs w:val="18"/>
                <w:lang w:val="es-ES" w:eastAsia="en-GB"/>
              </w:rPr>
            </w:pPr>
            <w:r w:rsidRPr="00E90022">
              <w:rPr>
                <w:rFonts w:ascii="Century Gothic" w:hAnsi="Century Gothic" w:cs="Arial"/>
                <w:b/>
                <w:bCs/>
                <w:color w:val="333333"/>
                <w:sz w:val="16"/>
                <w:szCs w:val="18"/>
                <w:lang w:val="es-ES" w:eastAsia="en-GB"/>
              </w:rPr>
              <w:t>Internacionalización</w:t>
            </w:r>
          </w:p>
        </w:tc>
        <w:tc>
          <w:tcPr>
            <w:tcW w:w="1005" w:type="pct"/>
            <w:tcBorders>
              <w:top w:val="single" w:sz="4" w:space="0" w:color="auto"/>
              <w:bottom w:val="single" w:sz="4" w:space="0" w:color="auto"/>
            </w:tcBorders>
            <w:shd w:val="clear" w:color="auto" w:fill="auto"/>
            <w:noWrap/>
            <w:vAlign w:val="center"/>
          </w:tcPr>
          <w:p w14:paraId="1C98FAEF" w14:textId="77777777" w:rsidR="00C90F2D" w:rsidRPr="000B43CE"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
                <w:sz w:val="18"/>
                <w:szCs w:val="18"/>
                <w:lang w:val="es-ES" w:eastAsia="en-GB"/>
              </w:rPr>
            </w:pPr>
            <w:r w:rsidRPr="00C92679">
              <w:rPr>
                <w:rFonts w:ascii="Century Gothic" w:hAnsi="Century Gothic" w:cs="Arial"/>
                <w:bCs/>
                <w:color w:val="333333"/>
                <w:sz w:val="16"/>
                <w:szCs w:val="18"/>
                <w:lang w:val="es-ES" w:eastAsia="en-GB"/>
              </w:rPr>
              <w:t>7. Utilización de las oportunidades de la globalización</w:t>
            </w:r>
          </w:p>
        </w:tc>
        <w:tc>
          <w:tcPr>
            <w:tcW w:w="1316" w:type="pct"/>
            <w:tcBorders>
              <w:top w:val="single" w:sz="4" w:space="0" w:color="auto"/>
              <w:bottom w:val="single" w:sz="4" w:space="0" w:color="auto"/>
            </w:tcBorders>
            <w:shd w:val="clear" w:color="auto" w:fill="auto"/>
            <w:noWrap/>
            <w:vAlign w:val="center"/>
          </w:tcPr>
          <w:p w14:paraId="33DF515B" w14:textId="77777777" w:rsidR="00C90F2D" w:rsidRPr="000B43CE"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r w:rsidRPr="00C92679">
              <w:rPr>
                <w:rFonts w:ascii="Century Gothic" w:hAnsi="Century Gothic" w:cs="Arial"/>
                <w:bCs/>
                <w:color w:val="333333"/>
                <w:sz w:val="16"/>
                <w:szCs w:val="18"/>
                <w:lang w:val="es-ES" w:eastAsia="en-GB"/>
              </w:rPr>
              <w:t>4.3. Apoyar y asesorar a las empresas en temas de exportación</w:t>
            </w:r>
          </w:p>
        </w:tc>
        <w:tc>
          <w:tcPr>
            <w:tcW w:w="1875" w:type="pct"/>
            <w:gridSpan w:val="2"/>
            <w:tcBorders>
              <w:top w:val="single" w:sz="4" w:space="0" w:color="auto"/>
              <w:bottom w:val="single" w:sz="4" w:space="0" w:color="auto"/>
            </w:tcBorders>
            <w:shd w:val="clear" w:color="auto" w:fill="auto"/>
            <w:noWrap/>
            <w:vAlign w:val="center"/>
          </w:tcPr>
          <w:p w14:paraId="1940E22F" w14:textId="77777777" w:rsidR="00C90F2D" w:rsidRPr="000B43CE" w:rsidRDefault="00C90F2D" w:rsidP="00BF5F60">
            <w:pPr>
              <w:spacing w:afterLines="240" w:after="576"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eastAsia="en-GB"/>
              </w:rPr>
            </w:pPr>
          </w:p>
        </w:tc>
      </w:tr>
      <w:tr w:rsidR="00C90F2D" w:rsidRPr="00BB5008" w14:paraId="61D093E8" w14:textId="77777777" w:rsidTr="0083035C">
        <w:trPr>
          <w:cnfStyle w:val="000000100000" w:firstRow="0" w:lastRow="0" w:firstColumn="0" w:lastColumn="0" w:oddVBand="0" w:evenVBand="0" w:oddHBand="1" w:evenHBand="0" w:firstRowFirstColumn="0" w:firstRowLastColumn="0" w:lastRowFirstColumn="0" w:lastRowLastColumn="0"/>
          <w:cantSplit/>
          <w:trHeight w:val="250"/>
          <w:jc w:val="center"/>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auto"/>
              <w:bottom w:val="single" w:sz="4" w:space="0" w:color="auto"/>
              <w:right w:val="nil"/>
            </w:tcBorders>
            <w:shd w:val="clear" w:color="auto" w:fill="auto"/>
            <w:vAlign w:val="center"/>
          </w:tcPr>
          <w:p w14:paraId="38C065B9" w14:textId="77777777" w:rsidR="00C90F2D" w:rsidRPr="00E90022" w:rsidRDefault="00C90F2D" w:rsidP="00BF5F60">
            <w:pPr>
              <w:spacing w:afterLines="240" w:after="576"/>
              <w:contextualSpacing/>
              <w:jc w:val="center"/>
              <w:rPr>
                <w:rFonts w:ascii="Century Gothic" w:hAnsi="Century Gothic" w:cs="Arial"/>
                <w:b/>
                <w:bCs/>
                <w:color w:val="333333"/>
                <w:sz w:val="16"/>
                <w:szCs w:val="18"/>
                <w:lang w:val="es-ES" w:eastAsia="en-GB"/>
              </w:rPr>
            </w:pPr>
            <w:r w:rsidRPr="00E90022">
              <w:rPr>
                <w:rFonts w:ascii="Century Gothic" w:hAnsi="Century Gothic" w:cs="Arial"/>
                <w:b/>
                <w:bCs/>
                <w:color w:val="333333"/>
                <w:sz w:val="16"/>
                <w:szCs w:val="18"/>
                <w:lang w:val="es-ES" w:eastAsia="en-GB"/>
              </w:rPr>
              <w:t>Innovación y Digitalización</w:t>
            </w:r>
          </w:p>
        </w:tc>
        <w:tc>
          <w:tcPr>
            <w:tcW w:w="1005" w:type="pct"/>
            <w:tcBorders>
              <w:top w:val="single" w:sz="4" w:space="0" w:color="auto"/>
              <w:bottom w:val="single" w:sz="4" w:space="0" w:color="auto"/>
            </w:tcBorders>
            <w:shd w:val="clear" w:color="auto" w:fill="auto"/>
            <w:noWrap/>
            <w:vAlign w:val="center"/>
          </w:tcPr>
          <w:p w14:paraId="480B3835" w14:textId="77777777" w:rsidR="00C90F2D" w:rsidRPr="00C92679"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C92679">
              <w:rPr>
                <w:rFonts w:ascii="Century Gothic" w:hAnsi="Century Gothic" w:cs="Arial"/>
                <w:bCs/>
                <w:color w:val="333333"/>
                <w:sz w:val="16"/>
                <w:szCs w:val="18"/>
                <w:lang w:val="es-ES" w:eastAsia="en-GB"/>
              </w:rPr>
              <w:t>6. Fortalecer las capacidades en innovación</w:t>
            </w:r>
          </w:p>
          <w:p w14:paraId="71782676" w14:textId="77777777" w:rsidR="00C90F2D" w:rsidRPr="000B43CE"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18"/>
                <w:szCs w:val="18"/>
                <w:lang w:val="es-ES" w:eastAsia="en-GB"/>
              </w:rPr>
            </w:pPr>
            <w:r w:rsidRPr="00C92679">
              <w:rPr>
                <w:rFonts w:ascii="Century Gothic" w:hAnsi="Century Gothic" w:cs="Arial"/>
                <w:bCs/>
                <w:color w:val="333333"/>
                <w:sz w:val="16"/>
                <w:szCs w:val="18"/>
                <w:lang w:val="es-ES" w:eastAsia="en-GB"/>
              </w:rPr>
              <w:t>5. Promover y utilizar las ventajas de la Digitalización</w:t>
            </w:r>
          </w:p>
        </w:tc>
        <w:tc>
          <w:tcPr>
            <w:tcW w:w="1316" w:type="pct"/>
            <w:tcBorders>
              <w:top w:val="single" w:sz="4" w:space="0" w:color="auto"/>
              <w:bottom w:val="single" w:sz="4" w:space="0" w:color="auto"/>
            </w:tcBorders>
            <w:shd w:val="clear" w:color="auto" w:fill="auto"/>
            <w:noWrap/>
            <w:vAlign w:val="center"/>
          </w:tcPr>
          <w:p w14:paraId="29687B93" w14:textId="77777777" w:rsidR="00C90F2D" w:rsidRPr="00C92679"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C92679">
              <w:rPr>
                <w:rFonts w:ascii="Century Gothic" w:hAnsi="Century Gothic" w:cs="Arial"/>
                <w:bCs/>
                <w:color w:val="333333"/>
                <w:sz w:val="16"/>
                <w:szCs w:val="18"/>
                <w:lang w:val="es-ES" w:eastAsia="en-GB"/>
              </w:rPr>
              <w:t>3.1. Apoyar en temas de innovación</w:t>
            </w:r>
          </w:p>
          <w:p w14:paraId="28596FE0" w14:textId="77777777" w:rsidR="00C90F2D" w:rsidRPr="00C92679"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C92679">
              <w:rPr>
                <w:rFonts w:ascii="Century Gothic" w:hAnsi="Century Gothic" w:cs="Arial"/>
                <w:bCs/>
                <w:color w:val="333333"/>
                <w:sz w:val="16"/>
                <w:szCs w:val="18"/>
                <w:lang w:val="es-ES" w:eastAsia="en-GB"/>
              </w:rPr>
              <w:t>3.2. Desgravar los costes de I+D de las</w:t>
            </w:r>
            <w:r>
              <w:rPr>
                <w:rFonts w:ascii="Century Gothic" w:hAnsi="Century Gothic" w:cs="Arial"/>
                <w:bCs/>
                <w:color w:val="333333"/>
                <w:sz w:val="16"/>
                <w:szCs w:val="18"/>
                <w:lang w:val="es-ES" w:eastAsia="en-GB"/>
              </w:rPr>
              <w:t xml:space="preserve"> PYME</w:t>
            </w:r>
          </w:p>
          <w:p w14:paraId="0A25A411" w14:textId="77777777" w:rsidR="00C90F2D" w:rsidRPr="000B43CE"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ES" w:eastAsia="en-GB"/>
              </w:rPr>
            </w:pPr>
            <w:r w:rsidRPr="00C92679">
              <w:rPr>
                <w:rFonts w:ascii="Century Gothic" w:hAnsi="Century Gothic" w:cs="Arial"/>
                <w:bCs/>
                <w:color w:val="333333"/>
                <w:sz w:val="16"/>
                <w:szCs w:val="18"/>
                <w:lang w:val="es-ES" w:eastAsia="en-GB"/>
              </w:rPr>
              <w:t>4.2. Ayudar a las empresas a potenciar su presencia online, con nuevos puntos de acceso a internet más rápidos y proporcionándoles asesoramiento</w:t>
            </w:r>
          </w:p>
        </w:tc>
        <w:tc>
          <w:tcPr>
            <w:tcW w:w="1875" w:type="pct"/>
            <w:gridSpan w:val="2"/>
            <w:tcBorders>
              <w:top w:val="single" w:sz="4" w:space="0" w:color="auto"/>
              <w:bottom w:val="single" w:sz="4" w:space="0" w:color="auto"/>
            </w:tcBorders>
            <w:shd w:val="clear" w:color="auto" w:fill="auto"/>
            <w:noWrap/>
            <w:vAlign w:val="center"/>
          </w:tcPr>
          <w:p w14:paraId="6113E2C9" w14:textId="77777777" w:rsidR="00C90F2D" w:rsidRPr="00EA5DEE"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fr-FR" w:eastAsia="en-GB"/>
              </w:rPr>
            </w:pPr>
            <w:r w:rsidRPr="00EA5DEE">
              <w:rPr>
                <w:rFonts w:ascii="Century Gothic" w:hAnsi="Century Gothic" w:cs="Arial"/>
                <w:bCs/>
                <w:color w:val="333333"/>
                <w:sz w:val="16"/>
                <w:szCs w:val="18"/>
                <w:lang w:val="fr-FR" w:eastAsia="en-GB"/>
              </w:rPr>
              <w:t>Jeune Entreprise Innovante</w:t>
            </w:r>
          </w:p>
          <w:p w14:paraId="52F02537" w14:textId="77777777" w:rsidR="00C90F2D" w:rsidRPr="00EA5DEE"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fr-FR" w:eastAsia="en-GB"/>
              </w:rPr>
            </w:pPr>
            <w:r w:rsidRPr="00EA5DEE">
              <w:rPr>
                <w:rFonts w:ascii="Century Gothic" w:hAnsi="Century Gothic" w:cs="Arial"/>
                <w:bCs/>
                <w:color w:val="333333"/>
                <w:sz w:val="16"/>
                <w:szCs w:val="18"/>
                <w:lang w:val="fr-FR" w:eastAsia="en-GB"/>
              </w:rPr>
              <w:t>Programa ‘Transition Numérique’</w:t>
            </w:r>
          </w:p>
        </w:tc>
      </w:tr>
      <w:tr w:rsidR="00C90F2D" w:rsidRPr="00BB5008" w14:paraId="2A59ECFF" w14:textId="77777777" w:rsidTr="0083035C">
        <w:trPr>
          <w:cantSplit/>
          <w:trHeight w:val="250"/>
          <w:jc w:val="center"/>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auto"/>
              <w:bottom w:val="single" w:sz="4" w:space="0" w:color="auto"/>
              <w:right w:val="nil"/>
            </w:tcBorders>
            <w:shd w:val="clear" w:color="auto" w:fill="auto"/>
            <w:vAlign w:val="center"/>
          </w:tcPr>
          <w:p w14:paraId="19C71ED3" w14:textId="77777777" w:rsidR="00C90F2D" w:rsidRDefault="00C90F2D" w:rsidP="00BF5F60">
            <w:pPr>
              <w:spacing w:afterLines="240" w:after="576"/>
              <w:contextualSpacing/>
              <w:jc w:val="center"/>
              <w:rPr>
                <w:rFonts w:ascii="Century Gothic" w:hAnsi="Century Gothic" w:cs="Arial"/>
                <w:b/>
                <w:bCs/>
                <w:color w:val="333333"/>
                <w:sz w:val="16"/>
                <w:szCs w:val="18"/>
                <w:lang w:val="es-ES" w:eastAsia="en-GB"/>
              </w:rPr>
            </w:pPr>
            <w:r>
              <w:rPr>
                <w:rFonts w:ascii="Century Gothic" w:hAnsi="Century Gothic" w:cs="Arial"/>
                <w:b/>
                <w:bCs/>
                <w:color w:val="333333"/>
                <w:sz w:val="16"/>
                <w:szCs w:val="18"/>
                <w:lang w:val="es-ES" w:eastAsia="en-GB"/>
              </w:rPr>
              <w:t>Emprendimiento</w:t>
            </w:r>
          </w:p>
        </w:tc>
        <w:tc>
          <w:tcPr>
            <w:tcW w:w="1005" w:type="pct"/>
            <w:tcBorders>
              <w:top w:val="single" w:sz="4" w:space="0" w:color="auto"/>
              <w:bottom w:val="single" w:sz="4" w:space="0" w:color="auto"/>
            </w:tcBorders>
            <w:shd w:val="clear" w:color="auto" w:fill="auto"/>
            <w:noWrap/>
            <w:vAlign w:val="center"/>
          </w:tcPr>
          <w:p w14:paraId="06F63B94" w14:textId="77777777" w:rsidR="00C90F2D" w:rsidRPr="00DD3FD2"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1. Promoción Espíritu Empresarial</w:t>
            </w:r>
          </w:p>
          <w:p w14:paraId="2F5855B6" w14:textId="77777777" w:rsidR="00C90F2D" w:rsidRPr="00DD3FD2"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3. Luchar contra la escasez de cualificaciones, integrando refugiados en la formación y el empleo</w:t>
            </w:r>
          </w:p>
        </w:tc>
        <w:tc>
          <w:tcPr>
            <w:tcW w:w="1316" w:type="pct"/>
            <w:tcBorders>
              <w:top w:val="single" w:sz="4" w:space="0" w:color="auto"/>
              <w:bottom w:val="single" w:sz="4" w:space="0" w:color="auto"/>
            </w:tcBorders>
            <w:shd w:val="clear" w:color="auto" w:fill="auto"/>
            <w:noWrap/>
            <w:vAlign w:val="center"/>
          </w:tcPr>
          <w:p w14:paraId="6ADD02C1" w14:textId="77777777" w:rsidR="00C90F2D" w:rsidRPr="00DD3FD2"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p>
        </w:tc>
        <w:tc>
          <w:tcPr>
            <w:tcW w:w="1875" w:type="pct"/>
            <w:gridSpan w:val="2"/>
            <w:tcBorders>
              <w:top w:val="single" w:sz="4" w:space="0" w:color="auto"/>
              <w:bottom w:val="single" w:sz="4" w:space="0" w:color="auto"/>
            </w:tcBorders>
            <w:shd w:val="clear" w:color="auto" w:fill="auto"/>
            <w:noWrap/>
            <w:vAlign w:val="center"/>
          </w:tcPr>
          <w:p w14:paraId="3BBF8593" w14:textId="77777777" w:rsidR="00C90F2D" w:rsidRPr="00DD3FD2"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13. Desarrollar el espíritu empresarial de los solicitantes de empleo y de los jóvenes.</w:t>
            </w:r>
          </w:p>
          <w:p w14:paraId="3D741BC3" w14:textId="77777777" w:rsidR="00C90F2D" w:rsidRPr="00DD3FD2" w:rsidRDefault="00C90F2D" w:rsidP="00BF5F60">
            <w:pPr>
              <w:tabs>
                <w:tab w:val="left" w:pos="7083"/>
              </w:tabs>
              <w:spacing w:beforeLines="60" w:before="144" w:afterLines="60" w:after="144"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p>
        </w:tc>
      </w:tr>
      <w:tr w:rsidR="00C90F2D" w:rsidRPr="00BB5008" w14:paraId="20E2212A" w14:textId="77777777" w:rsidTr="0083035C">
        <w:trPr>
          <w:cnfStyle w:val="000000100000" w:firstRow="0" w:lastRow="0" w:firstColumn="0" w:lastColumn="0" w:oddVBand="0" w:evenVBand="0" w:oddHBand="1" w:evenHBand="0" w:firstRowFirstColumn="0" w:firstRowLastColumn="0" w:lastRowFirstColumn="0" w:lastRowLastColumn="0"/>
          <w:cantSplit/>
          <w:trHeight w:val="250"/>
          <w:jc w:val="center"/>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auto"/>
              <w:bottom w:val="single" w:sz="4" w:space="0" w:color="auto"/>
              <w:right w:val="nil"/>
            </w:tcBorders>
            <w:shd w:val="clear" w:color="auto" w:fill="auto"/>
            <w:vAlign w:val="center"/>
          </w:tcPr>
          <w:p w14:paraId="56E5AE5A" w14:textId="77777777" w:rsidR="00C90F2D" w:rsidRPr="00E90022" w:rsidRDefault="00C90F2D" w:rsidP="00BF5F60">
            <w:pPr>
              <w:spacing w:afterLines="240" w:after="576"/>
              <w:contextualSpacing/>
              <w:jc w:val="center"/>
              <w:rPr>
                <w:rFonts w:ascii="Century Gothic" w:hAnsi="Century Gothic" w:cs="Arial"/>
                <w:b/>
                <w:bCs/>
                <w:color w:val="333333"/>
                <w:sz w:val="16"/>
                <w:szCs w:val="18"/>
                <w:lang w:val="es-ES" w:eastAsia="en-GB"/>
              </w:rPr>
            </w:pPr>
            <w:r>
              <w:rPr>
                <w:rFonts w:ascii="Century Gothic" w:hAnsi="Century Gothic" w:cs="Arial"/>
                <w:b/>
                <w:bCs/>
                <w:color w:val="333333"/>
                <w:sz w:val="16"/>
                <w:szCs w:val="18"/>
                <w:lang w:val="es-ES" w:eastAsia="en-GB"/>
              </w:rPr>
              <w:t>Gestión empresarial y talento</w:t>
            </w:r>
          </w:p>
        </w:tc>
        <w:tc>
          <w:tcPr>
            <w:tcW w:w="1005" w:type="pct"/>
            <w:tcBorders>
              <w:top w:val="single" w:sz="4" w:space="0" w:color="auto"/>
              <w:bottom w:val="single" w:sz="4" w:space="0" w:color="auto"/>
            </w:tcBorders>
            <w:shd w:val="clear" w:color="auto" w:fill="auto"/>
            <w:noWrap/>
            <w:vAlign w:val="center"/>
          </w:tcPr>
          <w:p w14:paraId="445EA9FB" w14:textId="77777777" w:rsidR="00C90F2D" w:rsidRPr="00DD3FD2"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10. Apoyar el desarrollo de oportunidades empresariales derivadas de la transición energética</w:t>
            </w:r>
          </w:p>
        </w:tc>
        <w:tc>
          <w:tcPr>
            <w:tcW w:w="1316" w:type="pct"/>
            <w:tcBorders>
              <w:top w:val="single" w:sz="4" w:space="0" w:color="auto"/>
              <w:bottom w:val="single" w:sz="4" w:space="0" w:color="auto"/>
            </w:tcBorders>
            <w:shd w:val="clear" w:color="auto" w:fill="auto"/>
            <w:noWrap/>
            <w:vAlign w:val="center"/>
          </w:tcPr>
          <w:p w14:paraId="7EABE29D" w14:textId="77777777" w:rsidR="00C90F2D" w:rsidRPr="00DD3FD2" w:rsidRDefault="00C90F2D"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2. Facilitar la contratación</w:t>
            </w:r>
          </w:p>
        </w:tc>
        <w:tc>
          <w:tcPr>
            <w:tcW w:w="1875" w:type="pct"/>
            <w:gridSpan w:val="2"/>
            <w:tcBorders>
              <w:top w:val="single" w:sz="4" w:space="0" w:color="auto"/>
              <w:bottom w:val="single" w:sz="4" w:space="0" w:color="auto"/>
            </w:tcBorders>
            <w:shd w:val="clear" w:color="auto" w:fill="auto"/>
            <w:noWrap/>
            <w:vAlign w:val="center"/>
          </w:tcPr>
          <w:p w14:paraId="23219879" w14:textId="77777777" w:rsidR="00C90F2D" w:rsidRPr="00DD3FD2" w:rsidRDefault="00C90F2D" w:rsidP="00BF5F60">
            <w:pPr>
              <w:tabs>
                <w:tab w:val="left" w:pos="7083"/>
              </w:tabs>
              <w:spacing w:beforeLines="60" w:before="144" w:afterLines="60" w:after="144"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3. Financiar programa de formación prioritaria</w:t>
            </w:r>
          </w:p>
          <w:p w14:paraId="5AE3221D" w14:textId="77777777" w:rsidR="00C90F2D" w:rsidRPr="00DD3FD2" w:rsidRDefault="00C90F2D" w:rsidP="00BF5F60">
            <w:pPr>
              <w:tabs>
                <w:tab w:val="left" w:pos="7083"/>
              </w:tabs>
              <w:spacing w:beforeLines="60" w:before="144" w:afterLines="60" w:after="144"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1. Ayudas iniciales a la contratación</w:t>
            </w:r>
          </w:p>
          <w:p w14:paraId="56A0894D" w14:textId="77777777" w:rsidR="00C90F2D" w:rsidRPr="00DD3FD2" w:rsidRDefault="00C90F2D" w:rsidP="00BF5F60">
            <w:pPr>
              <w:tabs>
                <w:tab w:val="left" w:pos="7083"/>
              </w:tabs>
              <w:spacing w:beforeLines="60" w:before="144" w:afterLines="60" w:after="144"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2. Reforma de los contratos de aprendizaje</w:t>
            </w:r>
          </w:p>
          <w:p w14:paraId="67C035D9" w14:textId="77777777" w:rsidR="00C90F2D" w:rsidRPr="00DD3FD2" w:rsidRDefault="00C90F2D" w:rsidP="00BF5F60">
            <w:pPr>
              <w:tabs>
                <w:tab w:val="left" w:pos="7083"/>
              </w:tabs>
              <w:spacing w:beforeLines="60" w:before="144" w:afterLines="60" w:after="144"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4. Autorizar sólo dos renovaciones de contratos temporales</w:t>
            </w:r>
          </w:p>
          <w:p w14:paraId="53DEAEBB" w14:textId="77777777" w:rsidR="00C90F2D" w:rsidRPr="00DD3FD2" w:rsidRDefault="00C90F2D" w:rsidP="00BF5F60">
            <w:pPr>
              <w:tabs>
                <w:tab w:val="left" w:pos="7083"/>
              </w:tabs>
              <w:spacing w:beforeLines="60" w:before="144" w:afterLines="60" w:after="144"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DD3FD2">
              <w:rPr>
                <w:rFonts w:ascii="Century Gothic" w:hAnsi="Century Gothic" w:cs="Arial"/>
                <w:bCs/>
                <w:color w:val="333333"/>
                <w:sz w:val="16"/>
                <w:szCs w:val="18"/>
                <w:lang w:val="es-ES" w:eastAsia="en-GB"/>
              </w:rPr>
              <w:t xml:space="preserve">6. Favorecer la flexibilidad </w:t>
            </w:r>
            <w:r>
              <w:rPr>
                <w:rFonts w:ascii="Century Gothic" w:hAnsi="Century Gothic" w:cs="Arial"/>
                <w:bCs/>
                <w:color w:val="333333"/>
                <w:sz w:val="16"/>
                <w:szCs w:val="18"/>
                <w:lang w:val="es-ES" w:eastAsia="en-GB"/>
              </w:rPr>
              <w:t>laboral para mantener el empleo</w:t>
            </w:r>
          </w:p>
        </w:tc>
      </w:tr>
      <w:tr w:rsidR="00C90F2D" w:rsidRPr="00BB5008" w14:paraId="1DF3EEB2" w14:textId="77777777" w:rsidTr="0083035C">
        <w:trPr>
          <w:cantSplit/>
          <w:trHeight w:val="250"/>
          <w:jc w:val="center"/>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auto"/>
              <w:bottom w:val="single" w:sz="4" w:space="0" w:color="auto"/>
              <w:right w:val="nil"/>
            </w:tcBorders>
            <w:shd w:val="clear" w:color="auto" w:fill="auto"/>
            <w:vAlign w:val="center"/>
          </w:tcPr>
          <w:p w14:paraId="1E1F0AF2" w14:textId="77777777" w:rsidR="00C90F2D" w:rsidRPr="00E90022" w:rsidRDefault="00C90F2D" w:rsidP="00BF5F60">
            <w:pPr>
              <w:spacing w:afterLines="240" w:after="576"/>
              <w:contextualSpacing/>
              <w:jc w:val="center"/>
              <w:rPr>
                <w:rFonts w:ascii="Century Gothic" w:hAnsi="Century Gothic" w:cs="Arial"/>
                <w:b/>
                <w:bCs/>
                <w:color w:val="333333"/>
                <w:sz w:val="16"/>
                <w:szCs w:val="18"/>
                <w:lang w:val="es-ES" w:eastAsia="en-GB"/>
              </w:rPr>
            </w:pPr>
            <w:r w:rsidRPr="00E90022">
              <w:rPr>
                <w:rFonts w:ascii="Century Gothic" w:hAnsi="Century Gothic" w:cs="Arial"/>
                <w:b/>
                <w:bCs/>
                <w:color w:val="333333"/>
                <w:sz w:val="16"/>
                <w:szCs w:val="18"/>
                <w:lang w:val="es-ES" w:eastAsia="en-GB"/>
              </w:rPr>
              <w:lastRenderedPageBreak/>
              <w:t xml:space="preserve">Marco Regulatorio </w:t>
            </w:r>
          </w:p>
          <w:p w14:paraId="27F3B2B8" w14:textId="14F39D04" w:rsidR="00C90F2D" w:rsidRPr="00E90022" w:rsidRDefault="00C90F2D" w:rsidP="00437E76">
            <w:pPr>
              <w:spacing w:afterLines="240" w:after="576"/>
              <w:contextualSpacing/>
              <w:jc w:val="center"/>
              <w:rPr>
                <w:rFonts w:ascii="Century Gothic" w:hAnsi="Century Gothic" w:cs="Arial"/>
                <w:b/>
                <w:bCs/>
                <w:color w:val="333333"/>
                <w:sz w:val="16"/>
                <w:szCs w:val="18"/>
                <w:lang w:val="es-ES" w:eastAsia="en-GB"/>
              </w:rPr>
            </w:pPr>
          </w:p>
        </w:tc>
        <w:tc>
          <w:tcPr>
            <w:tcW w:w="1005" w:type="pct"/>
            <w:tcBorders>
              <w:top w:val="single" w:sz="4" w:space="0" w:color="auto"/>
              <w:bottom w:val="single" w:sz="4" w:space="0" w:color="auto"/>
            </w:tcBorders>
            <w:shd w:val="clear" w:color="auto" w:fill="auto"/>
            <w:noWrap/>
            <w:vAlign w:val="center"/>
          </w:tcPr>
          <w:p w14:paraId="4B1BF74A" w14:textId="77777777" w:rsidR="00C90F2D" w:rsidRPr="002F48BA"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4. Promover una regulación más favorable para las</w:t>
            </w:r>
            <w:r>
              <w:rPr>
                <w:rFonts w:ascii="Century Gothic" w:hAnsi="Century Gothic" w:cs="Arial"/>
                <w:bCs/>
                <w:color w:val="333333"/>
                <w:sz w:val="16"/>
                <w:szCs w:val="18"/>
                <w:lang w:val="es-ES" w:eastAsia="en-GB"/>
              </w:rPr>
              <w:t xml:space="preserve"> PYME</w:t>
            </w:r>
          </w:p>
        </w:tc>
        <w:tc>
          <w:tcPr>
            <w:tcW w:w="1316" w:type="pct"/>
            <w:tcBorders>
              <w:top w:val="single" w:sz="4" w:space="0" w:color="auto"/>
              <w:bottom w:val="single" w:sz="4" w:space="0" w:color="auto"/>
            </w:tcBorders>
            <w:shd w:val="clear" w:color="auto" w:fill="auto"/>
            <w:noWrap/>
            <w:vAlign w:val="center"/>
          </w:tcPr>
          <w:p w14:paraId="0AEA9F70" w14:textId="77777777" w:rsidR="00C90F2D" w:rsidRDefault="00C90F2D" w:rsidP="00BF5F60">
            <w:pPr>
              <w:spacing w:beforeLines="60" w:before="144" w:afterLines="60" w:after="144"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C92679">
              <w:rPr>
                <w:rFonts w:ascii="Century Gothic" w:hAnsi="Century Gothic" w:cs="Arial"/>
                <w:bCs/>
                <w:color w:val="333333"/>
                <w:sz w:val="16"/>
                <w:szCs w:val="18"/>
                <w:lang w:val="es-ES" w:eastAsia="en-GB"/>
              </w:rPr>
              <w:t>4.1. Fomentar la contratación pública e implantar mejores reformas</w:t>
            </w:r>
          </w:p>
          <w:p w14:paraId="65F33F16" w14:textId="77777777" w:rsidR="00C90F2D" w:rsidRPr="002F48BA" w:rsidRDefault="00C90F2D" w:rsidP="00BF5F60">
            <w:pPr>
              <w:spacing w:beforeLines="60" w:before="144" w:afterLines="60" w:after="144"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6.1. Facilitar el cumplimiento de la regulación</w:t>
            </w:r>
          </w:p>
          <w:p w14:paraId="3FC8200F" w14:textId="77777777" w:rsidR="00C90F2D" w:rsidRPr="002F48BA"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6.2. Simplificar las trabas burocráticas en RU y UE.</w:t>
            </w:r>
          </w:p>
        </w:tc>
        <w:tc>
          <w:tcPr>
            <w:tcW w:w="1875" w:type="pct"/>
            <w:gridSpan w:val="2"/>
            <w:tcBorders>
              <w:top w:val="single" w:sz="4" w:space="0" w:color="auto"/>
              <w:bottom w:val="single" w:sz="4" w:space="0" w:color="auto"/>
            </w:tcBorders>
            <w:shd w:val="clear" w:color="auto" w:fill="auto"/>
            <w:noWrap/>
            <w:vAlign w:val="center"/>
          </w:tcPr>
          <w:p w14:paraId="7B82BCF5" w14:textId="77777777" w:rsidR="00C90F2D"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5. Simplificar y reducir los efectos de los umbrales regulatorios</w:t>
            </w:r>
          </w:p>
          <w:p w14:paraId="6197F737" w14:textId="77777777" w:rsidR="00C90F2D" w:rsidRPr="002F48BA" w:rsidRDefault="00C90F2D"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C92679">
              <w:rPr>
                <w:rFonts w:ascii="Century Gothic" w:hAnsi="Century Gothic" w:cs="Arial"/>
                <w:bCs/>
                <w:color w:val="333333"/>
                <w:sz w:val="16"/>
                <w:szCs w:val="18"/>
                <w:lang w:val="es-ES" w:eastAsia="en-GB"/>
              </w:rPr>
              <w:t>9. Facilitar el acceso a la contratación pública</w:t>
            </w:r>
          </w:p>
        </w:tc>
      </w:tr>
      <w:tr w:rsidR="0083035C" w:rsidRPr="00BB5008" w14:paraId="783D929D" w14:textId="77777777" w:rsidTr="0083035C">
        <w:trPr>
          <w:cnfStyle w:val="000000100000" w:firstRow="0" w:lastRow="0" w:firstColumn="0" w:lastColumn="0" w:oddVBand="0" w:evenVBand="0" w:oddHBand="1" w:evenHBand="0" w:firstRowFirstColumn="0" w:firstRowLastColumn="0" w:lastRowFirstColumn="0" w:lastRowLastColumn="0"/>
          <w:cantSplit/>
          <w:trHeight w:val="250"/>
          <w:jc w:val="center"/>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auto"/>
              <w:bottom w:val="single" w:sz="4" w:space="0" w:color="auto"/>
              <w:right w:val="nil"/>
            </w:tcBorders>
            <w:shd w:val="clear" w:color="auto" w:fill="auto"/>
            <w:vAlign w:val="center"/>
          </w:tcPr>
          <w:p w14:paraId="3218E3DA" w14:textId="77777777" w:rsidR="0083035C" w:rsidRPr="00E90022" w:rsidRDefault="0083035C" w:rsidP="00BF5F60">
            <w:pPr>
              <w:spacing w:afterLines="240" w:after="576"/>
              <w:contextualSpacing/>
              <w:jc w:val="center"/>
              <w:rPr>
                <w:rFonts w:ascii="Century Gothic" w:hAnsi="Century Gothic" w:cs="Arial"/>
                <w:b/>
                <w:bCs/>
                <w:color w:val="333333"/>
                <w:sz w:val="16"/>
                <w:szCs w:val="18"/>
                <w:lang w:val="es-ES" w:eastAsia="en-GB"/>
              </w:rPr>
            </w:pPr>
            <w:r>
              <w:rPr>
                <w:rFonts w:ascii="Century Gothic" w:hAnsi="Century Gothic" w:cs="Arial"/>
                <w:b/>
                <w:bCs/>
                <w:color w:val="333333"/>
                <w:sz w:val="16"/>
                <w:szCs w:val="18"/>
                <w:lang w:val="es-ES" w:eastAsia="en-GB"/>
              </w:rPr>
              <w:t>Sostenibilidad</w:t>
            </w:r>
          </w:p>
        </w:tc>
        <w:tc>
          <w:tcPr>
            <w:tcW w:w="1005" w:type="pct"/>
            <w:tcBorders>
              <w:top w:val="single" w:sz="4" w:space="0" w:color="auto"/>
              <w:bottom w:val="single" w:sz="4" w:space="0" w:color="auto"/>
            </w:tcBorders>
            <w:shd w:val="clear" w:color="auto" w:fill="auto"/>
            <w:noWrap/>
            <w:vAlign w:val="center"/>
          </w:tcPr>
          <w:p w14:paraId="7FE9FD14" w14:textId="77777777" w:rsidR="0083035C" w:rsidRPr="002F48BA" w:rsidRDefault="0083035C" w:rsidP="00BF5F60">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607232">
              <w:rPr>
                <w:rFonts w:ascii="Century Gothic" w:eastAsia="Times New Roman" w:hAnsi="Century Gothic" w:cs="Arial"/>
                <w:color w:val="000000"/>
                <w:sz w:val="18"/>
                <w:szCs w:val="18"/>
                <w:lang w:val="es-ES" w:eastAsia="nl-BE"/>
              </w:rPr>
              <w:t>Apoyar el desarrollo de oportunidades empresariales derivadas de la transición energética</w:t>
            </w:r>
          </w:p>
        </w:tc>
        <w:tc>
          <w:tcPr>
            <w:tcW w:w="1316" w:type="pct"/>
            <w:tcBorders>
              <w:top w:val="single" w:sz="4" w:space="0" w:color="auto"/>
              <w:bottom w:val="single" w:sz="4" w:space="0" w:color="auto"/>
            </w:tcBorders>
            <w:shd w:val="clear" w:color="auto" w:fill="auto"/>
            <w:noWrap/>
            <w:vAlign w:val="center"/>
          </w:tcPr>
          <w:p w14:paraId="4E9EF521" w14:textId="77777777" w:rsidR="0083035C" w:rsidRPr="0083035C" w:rsidRDefault="0083035C" w:rsidP="006E08FD">
            <w:pPr>
              <w:spacing w:beforeLines="60" w:before="144" w:afterLines="60" w:after="144"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83035C">
              <w:rPr>
                <w:rFonts w:ascii="Century Gothic" w:hAnsi="Century Gothic" w:cs="Arial"/>
                <w:bCs/>
                <w:color w:val="333333"/>
                <w:sz w:val="16"/>
                <w:szCs w:val="18"/>
                <w:lang w:val="es-ES" w:eastAsia="en-GB"/>
              </w:rPr>
              <w:t>Ausencia de una política claramente definida.</w:t>
            </w:r>
          </w:p>
        </w:tc>
        <w:tc>
          <w:tcPr>
            <w:tcW w:w="1875" w:type="pct"/>
            <w:gridSpan w:val="2"/>
            <w:tcBorders>
              <w:top w:val="single" w:sz="4" w:space="0" w:color="auto"/>
              <w:bottom w:val="single" w:sz="4" w:space="0" w:color="auto"/>
            </w:tcBorders>
            <w:shd w:val="clear" w:color="auto" w:fill="auto"/>
            <w:noWrap/>
            <w:vAlign w:val="center"/>
          </w:tcPr>
          <w:p w14:paraId="432EDF69" w14:textId="77777777" w:rsidR="0083035C" w:rsidRPr="0083035C" w:rsidRDefault="0083035C" w:rsidP="006E08FD">
            <w:pPr>
              <w:spacing w:afterLines="240" w:after="576" w:line="276" w:lineRule="auto"/>
              <w:contextualSpacing/>
              <w:jc w:val="left"/>
              <w:cnfStyle w:val="000000100000" w:firstRow="0" w:lastRow="0" w:firstColumn="0" w:lastColumn="0" w:oddVBand="0" w:evenVBand="0" w:oddHBand="1" w:evenHBand="0" w:firstRowFirstColumn="0" w:firstRowLastColumn="0" w:lastRowFirstColumn="0" w:lastRowLastColumn="0"/>
              <w:rPr>
                <w:rFonts w:ascii="Century Gothic" w:hAnsi="Century Gothic" w:cs="Arial"/>
                <w:bCs/>
                <w:color w:val="333333"/>
                <w:sz w:val="16"/>
                <w:szCs w:val="18"/>
                <w:lang w:val="es-ES" w:eastAsia="en-GB"/>
              </w:rPr>
            </w:pPr>
            <w:r w:rsidRPr="0083035C">
              <w:rPr>
                <w:rFonts w:ascii="Century Gothic" w:hAnsi="Century Gothic" w:cs="Arial"/>
                <w:bCs/>
                <w:color w:val="333333"/>
                <w:sz w:val="16"/>
                <w:szCs w:val="18"/>
                <w:lang w:val="es-ES" w:eastAsia="en-GB"/>
              </w:rPr>
              <w:t>Integrar la circularidad con la modernización de la economía</w:t>
            </w:r>
          </w:p>
        </w:tc>
      </w:tr>
      <w:tr w:rsidR="0083035C" w:rsidRPr="00BB5008" w14:paraId="6D678D27" w14:textId="77777777" w:rsidTr="0083035C">
        <w:trPr>
          <w:cantSplit/>
          <w:trHeight w:val="250"/>
          <w:jc w:val="center"/>
        </w:trPr>
        <w:tc>
          <w:tcPr>
            <w:cnfStyle w:val="001000000000" w:firstRow="0" w:lastRow="0" w:firstColumn="1" w:lastColumn="0" w:oddVBand="0" w:evenVBand="0" w:oddHBand="0" w:evenHBand="0" w:firstRowFirstColumn="0" w:firstRowLastColumn="0" w:lastRowFirstColumn="0" w:lastRowLastColumn="0"/>
            <w:tcW w:w="804" w:type="pct"/>
            <w:tcBorders>
              <w:top w:val="single" w:sz="4" w:space="0" w:color="auto"/>
              <w:right w:val="nil"/>
            </w:tcBorders>
            <w:shd w:val="clear" w:color="auto" w:fill="auto"/>
            <w:vAlign w:val="center"/>
          </w:tcPr>
          <w:p w14:paraId="6D2E7836" w14:textId="77777777" w:rsidR="0083035C" w:rsidRPr="00E90022" w:rsidRDefault="0083035C" w:rsidP="00BF5F60">
            <w:pPr>
              <w:spacing w:afterLines="240" w:after="576"/>
              <w:contextualSpacing/>
              <w:jc w:val="center"/>
              <w:rPr>
                <w:rFonts w:ascii="Century Gothic" w:hAnsi="Century Gothic" w:cs="Arial"/>
                <w:b/>
                <w:bCs/>
                <w:color w:val="333333"/>
                <w:sz w:val="16"/>
                <w:szCs w:val="18"/>
                <w:lang w:val="es-ES" w:eastAsia="en-GB"/>
              </w:rPr>
            </w:pPr>
            <w:r w:rsidRPr="00E90022">
              <w:rPr>
                <w:rFonts w:ascii="Century Gothic" w:hAnsi="Century Gothic" w:cs="Arial"/>
                <w:b/>
                <w:bCs/>
                <w:color w:val="333333"/>
                <w:sz w:val="16"/>
                <w:szCs w:val="18"/>
                <w:lang w:val="es-ES" w:eastAsia="en-GB"/>
              </w:rPr>
              <w:t>Otro</w:t>
            </w:r>
          </w:p>
        </w:tc>
        <w:tc>
          <w:tcPr>
            <w:tcW w:w="1005" w:type="pct"/>
            <w:tcBorders>
              <w:top w:val="single" w:sz="4" w:space="0" w:color="auto"/>
            </w:tcBorders>
            <w:shd w:val="clear" w:color="auto" w:fill="auto"/>
            <w:noWrap/>
            <w:vAlign w:val="center"/>
          </w:tcPr>
          <w:p w14:paraId="2AC68E1A" w14:textId="77777777" w:rsidR="0083035C" w:rsidRPr="002F48BA" w:rsidRDefault="0083035C"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8 Contribuir a definir la política europea en materia de</w:t>
            </w:r>
            <w:r>
              <w:rPr>
                <w:rFonts w:ascii="Century Gothic" w:hAnsi="Century Gothic" w:cs="Arial"/>
                <w:bCs/>
                <w:color w:val="333333"/>
                <w:sz w:val="16"/>
                <w:szCs w:val="18"/>
                <w:lang w:val="es-ES" w:eastAsia="en-GB"/>
              </w:rPr>
              <w:t xml:space="preserve"> PYME</w:t>
            </w:r>
          </w:p>
          <w:p w14:paraId="1E46573C" w14:textId="77777777" w:rsidR="0083035C" w:rsidRPr="002F48BA" w:rsidRDefault="0083035C"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9. Fortalecer las</w:t>
            </w:r>
            <w:r>
              <w:rPr>
                <w:rFonts w:ascii="Century Gothic" w:hAnsi="Century Gothic" w:cs="Arial"/>
                <w:bCs/>
                <w:color w:val="333333"/>
                <w:sz w:val="16"/>
                <w:szCs w:val="18"/>
                <w:lang w:val="es-ES" w:eastAsia="en-GB"/>
              </w:rPr>
              <w:t xml:space="preserve"> PYME </w:t>
            </w:r>
            <w:r w:rsidRPr="002F48BA">
              <w:rPr>
                <w:rFonts w:ascii="Century Gothic" w:hAnsi="Century Gothic" w:cs="Arial"/>
                <w:bCs/>
                <w:color w:val="333333"/>
                <w:sz w:val="16"/>
                <w:szCs w:val="18"/>
                <w:lang w:val="es-ES" w:eastAsia="en-GB"/>
              </w:rPr>
              <w:t>en regiones estructuralmente más débiles</w:t>
            </w:r>
          </w:p>
        </w:tc>
        <w:tc>
          <w:tcPr>
            <w:tcW w:w="1316" w:type="pct"/>
            <w:tcBorders>
              <w:top w:val="single" w:sz="4" w:space="0" w:color="auto"/>
            </w:tcBorders>
            <w:shd w:val="clear" w:color="auto" w:fill="auto"/>
            <w:noWrap/>
            <w:vAlign w:val="center"/>
          </w:tcPr>
          <w:p w14:paraId="0B8D5FD5" w14:textId="77777777" w:rsidR="0083035C" w:rsidRPr="002F48BA" w:rsidRDefault="0083035C"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5. Facilitar el apoyo en el momento adecuado (asistencia)</w:t>
            </w:r>
          </w:p>
        </w:tc>
        <w:tc>
          <w:tcPr>
            <w:tcW w:w="1875" w:type="pct"/>
            <w:gridSpan w:val="2"/>
            <w:tcBorders>
              <w:top w:val="single" w:sz="4" w:space="0" w:color="auto"/>
            </w:tcBorders>
            <w:shd w:val="clear" w:color="auto" w:fill="auto"/>
            <w:noWrap/>
            <w:vAlign w:val="center"/>
          </w:tcPr>
          <w:p w14:paraId="49A22959" w14:textId="77777777" w:rsidR="0083035C" w:rsidRPr="002F48BA" w:rsidRDefault="0083035C"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11. Asistir a las</w:t>
            </w:r>
            <w:r>
              <w:rPr>
                <w:rFonts w:ascii="Century Gothic" w:hAnsi="Century Gothic" w:cs="Arial"/>
                <w:bCs/>
                <w:color w:val="333333"/>
                <w:sz w:val="16"/>
                <w:szCs w:val="18"/>
                <w:lang w:val="es-ES" w:eastAsia="en-GB"/>
              </w:rPr>
              <w:t xml:space="preserve"> PYME </w:t>
            </w:r>
            <w:r w:rsidRPr="002F48BA">
              <w:rPr>
                <w:rFonts w:ascii="Century Gothic" w:hAnsi="Century Gothic" w:cs="Arial"/>
                <w:bCs/>
                <w:color w:val="333333"/>
                <w:sz w:val="16"/>
                <w:szCs w:val="18"/>
                <w:lang w:val="es-ES" w:eastAsia="en-GB"/>
              </w:rPr>
              <w:t>en la gestión de los RRHH</w:t>
            </w:r>
          </w:p>
          <w:p w14:paraId="6D19134C" w14:textId="77777777" w:rsidR="0083035C" w:rsidRPr="002F48BA" w:rsidRDefault="0083035C"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14. Ofrecer una segunda oportunidad a los ejecutivos de las empresas</w:t>
            </w:r>
            <w:r>
              <w:rPr>
                <w:rFonts w:ascii="Century Gothic" w:hAnsi="Century Gothic" w:cs="Arial"/>
                <w:bCs/>
                <w:color w:val="333333"/>
                <w:sz w:val="16"/>
                <w:szCs w:val="18"/>
                <w:lang w:val="es-ES" w:eastAsia="en-GB"/>
              </w:rPr>
              <w:t>.</w:t>
            </w:r>
          </w:p>
          <w:p w14:paraId="76062DE3" w14:textId="77777777" w:rsidR="0083035C" w:rsidRPr="002F48BA" w:rsidRDefault="0083035C"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15. Acompañar y simplificar la transmisión de empresas</w:t>
            </w:r>
          </w:p>
          <w:p w14:paraId="661B513A" w14:textId="77777777" w:rsidR="0083035C" w:rsidRPr="002F48BA" w:rsidRDefault="0083035C"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16. Mejorar la integración de los emprendedores en Régimen Especial de Trabajadores Autónomos</w:t>
            </w:r>
          </w:p>
          <w:p w14:paraId="41081056" w14:textId="77777777" w:rsidR="0083035C" w:rsidRPr="002F48BA" w:rsidRDefault="0083035C" w:rsidP="00BF5F60">
            <w:pPr>
              <w:spacing w:afterLines="240" w:after="576" w:line="276" w:lineRule="auto"/>
              <w:contextualSpacing/>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bCs/>
                <w:color w:val="333333"/>
                <w:sz w:val="16"/>
                <w:szCs w:val="18"/>
                <w:lang w:val="es-ES" w:eastAsia="en-GB"/>
              </w:rPr>
            </w:pPr>
            <w:r w:rsidRPr="002F48BA">
              <w:rPr>
                <w:rFonts w:ascii="Century Gothic" w:hAnsi="Century Gothic" w:cs="Arial"/>
                <w:bCs/>
                <w:color w:val="333333"/>
                <w:sz w:val="16"/>
                <w:szCs w:val="18"/>
                <w:lang w:val="es-ES" w:eastAsia="en-GB"/>
              </w:rPr>
              <w:t>18. Desarrollar el Titre emploi-services Enterprise (TESE): una solución destinada a las pequeñas empresas para ayudarles en el cumplimiento de las obligaciones sociales.</w:t>
            </w:r>
          </w:p>
        </w:tc>
      </w:tr>
      <w:tr w:rsidR="0083035C" w:rsidRPr="007C7B55" w14:paraId="493C3D54" w14:textId="77777777" w:rsidTr="00F1147F">
        <w:trPr>
          <w:gridAfter w:val="1"/>
          <w:cnfStyle w:val="000000100000" w:firstRow="0" w:lastRow="0" w:firstColumn="0" w:lastColumn="0" w:oddVBand="0" w:evenVBand="0" w:oddHBand="1" w:evenHBand="0" w:firstRowFirstColumn="0" w:firstRowLastColumn="0" w:lastRowFirstColumn="0" w:lastRowLastColumn="0"/>
          <w:wAfter w:w="10" w:type="pct"/>
          <w:cantSplit/>
          <w:trHeight w:val="21"/>
          <w:jc w:val="center"/>
        </w:trPr>
        <w:tc>
          <w:tcPr>
            <w:cnfStyle w:val="001000000000" w:firstRow="0" w:lastRow="0" w:firstColumn="1" w:lastColumn="0" w:oddVBand="0" w:evenVBand="0" w:oddHBand="0" w:evenHBand="0" w:firstRowFirstColumn="0" w:firstRowLastColumn="0" w:lastRowFirstColumn="0" w:lastRowLastColumn="0"/>
            <w:tcW w:w="4990" w:type="pct"/>
            <w:gridSpan w:val="4"/>
            <w:tcBorders>
              <w:top w:val="single" w:sz="4" w:space="0" w:color="auto"/>
              <w:bottom w:val="single" w:sz="4" w:space="0" w:color="auto"/>
              <w:right w:val="nil"/>
            </w:tcBorders>
          </w:tcPr>
          <w:p w14:paraId="389F102C" w14:textId="77777777" w:rsidR="0083035C" w:rsidRPr="007C7B55" w:rsidRDefault="0083035C" w:rsidP="00BF5F60">
            <w:pPr>
              <w:spacing w:afterLines="240" w:after="576"/>
              <w:contextualSpacing/>
              <w:jc w:val="left"/>
              <w:rPr>
                <w:rFonts w:ascii="Century Gothic" w:hAnsi="Century Gothic" w:cs="Arial"/>
                <w:i/>
                <w:sz w:val="16"/>
                <w:szCs w:val="18"/>
                <w:lang w:val="es-ES" w:eastAsia="en-GB"/>
              </w:rPr>
            </w:pPr>
            <w:r>
              <w:rPr>
                <w:rFonts w:ascii="Century Gothic" w:hAnsi="Century Gothic" w:cs="Arial"/>
                <w:i/>
                <w:sz w:val="16"/>
                <w:szCs w:val="18"/>
                <w:lang w:val="es-ES" w:eastAsia="en-GB"/>
              </w:rPr>
              <w:t>Fuente: elaboración propia</w:t>
            </w:r>
          </w:p>
        </w:tc>
      </w:tr>
    </w:tbl>
    <w:p w14:paraId="27099516" w14:textId="77777777" w:rsidR="00E37FC0" w:rsidRDefault="00E37FC0" w:rsidP="00E37FC0">
      <w:pPr>
        <w:tabs>
          <w:tab w:val="left" w:pos="7083"/>
        </w:tabs>
        <w:rPr>
          <w:lang w:val="es-ES"/>
        </w:rPr>
        <w:sectPr w:rsidR="00E37FC0" w:rsidSect="00C66145">
          <w:headerReference w:type="default" r:id="rId25"/>
          <w:footerReference w:type="default" r:id="rId26"/>
          <w:endnotePr>
            <w:numFmt w:val="decimal"/>
          </w:endnotePr>
          <w:pgSz w:w="16840" w:h="11907" w:orient="landscape" w:code="9"/>
          <w:pgMar w:top="1418" w:right="1418" w:bottom="1418" w:left="1418" w:header="720" w:footer="589" w:gutter="0"/>
          <w:cols w:space="720"/>
          <w:docGrid w:linePitch="299"/>
        </w:sectPr>
      </w:pPr>
    </w:p>
    <w:p w14:paraId="45F2DC95" w14:textId="77777777" w:rsidR="009C1348" w:rsidRPr="002A64F3" w:rsidRDefault="009C1348" w:rsidP="009C1348">
      <w:pPr>
        <w:pStyle w:val="Body"/>
        <w:rPr>
          <w:b/>
          <w:color w:val="003399"/>
          <w:sz w:val="22"/>
        </w:rPr>
      </w:pPr>
      <w:r w:rsidRPr="002A64F3">
        <w:rPr>
          <w:b/>
          <w:color w:val="003399"/>
          <w:sz w:val="22"/>
        </w:rPr>
        <w:lastRenderedPageBreak/>
        <w:t>Financiación</w:t>
      </w:r>
    </w:p>
    <w:p w14:paraId="11052955" w14:textId="77777777" w:rsidR="009C1348" w:rsidRDefault="009C1348" w:rsidP="009C1348">
      <w:pPr>
        <w:pStyle w:val="Body"/>
      </w:pPr>
      <w:r>
        <w:t>En general, la actuación en materia de PYME se apoya en cuatro ejes de actuación principales:</w:t>
      </w:r>
    </w:p>
    <w:p w14:paraId="0E0F5642" w14:textId="77777777" w:rsidR="009C1348" w:rsidRDefault="009C1348" w:rsidP="00DB0F5A">
      <w:pPr>
        <w:pStyle w:val="Body"/>
        <w:numPr>
          <w:ilvl w:val="0"/>
          <w:numId w:val="36"/>
        </w:numPr>
      </w:pPr>
      <w:r>
        <w:t>Financiación y ayudas públicas para nuevas empresas (start-ups o nuevas empresas innovadoras)</w:t>
      </w:r>
    </w:p>
    <w:p w14:paraId="7D6CD42D" w14:textId="77777777" w:rsidR="009C1348" w:rsidRDefault="009C1348" w:rsidP="00DB0F5A">
      <w:pPr>
        <w:pStyle w:val="Body"/>
        <w:numPr>
          <w:ilvl w:val="1"/>
          <w:numId w:val="36"/>
        </w:numPr>
      </w:pPr>
      <w:r>
        <w:t>Alemania ofrece financiación a medida de cada empresa, y ha lanzado programas con el objetivo de ofrecer ayudas e incentivos para invertir en nuevas empresas que fomentan la innovación.</w:t>
      </w:r>
    </w:p>
    <w:p w14:paraId="5314B703" w14:textId="77777777" w:rsidR="009C1348" w:rsidRDefault="009C1348" w:rsidP="00DB0F5A">
      <w:pPr>
        <w:pStyle w:val="Body"/>
        <w:numPr>
          <w:ilvl w:val="1"/>
          <w:numId w:val="36"/>
        </w:numPr>
      </w:pPr>
      <w:r>
        <w:t xml:space="preserve">Reino Unido favorece fiscalmente a aquellos que inviertan en nuevas empresas de sectores con riesgo alto. </w:t>
      </w:r>
    </w:p>
    <w:p w14:paraId="5CBDC0E2" w14:textId="77777777" w:rsidR="009C1348" w:rsidRDefault="009C1348" w:rsidP="00DB0F5A">
      <w:pPr>
        <w:pStyle w:val="Body"/>
        <w:numPr>
          <w:ilvl w:val="0"/>
          <w:numId w:val="36"/>
        </w:numPr>
      </w:pPr>
      <w:r>
        <w:t>Financiación para apoyar el crecimiento de las empresas y el fomento de diferentes opciones de financiación</w:t>
      </w:r>
    </w:p>
    <w:p w14:paraId="769D9349" w14:textId="77777777" w:rsidR="009C1348" w:rsidRDefault="009C1348" w:rsidP="00DB0F5A">
      <w:pPr>
        <w:pStyle w:val="Body"/>
        <w:numPr>
          <w:ilvl w:val="1"/>
          <w:numId w:val="36"/>
        </w:numPr>
      </w:pPr>
      <w:r>
        <w:t xml:space="preserve">Reino Unido pone el foco en ayudar a las PYME a identificar fuentes de financiación alternativas – a través de Business Finance Explained Guide y una herramienta online que permite contactar con más de 60 organizaciones que trabajan con el British Business Bank. </w:t>
      </w:r>
    </w:p>
    <w:p w14:paraId="16285B06" w14:textId="77777777" w:rsidR="009C1348" w:rsidRDefault="009C1348" w:rsidP="00DB0F5A">
      <w:pPr>
        <w:pStyle w:val="Body"/>
        <w:numPr>
          <w:ilvl w:val="0"/>
          <w:numId w:val="36"/>
        </w:numPr>
      </w:pPr>
      <w:r>
        <w:t>Lucha contra la morosidad y la mejora de la situación de tesorería</w:t>
      </w:r>
    </w:p>
    <w:p w14:paraId="2538A044" w14:textId="77777777" w:rsidR="009C1348" w:rsidRDefault="009C1348" w:rsidP="00DB0F5A">
      <w:pPr>
        <w:pStyle w:val="Body"/>
        <w:numPr>
          <w:ilvl w:val="1"/>
          <w:numId w:val="36"/>
        </w:numPr>
      </w:pPr>
      <w:r>
        <w:t>Reino Unido se ha comprometido a pagar todas sus facturas en 30 días.</w:t>
      </w:r>
    </w:p>
    <w:p w14:paraId="08691531" w14:textId="77777777" w:rsidR="009C1348" w:rsidRDefault="009C1348" w:rsidP="00DB0F5A">
      <w:pPr>
        <w:pStyle w:val="Body"/>
        <w:numPr>
          <w:ilvl w:val="1"/>
          <w:numId w:val="36"/>
        </w:numPr>
      </w:pPr>
      <w:r>
        <w:t>Francia también está trabajando en la mejora de la morosidad en los pagos del sector público, y ha decidido hacer públicas las multas impuestas a las grandes empresas por morosidad.</w:t>
      </w:r>
    </w:p>
    <w:p w14:paraId="425EAD07" w14:textId="77777777" w:rsidR="009C1348" w:rsidRDefault="009C1348" w:rsidP="00DB0F5A">
      <w:pPr>
        <w:pStyle w:val="Body"/>
        <w:numPr>
          <w:ilvl w:val="0"/>
          <w:numId w:val="36"/>
        </w:numPr>
      </w:pPr>
      <w:r>
        <w:t xml:space="preserve">Ayudas y/o rebajas fiscales que apoyen a las PYME. </w:t>
      </w:r>
    </w:p>
    <w:p w14:paraId="4520B02C" w14:textId="77777777" w:rsidR="009C1348" w:rsidRDefault="009C1348" w:rsidP="00DB0F5A">
      <w:pPr>
        <w:pStyle w:val="Body"/>
        <w:numPr>
          <w:ilvl w:val="0"/>
          <w:numId w:val="36"/>
        </w:numPr>
      </w:pPr>
      <w:r>
        <w:t xml:space="preserve">Francia y Reino Unido han puesto en marcha Bpifrance y el British Business Bank en un esfuerzo por aumentar las alternativas a la financiación bancaria de las PYME. </w:t>
      </w:r>
    </w:p>
    <w:p w14:paraId="12135E88" w14:textId="2F45E862" w:rsidR="009C1348" w:rsidRPr="002A64F3" w:rsidRDefault="009C1348" w:rsidP="009C1348">
      <w:pPr>
        <w:pStyle w:val="Body"/>
        <w:rPr>
          <w:b/>
          <w:color w:val="003399"/>
          <w:sz w:val="22"/>
        </w:rPr>
      </w:pPr>
      <w:r w:rsidRPr="002A64F3">
        <w:rPr>
          <w:b/>
          <w:color w:val="003399"/>
          <w:sz w:val="22"/>
        </w:rPr>
        <w:t>Internacionalización</w:t>
      </w:r>
    </w:p>
    <w:p w14:paraId="0C1E3305" w14:textId="77777777" w:rsidR="009C1348" w:rsidRPr="00EC3FD1" w:rsidRDefault="009C1348" w:rsidP="009C1348">
      <w:pPr>
        <w:pStyle w:val="Body"/>
      </w:pPr>
      <w:r w:rsidRPr="00EC3FD1">
        <w:t>El apoyo a la internacionalización de las</w:t>
      </w:r>
      <w:r>
        <w:t xml:space="preserve"> PYME </w:t>
      </w:r>
      <w:r w:rsidRPr="00EC3FD1">
        <w:t>se apoya en dos pilares principalmente: la apertura de nuevos mercados y el asesoramiento a las</w:t>
      </w:r>
      <w:r>
        <w:t xml:space="preserve"> PYME </w:t>
      </w:r>
      <w:r w:rsidRPr="00EC3FD1">
        <w:t>para que puedan acceder a ellos.</w:t>
      </w:r>
    </w:p>
    <w:p w14:paraId="48C633CD" w14:textId="6107C158" w:rsidR="009C1348" w:rsidRDefault="009C1348" w:rsidP="00F1147F">
      <w:pPr>
        <w:pStyle w:val="Body"/>
        <w:numPr>
          <w:ilvl w:val="0"/>
          <w:numId w:val="36"/>
        </w:numPr>
      </w:pPr>
      <w:r>
        <w:t>Desarrollo de nuevos mercados y acuerdos bilaterales</w:t>
      </w:r>
      <w:r w:rsidR="00F1147F">
        <w:t xml:space="preserve">. </w:t>
      </w:r>
      <w:r>
        <w:t xml:space="preserve">Alemania ha fijado sus prioridades en abrir los mercados de Cuba, del sureste asiático y Sudamérica. </w:t>
      </w:r>
    </w:p>
    <w:p w14:paraId="76BE0CB9" w14:textId="77777777" w:rsidR="009C1348" w:rsidRDefault="009C1348" w:rsidP="00DB0F5A">
      <w:pPr>
        <w:pStyle w:val="Body"/>
        <w:numPr>
          <w:ilvl w:val="0"/>
          <w:numId w:val="36"/>
        </w:numPr>
      </w:pPr>
      <w:r w:rsidRPr="00910A2B">
        <w:t>Ayuda a la identificación de oportunidades de exportación a trav</w:t>
      </w:r>
      <w:r>
        <w:t xml:space="preserve">és de servicios online. </w:t>
      </w:r>
      <w:r w:rsidRPr="00910A2B">
        <w:t xml:space="preserve">Asistencia personalizada, proporcionando a las empresas el conocimiento, las técnicas y los contactos necesarios para comenzar a exportar. </w:t>
      </w:r>
    </w:p>
    <w:p w14:paraId="73FAF975" w14:textId="77777777" w:rsidR="009C1348" w:rsidRPr="002A64F3" w:rsidRDefault="009C1348" w:rsidP="009C1348">
      <w:pPr>
        <w:pStyle w:val="Body"/>
        <w:rPr>
          <w:b/>
          <w:color w:val="003399"/>
          <w:sz w:val="22"/>
        </w:rPr>
      </w:pPr>
      <w:r w:rsidRPr="002A64F3">
        <w:rPr>
          <w:b/>
          <w:color w:val="003399"/>
          <w:sz w:val="22"/>
        </w:rPr>
        <w:t>Innovación y Digitalización</w:t>
      </w:r>
    </w:p>
    <w:p w14:paraId="7E40FF34" w14:textId="77777777" w:rsidR="009C1348" w:rsidRDefault="009C1348" w:rsidP="009C1348">
      <w:pPr>
        <w:pStyle w:val="Body"/>
      </w:pPr>
      <w:r>
        <w:t>Los países analizados coinciden en la importancia de la Digitalización para mejorar la situación competitiva de sus PYME:</w:t>
      </w:r>
    </w:p>
    <w:p w14:paraId="1E8B57EB" w14:textId="477686B7" w:rsidR="009C1348" w:rsidRDefault="009C1348" w:rsidP="00DB0F5A">
      <w:pPr>
        <w:pStyle w:val="Body"/>
        <w:numPr>
          <w:ilvl w:val="0"/>
          <w:numId w:val="38"/>
        </w:numPr>
      </w:pPr>
      <w:r>
        <w:lastRenderedPageBreak/>
        <w:t>Alemania ha lanzado una nueva iniciativa de financiación llamada “Mittelstand 4.0 – Digital Production and Work Processes”, destinada a ayudar a las pequeñas y medianas empresas en su digitalización y fomentar el trabajo en red, así como para la implantación de la estrategia de “Industr</w:t>
      </w:r>
      <w:r w:rsidR="00944ABE">
        <w:t>ie</w:t>
      </w:r>
      <w:r>
        <w:t xml:space="preserve"> 4.0”.</w:t>
      </w:r>
    </w:p>
    <w:p w14:paraId="62B886BF" w14:textId="77777777" w:rsidR="009C1348" w:rsidRDefault="009C1348" w:rsidP="00DB0F5A">
      <w:pPr>
        <w:pStyle w:val="Body"/>
        <w:numPr>
          <w:ilvl w:val="0"/>
          <w:numId w:val="38"/>
        </w:numPr>
      </w:pPr>
      <w:r>
        <w:t xml:space="preserve">Mejorar la presencia online y la venta transfronteriza de las PYME es el objetivo prioritario en materia de Digitalización para Reino Unido. </w:t>
      </w:r>
    </w:p>
    <w:p w14:paraId="5C1625F3" w14:textId="77777777" w:rsidR="009C1348" w:rsidRDefault="009C1348" w:rsidP="009C1348">
      <w:pPr>
        <w:pStyle w:val="Body"/>
      </w:pPr>
      <w:r>
        <w:t>Fomento de la innovación:</w:t>
      </w:r>
    </w:p>
    <w:p w14:paraId="58BACFF1" w14:textId="77777777" w:rsidR="009C1348" w:rsidRDefault="009C1348" w:rsidP="00DB0F5A">
      <w:pPr>
        <w:pStyle w:val="Body"/>
        <w:numPr>
          <w:ilvl w:val="1"/>
          <w:numId w:val="38"/>
        </w:numPr>
        <w:ind w:left="709" w:hanging="283"/>
      </w:pPr>
      <w:r>
        <w:t xml:space="preserve">Francia ha puesto en marcha el concepto de ‘Jeune Entreprise Innovante’, por el cual </w:t>
      </w:r>
      <w:r w:rsidRPr="0050467A">
        <w:t>confiere a las</w:t>
      </w:r>
      <w:r>
        <w:t xml:space="preserve"> PYME </w:t>
      </w:r>
      <w:r w:rsidRPr="0050467A">
        <w:t>de menos de 8 años</w:t>
      </w:r>
      <w:r>
        <w:t xml:space="preserve"> y </w:t>
      </w:r>
      <w:r w:rsidRPr="0050467A">
        <w:t xml:space="preserve">que invierten al menos el 15% de su presupuesto en I+D+i </w:t>
      </w:r>
      <w:r>
        <w:t>una serie de ventajas, como son la e</w:t>
      </w:r>
      <w:r w:rsidRPr="0050467A">
        <w:t>xoneración del impuesto sobre los beneficios y del impuesto sobre las plusvalías de las acciones cedidas a los socios de las JEI</w:t>
      </w:r>
      <w:r>
        <w:t xml:space="preserve"> y r</w:t>
      </w:r>
      <w:r w:rsidRPr="0050467A">
        <w:t>educción de</w:t>
      </w:r>
      <w:r>
        <w:t xml:space="preserve"> algunas</w:t>
      </w:r>
      <w:r w:rsidRPr="0050467A">
        <w:t xml:space="preserve"> cotizaciones </w:t>
      </w:r>
      <w:r>
        <w:t>sociales.</w:t>
      </w:r>
    </w:p>
    <w:p w14:paraId="11C82346" w14:textId="77777777" w:rsidR="009C1348" w:rsidRDefault="009C1348" w:rsidP="00DB0F5A">
      <w:pPr>
        <w:pStyle w:val="Body"/>
        <w:numPr>
          <w:ilvl w:val="1"/>
          <w:numId w:val="38"/>
        </w:numPr>
        <w:ind w:left="709" w:hanging="283"/>
      </w:pPr>
      <w:r>
        <w:t xml:space="preserve">Alemania ha puesto en marcha varios programas para asesorar a las PYME sobre la compra de productos y servicios innovadores, favorecer la investigación y cooperación en términos de innovación de las PYME y la colaboración industrial. </w:t>
      </w:r>
    </w:p>
    <w:p w14:paraId="45FDFC49" w14:textId="77777777" w:rsidR="009C1348" w:rsidRPr="0050467A" w:rsidRDefault="009C1348" w:rsidP="00DB0F5A">
      <w:pPr>
        <w:pStyle w:val="Body"/>
        <w:numPr>
          <w:ilvl w:val="1"/>
          <w:numId w:val="38"/>
        </w:numPr>
        <w:ind w:left="709" w:hanging="283"/>
      </w:pPr>
      <w:r>
        <w:t>Reino Unido apuesta por desgravar los costes en I+D en los que incurran las PYME.</w:t>
      </w:r>
    </w:p>
    <w:p w14:paraId="3BC45DC7" w14:textId="77777777" w:rsidR="009C1348" w:rsidRDefault="002756F2" w:rsidP="009C1348">
      <w:pPr>
        <w:pStyle w:val="Body"/>
        <w:rPr>
          <w:b/>
          <w:color w:val="003399"/>
          <w:sz w:val="22"/>
        </w:rPr>
      </w:pPr>
      <w:r>
        <w:rPr>
          <w:b/>
          <w:color w:val="003399"/>
          <w:sz w:val="22"/>
        </w:rPr>
        <w:t>Emprendimiento</w:t>
      </w:r>
    </w:p>
    <w:p w14:paraId="774E6C4A" w14:textId="77777777" w:rsidR="009C1348" w:rsidRDefault="009C1348" w:rsidP="009C1348">
      <w:pPr>
        <w:pStyle w:val="Body"/>
      </w:pPr>
      <w:r w:rsidRPr="00AB36B8">
        <w:t xml:space="preserve">Entre las medidas destinadas a fomentar el espíritu </w:t>
      </w:r>
      <w:r>
        <w:t>emprendedor destacan:</w:t>
      </w:r>
    </w:p>
    <w:p w14:paraId="169D3A49" w14:textId="77777777" w:rsidR="009C1348" w:rsidRDefault="009C1348" w:rsidP="00DB0F5A">
      <w:pPr>
        <w:pStyle w:val="Body"/>
        <w:numPr>
          <w:ilvl w:val="0"/>
          <w:numId w:val="39"/>
        </w:numPr>
      </w:pPr>
      <w:r>
        <w:t xml:space="preserve">Favorecer la concesión de micro-préstamos a emprendedores (Alemania). </w:t>
      </w:r>
    </w:p>
    <w:p w14:paraId="28D1CF79" w14:textId="27F0C11C" w:rsidR="009C1348" w:rsidRDefault="009C1348" w:rsidP="00DB0F5A">
      <w:pPr>
        <w:pStyle w:val="Body"/>
        <w:numPr>
          <w:ilvl w:val="0"/>
          <w:numId w:val="39"/>
        </w:numPr>
      </w:pPr>
      <w:r>
        <w:t>Organizar encuentros entre start-ups y empresas maduras en el mercado (Alemania)</w:t>
      </w:r>
    </w:p>
    <w:p w14:paraId="14111D57" w14:textId="77777777" w:rsidR="009C1348" w:rsidRDefault="009C1348" w:rsidP="00DB0F5A">
      <w:pPr>
        <w:pStyle w:val="Body"/>
        <w:numPr>
          <w:ilvl w:val="0"/>
          <w:numId w:val="39"/>
        </w:numPr>
      </w:pPr>
      <w:r>
        <w:t>Potenciar la escisión de empresas de alta tecnología (Alemania)</w:t>
      </w:r>
    </w:p>
    <w:p w14:paraId="6F9F57E9" w14:textId="77777777" w:rsidR="009C1348" w:rsidRDefault="009C1348" w:rsidP="00DB0F5A">
      <w:pPr>
        <w:pStyle w:val="Body"/>
        <w:numPr>
          <w:ilvl w:val="0"/>
          <w:numId w:val="39"/>
        </w:numPr>
      </w:pPr>
      <w:r>
        <w:t>Campañas de concienciación y promoción del espíritu empresarial para el público general y para las mujeres en particular (Francia)</w:t>
      </w:r>
    </w:p>
    <w:p w14:paraId="4EFC8685" w14:textId="77777777" w:rsidR="009C1348" w:rsidRDefault="009C1348" w:rsidP="00DB0F5A">
      <w:pPr>
        <w:pStyle w:val="Body"/>
        <w:numPr>
          <w:ilvl w:val="0"/>
          <w:numId w:val="39"/>
        </w:numPr>
      </w:pPr>
      <w:r>
        <w:t>Establecer colaboraciones con las regiones para estructurar conjuntamente itinerarios de apoyo para la creación de empresas, sobre todo enfocadas a los jóvenes y a los demandantes de empleo (Francia)</w:t>
      </w:r>
    </w:p>
    <w:p w14:paraId="48C18657" w14:textId="77777777" w:rsidR="009C1348" w:rsidRPr="002A64F3" w:rsidRDefault="009C1348" w:rsidP="009C1348">
      <w:pPr>
        <w:pStyle w:val="Body"/>
        <w:rPr>
          <w:b/>
          <w:color w:val="003399"/>
          <w:sz w:val="22"/>
        </w:rPr>
      </w:pPr>
      <w:r>
        <w:rPr>
          <w:b/>
          <w:color w:val="003399"/>
          <w:sz w:val="22"/>
        </w:rPr>
        <w:t>Gestión empresarial y talento</w:t>
      </w:r>
    </w:p>
    <w:p w14:paraId="434B9245" w14:textId="77777777" w:rsidR="009C1348" w:rsidRDefault="009C1348" w:rsidP="009C1348">
      <w:pPr>
        <w:pStyle w:val="Body"/>
      </w:pPr>
      <w:r w:rsidRPr="00640EDB">
        <w:t>Muchas de las acciones puestas en marcha están focalizadas en la generación de empleo en las</w:t>
      </w:r>
      <w:r>
        <w:t xml:space="preserve"> PYME</w:t>
      </w:r>
      <w:r w:rsidRPr="00640EDB">
        <w:t>.</w:t>
      </w:r>
      <w:r>
        <w:t xml:space="preserve"> Por su contexto socioeconómico, Alemania ha puesto el foco en la formación y el acceso al empleo de personadas refugiadas, para luchar contra la escasez de mano de obra.</w:t>
      </w:r>
    </w:p>
    <w:p w14:paraId="453732AA" w14:textId="77777777" w:rsidR="009C1348" w:rsidRDefault="009C1348" w:rsidP="009C1348">
      <w:pPr>
        <w:pStyle w:val="Body"/>
      </w:pPr>
      <w:r>
        <w:t>Además, en materia de empleo se trabaja en dos líneas de actuación:</w:t>
      </w:r>
    </w:p>
    <w:p w14:paraId="719F762D" w14:textId="77777777" w:rsidR="009C1348" w:rsidRDefault="009C1348" w:rsidP="00DB0F5A">
      <w:pPr>
        <w:pStyle w:val="Body"/>
        <w:numPr>
          <w:ilvl w:val="0"/>
          <w:numId w:val="36"/>
        </w:numPr>
      </w:pPr>
      <w:r>
        <w:t>Creación de estímulos a la contratación.</w:t>
      </w:r>
    </w:p>
    <w:p w14:paraId="0D85950F" w14:textId="77777777" w:rsidR="009C1348" w:rsidRDefault="009C1348" w:rsidP="00DB0F5A">
      <w:pPr>
        <w:pStyle w:val="Body"/>
        <w:numPr>
          <w:ilvl w:val="1"/>
          <w:numId w:val="36"/>
        </w:numPr>
      </w:pPr>
      <w:r>
        <w:t>Reino Unido ha estructurado estos estímulos en tres ejes: (i) reforma laboral, (ii) simplificar y abaratar el proceso de contratación y (iii) ayudar a las empresas a encontrar a los candidatos adecuados.</w:t>
      </w:r>
    </w:p>
    <w:p w14:paraId="58B42BE7" w14:textId="77777777" w:rsidR="009C1348" w:rsidRDefault="009C1348" w:rsidP="00DB0F5A">
      <w:pPr>
        <w:pStyle w:val="Body"/>
        <w:numPr>
          <w:ilvl w:val="1"/>
          <w:numId w:val="36"/>
        </w:numPr>
      </w:pPr>
      <w:r>
        <w:lastRenderedPageBreak/>
        <w:t xml:space="preserve">Francia ha aprobado una ayuda económica para todas aquellas microempresas que no hayan tenido ningún empleado en los últimos 12 meses y contraten a un trabajador de forma indefinida o con contrato temporal de más de un año. </w:t>
      </w:r>
    </w:p>
    <w:p w14:paraId="13051363" w14:textId="77777777" w:rsidR="009C1348" w:rsidRDefault="009C1348" w:rsidP="00DB0F5A">
      <w:pPr>
        <w:pStyle w:val="Body"/>
        <w:numPr>
          <w:ilvl w:val="0"/>
          <w:numId w:val="36"/>
        </w:numPr>
      </w:pPr>
      <w:r>
        <w:t>Lucha contra la temporalidad.</w:t>
      </w:r>
    </w:p>
    <w:p w14:paraId="44C587F8" w14:textId="77777777" w:rsidR="009C1348" w:rsidRPr="00640EDB" w:rsidRDefault="009C1348" w:rsidP="00DB0F5A">
      <w:pPr>
        <w:pStyle w:val="Body"/>
        <w:numPr>
          <w:ilvl w:val="1"/>
          <w:numId w:val="36"/>
        </w:numPr>
      </w:pPr>
      <w:r>
        <w:t>Prohibición de encadenar más de dos contratos laborales temporales en la misma empresa (Francia)</w:t>
      </w:r>
    </w:p>
    <w:p w14:paraId="68FE081D" w14:textId="60DB4E0F" w:rsidR="009C1348" w:rsidRPr="002A64F3" w:rsidRDefault="009C1348" w:rsidP="009C1348">
      <w:pPr>
        <w:pStyle w:val="Body"/>
        <w:rPr>
          <w:b/>
          <w:color w:val="003399"/>
          <w:sz w:val="22"/>
        </w:rPr>
      </w:pPr>
      <w:r w:rsidRPr="002A64F3">
        <w:rPr>
          <w:b/>
          <w:color w:val="003399"/>
          <w:sz w:val="22"/>
        </w:rPr>
        <w:t xml:space="preserve">Marco regulatorio </w:t>
      </w:r>
    </w:p>
    <w:p w14:paraId="748A2443" w14:textId="77777777" w:rsidR="009C1348" w:rsidRPr="0050467A" w:rsidRDefault="009C1348" w:rsidP="00DB0F5A">
      <w:pPr>
        <w:pStyle w:val="Body"/>
        <w:numPr>
          <w:ilvl w:val="0"/>
          <w:numId w:val="36"/>
        </w:numPr>
      </w:pPr>
      <w:r>
        <w:t>Asegurar</w:t>
      </w:r>
      <w:r w:rsidRPr="0050467A">
        <w:t xml:space="preserve"> que la regulación es más favorable para las</w:t>
      </w:r>
      <w:r>
        <w:t xml:space="preserve"> PYME</w:t>
      </w:r>
    </w:p>
    <w:p w14:paraId="729E1579" w14:textId="77777777" w:rsidR="009C1348" w:rsidRPr="0050467A" w:rsidRDefault="009C1348" w:rsidP="00DB0F5A">
      <w:pPr>
        <w:pStyle w:val="Body"/>
        <w:numPr>
          <w:ilvl w:val="1"/>
          <w:numId w:val="36"/>
        </w:numPr>
      </w:pPr>
      <w:r w:rsidRPr="0050467A">
        <w:t xml:space="preserve">Todos los países han introducido el test PYME en sus impact assessments. </w:t>
      </w:r>
    </w:p>
    <w:p w14:paraId="35AABBF8" w14:textId="77777777" w:rsidR="009C1348" w:rsidRPr="00AF0DEE" w:rsidRDefault="009C1348" w:rsidP="00DB0F5A">
      <w:pPr>
        <w:pStyle w:val="Body"/>
        <w:numPr>
          <w:ilvl w:val="0"/>
          <w:numId w:val="36"/>
        </w:numPr>
        <w:rPr>
          <w:b/>
          <w:u w:val="single"/>
        </w:rPr>
      </w:pPr>
      <w:r>
        <w:t>Reducción de los efectos perjudiciales de los umbrales de tamaño en la regulación:</w:t>
      </w:r>
    </w:p>
    <w:p w14:paraId="71F9DA0E" w14:textId="77777777" w:rsidR="009C1348" w:rsidRPr="00792D5D" w:rsidRDefault="009C1348" w:rsidP="00DB0F5A">
      <w:pPr>
        <w:pStyle w:val="Body"/>
        <w:numPr>
          <w:ilvl w:val="1"/>
          <w:numId w:val="36"/>
        </w:numPr>
        <w:rPr>
          <w:b/>
          <w:u w:val="single"/>
        </w:rPr>
      </w:pPr>
      <w:r>
        <w:t>Francia ha puesto en marcha un estudio para simplificar los umbrales, a la vez que durante tres años ha suspendido los efectos de esos umbrales para las empresas de hasta 50 empleados.</w:t>
      </w:r>
    </w:p>
    <w:p w14:paraId="192F376F" w14:textId="77777777" w:rsidR="009C1348" w:rsidRDefault="009C1348" w:rsidP="009C1348">
      <w:pPr>
        <w:pStyle w:val="Body"/>
      </w:pPr>
      <w:r>
        <w:t xml:space="preserve">Tanto Francia como Reino Unido son conscientes de la oportunidad que supone mejorar el acceso de las PYME a la </w:t>
      </w:r>
      <w:r w:rsidRPr="00792D5D">
        <w:rPr>
          <w:b/>
        </w:rPr>
        <w:t>contratación pública</w:t>
      </w:r>
      <w:r>
        <w:t>, a través de:</w:t>
      </w:r>
    </w:p>
    <w:p w14:paraId="436E69FA" w14:textId="5A2D09EA" w:rsidR="009C1348" w:rsidRDefault="009C1348" w:rsidP="00DB0F5A">
      <w:pPr>
        <w:pStyle w:val="Body"/>
        <w:numPr>
          <w:ilvl w:val="0"/>
          <w:numId w:val="36"/>
        </w:numPr>
      </w:pPr>
      <w:r>
        <w:t>Mejorar la publicidad de los contratos públicos</w:t>
      </w:r>
    </w:p>
    <w:p w14:paraId="7DE46EB0" w14:textId="77777777" w:rsidR="009C1348" w:rsidRDefault="009C1348" w:rsidP="00DB0F5A">
      <w:pPr>
        <w:pStyle w:val="Body"/>
        <w:numPr>
          <w:ilvl w:val="1"/>
          <w:numId w:val="36"/>
        </w:numPr>
      </w:pPr>
      <w:r>
        <w:t>Facilitar la identificación de oportunidades de compra pública, centralizando toda la información en un único portal online (Reino Unido).</w:t>
      </w:r>
    </w:p>
    <w:p w14:paraId="3F775218" w14:textId="77777777" w:rsidR="009C1348" w:rsidRDefault="009C1348" w:rsidP="00DB0F5A">
      <w:pPr>
        <w:pStyle w:val="Body"/>
        <w:numPr>
          <w:ilvl w:val="0"/>
          <w:numId w:val="36"/>
        </w:numPr>
      </w:pPr>
      <w:r>
        <w:t>Eliminar las trabas administrativas en la contratación pública</w:t>
      </w:r>
    </w:p>
    <w:p w14:paraId="5F953BCF" w14:textId="77777777" w:rsidR="009C1348" w:rsidRDefault="009C1348" w:rsidP="00DB0F5A">
      <w:pPr>
        <w:pStyle w:val="Body"/>
        <w:numPr>
          <w:ilvl w:val="0"/>
          <w:numId w:val="37"/>
        </w:numPr>
        <w:tabs>
          <w:tab w:val="left" w:pos="993"/>
        </w:tabs>
        <w:ind w:left="1418" w:hanging="284"/>
      </w:pPr>
      <w:r>
        <w:t>Eliminar los cuestionarios de pre-cualificación para los contratos menores, y utilizar cuestionarios de pre-cualificación estándar para contratos mayores, asegurando que las necesidades de las PYME se toman en consideración (Reino Unido); o la sustitución de los mismos por declaraciones responsables (Francia).</w:t>
      </w:r>
    </w:p>
    <w:p w14:paraId="7B244CE9" w14:textId="77777777" w:rsidR="009C1348" w:rsidRDefault="009C1348" w:rsidP="00DB0F5A">
      <w:pPr>
        <w:pStyle w:val="Body"/>
        <w:numPr>
          <w:ilvl w:val="0"/>
          <w:numId w:val="36"/>
        </w:numPr>
      </w:pPr>
      <w:r>
        <w:t>Fomentar la participación de las PYME en los contratos públicos, y con mejores condiciones</w:t>
      </w:r>
    </w:p>
    <w:p w14:paraId="3AA7893F" w14:textId="77777777" w:rsidR="009C1348" w:rsidRDefault="009C1348" w:rsidP="00DB0F5A">
      <w:pPr>
        <w:pStyle w:val="Body"/>
        <w:numPr>
          <w:ilvl w:val="0"/>
          <w:numId w:val="37"/>
        </w:numPr>
        <w:ind w:left="1418"/>
      </w:pPr>
      <w:r>
        <w:t xml:space="preserve">Garantizar los pagos a las PYME que actúen como subcontratados en contratos con la Administración (Reino Unido). </w:t>
      </w:r>
    </w:p>
    <w:p w14:paraId="48490071" w14:textId="77777777" w:rsidR="009C1348" w:rsidRDefault="009C1348" w:rsidP="00DB0F5A">
      <w:pPr>
        <w:pStyle w:val="Body"/>
        <w:numPr>
          <w:ilvl w:val="0"/>
          <w:numId w:val="37"/>
        </w:numPr>
        <w:ind w:left="1418"/>
      </w:pPr>
      <w:r>
        <w:t>La división en lotes de los contratos públicos (Francia)</w:t>
      </w:r>
    </w:p>
    <w:p w14:paraId="33A2BEA0" w14:textId="77777777" w:rsidR="009C1348" w:rsidRDefault="009C1348" w:rsidP="00DB0F5A">
      <w:pPr>
        <w:pStyle w:val="Body"/>
        <w:numPr>
          <w:ilvl w:val="0"/>
          <w:numId w:val="37"/>
        </w:numPr>
        <w:ind w:left="1418"/>
      </w:pPr>
      <w:r>
        <w:t>Obligar a la subcontratación de una parte mínima del contrato público a PYME (Francia).</w:t>
      </w:r>
    </w:p>
    <w:p w14:paraId="0577D639" w14:textId="77777777" w:rsidR="002756F2" w:rsidRDefault="002756F2" w:rsidP="002756F2">
      <w:pPr>
        <w:pStyle w:val="Body"/>
        <w:rPr>
          <w:b/>
          <w:color w:val="003399"/>
          <w:sz w:val="22"/>
        </w:rPr>
      </w:pPr>
      <w:r>
        <w:rPr>
          <w:b/>
          <w:color w:val="003399"/>
          <w:sz w:val="22"/>
        </w:rPr>
        <w:t>Sostenibilidad</w:t>
      </w:r>
    </w:p>
    <w:p w14:paraId="6161F0DE" w14:textId="77777777" w:rsidR="0083035C" w:rsidRPr="0083035C" w:rsidRDefault="0083035C" w:rsidP="0083035C">
      <w:pPr>
        <w:pStyle w:val="Body"/>
      </w:pPr>
      <w:r w:rsidRPr="0083035C">
        <w:t xml:space="preserve">El objetivo es facilitar la transición hacia unos modelos de producción y consumo más eficientes y sostenibles, todo ello en un contexto en el que el concepto de “economía </w:t>
      </w:r>
      <w:r w:rsidRPr="0083035C">
        <w:lastRenderedPageBreak/>
        <w:t>circular” cobra cada vez más importancia impregnando de manera horizontal las distintas políticas que tienen que ver con el concepto de sostenibilidad.</w:t>
      </w:r>
    </w:p>
    <w:p w14:paraId="05625C47" w14:textId="77777777" w:rsidR="0083035C" w:rsidRPr="0083035C" w:rsidRDefault="0083035C" w:rsidP="0083035C">
      <w:pPr>
        <w:pStyle w:val="Body"/>
      </w:pPr>
      <w:r w:rsidRPr="0083035C">
        <w:t>Francia y Alemania son dos de los países más comprometidos con la transición hacia una “economía circular”:</w:t>
      </w:r>
    </w:p>
    <w:p w14:paraId="297ACB4A" w14:textId="77777777" w:rsidR="0083035C" w:rsidRPr="0083035C" w:rsidRDefault="0083035C" w:rsidP="00DB0F5A">
      <w:pPr>
        <w:pStyle w:val="Body"/>
        <w:numPr>
          <w:ilvl w:val="0"/>
          <w:numId w:val="36"/>
        </w:numPr>
      </w:pPr>
      <w:r w:rsidRPr="0083035C">
        <w:t>Alemania es uno de los países europeos más avanzado en lo que respecta a la aplicación de legislación medioambiental, innovación, tratamiento de residuos, etc. De hecho, es uno de los países que lidera la transformación hacia una “economía circular”. En este sentido destacar el programa ProgRess II (2016-2019), que abarca un total de 123 medidas enfocada al uso eficiente de los recursos en el camino hacia la “economía circular”. El punto 10 del plan de acción de Alemania está dedicado a apoyar el desarrollo de oportunidades empresariales derivadas de la transición energética.</w:t>
      </w:r>
    </w:p>
    <w:p w14:paraId="66D591E6" w14:textId="77777777" w:rsidR="0083035C" w:rsidRPr="0083035C" w:rsidRDefault="0083035C" w:rsidP="00DB0F5A">
      <w:pPr>
        <w:pStyle w:val="Body"/>
        <w:numPr>
          <w:ilvl w:val="0"/>
          <w:numId w:val="36"/>
        </w:numPr>
      </w:pPr>
      <w:r w:rsidRPr="0083035C">
        <w:t>En Francia la “economía circular” se basa en siete ejes: Eco-diseño y gestión ambiental; el intercambio de recursos secundarios entre empresas (ecología o simbiosis industrial); Economía de funcionalidad que genera poco desperdicio, y modelos de negocio más ampliamente innovadores; Reempleo; Reparación; Reutilización y Reciclaje. En este sentido, la influencia del Instituto de Economía Circular, creado en febrero de 2013, y la Ley de Transición Energética de agosto de 2015 refuerzan esta orientación nacional, que reconoce la importancia de integrar la circularidad con la modernización de la economía.</w:t>
      </w:r>
    </w:p>
    <w:p w14:paraId="1CE579A5" w14:textId="77777777" w:rsidR="0083035C" w:rsidRPr="0083035C" w:rsidRDefault="0083035C" w:rsidP="0083035C">
      <w:pPr>
        <w:pStyle w:val="Body"/>
      </w:pPr>
      <w:r w:rsidRPr="0083035C">
        <w:t>Italia está aplicando actualmente la Estrategia Nacional de Desarrollo Sostenible 2017/2030 (SNDS). En línea con la Agenda 2030, la Estrategia enmarca una nueva visión hacia una economía circular de baja emisión, resistente a los impactos climáticos y a otros cambios, priorizando la lucha por la biodiversidad, alteración de los ciclos biogeoquímicos fundamentales y el cambio en el uso de la tierra.</w:t>
      </w:r>
    </w:p>
    <w:p w14:paraId="6C0D5EDF" w14:textId="77777777" w:rsidR="0083035C" w:rsidRPr="0083035C" w:rsidRDefault="0083035C" w:rsidP="0083035C">
      <w:pPr>
        <w:pStyle w:val="Body"/>
      </w:pPr>
      <w:r w:rsidRPr="0083035C">
        <w:t xml:space="preserve">En lo que respecta al Reino Unido, cabe destacar la ausencia de una política definida en materia de sostenibilidad. De hecho, en el SBA Fact Sheet 2016 referente al Reino Unido, vemos que el apartado de Medio Ambiente es el único en el que el país se sitúa por debajo de la media europea, entre otras razones, por una falta de iniciativas políticas en esta área. A pesar de ello el Reino Unido, junto con Alemania, Suecia, República Checa y Holanda, han impulsado el proyecto “Make it Work” de la UE, que pretende establecer un marco para la aplicación de la legislación medioambiental en los países comunitarios, de manera más eficiente. </w:t>
      </w:r>
    </w:p>
    <w:p w14:paraId="0362DCFE" w14:textId="77777777" w:rsidR="00F1147F" w:rsidRDefault="00F1147F">
      <w:pPr>
        <w:spacing w:after="0"/>
        <w:jc w:val="left"/>
        <w:rPr>
          <w:rFonts w:ascii="Century Gothic" w:hAnsi="Century Gothic" w:cs="Arial"/>
          <w:b/>
          <w:smallCaps/>
          <w:color w:val="003399"/>
          <w:sz w:val="28"/>
          <w:szCs w:val="22"/>
          <w:lang w:val="es-ES"/>
        </w:rPr>
      </w:pPr>
      <w:bookmarkStart w:id="22" w:name="_Toc523847358"/>
      <w:r>
        <w:rPr>
          <w:rFonts w:cs="Arial"/>
          <w:color w:val="003399"/>
          <w:sz w:val="28"/>
          <w:szCs w:val="22"/>
          <w:lang w:val="es-ES"/>
        </w:rPr>
        <w:br w:type="page"/>
      </w:r>
    </w:p>
    <w:p w14:paraId="6FC836FA" w14:textId="5C5C1EB2" w:rsidR="00F1147F" w:rsidRDefault="007133FB" w:rsidP="00DB0F5A">
      <w:pPr>
        <w:pStyle w:val="Ttulo1"/>
        <w:pageBreakBefore/>
        <w:numPr>
          <w:ilvl w:val="0"/>
          <w:numId w:val="28"/>
        </w:numPr>
        <w:tabs>
          <w:tab w:val="num" w:pos="432"/>
        </w:tabs>
        <w:spacing w:before="0" w:line="276" w:lineRule="auto"/>
        <w:ind w:left="431" w:hanging="431"/>
        <w:rPr>
          <w:rFonts w:cs="Arial"/>
          <w:color w:val="003399"/>
          <w:sz w:val="28"/>
          <w:szCs w:val="22"/>
          <w:lang w:val="es-ES"/>
        </w:rPr>
      </w:pPr>
      <w:bookmarkStart w:id="23" w:name="_Toc525300096"/>
      <w:bookmarkStart w:id="24" w:name="_Toc526423228"/>
      <w:r>
        <w:rPr>
          <w:rFonts w:cs="Arial"/>
          <w:color w:val="003399"/>
          <w:sz w:val="28"/>
          <w:szCs w:val="22"/>
          <w:lang w:val="es-ES"/>
        </w:rPr>
        <w:lastRenderedPageBreak/>
        <w:t>Distribución de PYME por país</w:t>
      </w:r>
      <w:bookmarkEnd w:id="23"/>
      <w:r w:rsidR="000D3ABC">
        <w:rPr>
          <w:rFonts w:cs="Arial"/>
          <w:color w:val="003399"/>
          <w:sz w:val="28"/>
          <w:szCs w:val="22"/>
          <w:lang w:val="es-ES"/>
        </w:rPr>
        <w:t xml:space="preserve"> en la UE</w:t>
      </w:r>
      <w:bookmarkEnd w:id="24"/>
    </w:p>
    <w:p w14:paraId="3F57E011" w14:textId="4DF4A59C" w:rsidR="007133FB" w:rsidRPr="005C1487" w:rsidRDefault="007133FB" w:rsidP="007133FB">
      <w:pPr>
        <w:pStyle w:val="Body"/>
        <w:spacing w:after="0"/>
        <w:rPr>
          <w:sz w:val="18"/>
          <w:szCs w:val="18"/>
        </w:rPr>
      </w:pPr>
      <w:bookmarkStart w:id="25" w:name="_Toc516743514"/>
      <w:bookmarkStart w:id="26" w:name="_Toc526423683"/>
      <w:r w:rsidRPr="00556A94">
        <w:rPr>
          <w:sz w:val="18"/>
          <w:szCs w:val="18"/>
        </w:rPr>
        <w:t xml:space="preserve">Tabla </w:t>
      </w:r>
      <w:r w:rsidRPr="00556A94">
        <w:rPr>
          <w:b/>
          <w:sz w:val="18"/>
          <w:szCs w:val="18"/>
        </w:rPr>
        <w:fldChar w:fldCharType="begin"/>
      </w:r>
      <w:r w:rsidRPr="00556A94">
        <w:rPr>
          <w:sz w:val="18"/>
          <w:szCs w:val="18"/>
        </w:rPr>
        <w:instrText xml:space="preserve"> SEQ Tabla \* ARABIC </w:instrText>
      </w:r>
      <w:r w:rsidRPr="00556A94">
        <w:rPr>
          <w:b/>
          <w:sz w:val="18"/>
          <w:szCs w:val="18"/>
        </w:rPr>
        <w:fldChar w:fldCharType="separate"/>
      </w:r>
      <w:r w:rsidR="00AC2128">
        <w:rPr>
          <w:noProof/>
          <w:sz w:val="18"/>
          <w:szCs w:val="18"/>
        </w:rPr>
        <w:t>4</w:t>
      </w:r>
      <w:r w:rsidRPr="00556A94">
        <w:rPr>
          <w:b/>
          <w:sz w:val="18"/>
          <w:szCs w:val="18"/>
        </w:rPr>
        <w:fldChar w:fldCharType="end"/>
      </w:r>
      <w:r w:rsidRPr="00556A94">
        <w:rPr>
          <w:sz w:val="18"/>
          <w:szCs w:val="18"/>
        </w:rPr>
        <w:t xml:space="preserve">. Distribución de PYME </w:t>
      </w:r>
      <w:r w:rsidRPr="005C1487">
        <w:rPr>
          <w:sz w:val="18"/>
          <w:szCs w:val="18"/>
        </w:rPr>
        <w:t>por país</w:t>
      </w:r>
      <w:bookmarkEnd w:id="25"/>
      <w:bookmarkEnd w:id="26"/>
    </w:p>
    <w:tbl>
      <w:tblPr>
        <w:tblW w:w="91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1134"/>
        <w:gridCol w:w="1068"/>
        <w:gridCol w:w="1005"/>
        <w:gridCol w:w="1078"/>
        <w:gridCol w:w="1012"/>
        <w:gridCol w:w="1200"/>
        <w:gridCol w:w="1400"/>
      </w:tblGrid>
      <w:tr w:rsidR="007133FB" w:rsidRPr="00BF3EBA" w14:paraId="74A1425B" w14:textId="77777777" w:rsidTr="007133FB">
        <w:trPr>
          <w:trHeight w:val="300"/>
          <w:tblHeader/>
        </w:trPr>
        <w:tc>
          <w:tcPr>
            <w:tcW w:w="1291" w:type="dxa"/>
            <w:shd w:val="clear" w:color="auto" w:fill="auto"/>
            <w:noWrap/>
            <w:vAlign w:val="center"/>
            <w:hideMark/>
          </w:tcPr>
          <w:p w14:paraId="293BC21F" w14:textId="77777777" w:rsidR="007133FB" w:rsidRPr="00BF3EBA" w:rsidRDefault="007133FB" w:rsidP="007133FB">
            <w:pPr>
              <w:spacing w:after="0"/>
              <w:jc w:val="center"/>
              <w:rPr>
                <w:rFonts w:ascii="Century Gothic" w:hAnsi="Century Gothic"/>
                <w:b/>
                <w:bCs/>
                <w:color w:val="000000"/>
                <w:sz w:val="18"/>
                <w:szCs w:val="18"/>
                <w:lang w:val="es-ES" w:eastAsia="es-ES"/>
              </w:rPr>
            </w:pPr>
            <w:r w:rsidRPr="00BF3EBA">
              <w:rPr>
                <w:rFonts w:ascii="Century Gothic" w:hAnsi="Century Gothic"/>
                <w:b/>
                <w:bCs/>
                <w:color w:val="000000"/>
                <w:sz w:val="18"/>
                <w:szCs w:val="18"/>
                <w:lang w:val="es-ES" w:eastAsia="es-ES"/>
              </w:rPr>
              <w:t>País</w:t>
            </w:r>
          </w:p>
        </w:tc>
        <w:tc>
          <w:tcPr>
            <w:tcW w:w="1134" w:type="dxa"/>
            <w:shd w:val="clear" w:color="auto" w:fill="auto"/>
            <w:noWrap/>
            <w:vAlign w:val="center"/>
            <w:hideMark/>
          </w:tcPr>
          <w:p w14:paraId="7492DFD9" w14:textId="77777777" w:rsidR="007133FB" w:rsidRPr="00BF3EBA" w:rsidRDefault="007133FB" w:rsidP="007133FB">
            <w:pPr>
              <w:spacing w:after="0"/>
              <w:jc w:val="center"/>
              <w:rPr>
                <w:rFonts w:ascii="Century Gothic" w:hAnsi="Century Gothic"/>
                <w:b/>
                <w:bCs/>
                <w:color w:val="000000"/>
                <w:sz w:val="18"/>
                <w:szCs w:val="18"/>
                <w:lang w:val="es-ES" w:eastAsia="es-ES"/>
              </w:rPr>
            </w:pPr>
            <w:r w:rsidRPr="00BF3EBA">
              <w:rPr>
                <w:rFonts w:ascii="Century Gothic" w:hAnsi="Century Gothic"/>
                <w:b/>
                <w:bCs/>
                <w:color w:val="000000"/>
                <w:sz w:val="18"/>
                <w:szCs w:val="18"/>
                <w:lang w:val="es-ES" w:eastAsia="es-ES"/>
              </w:rPr>
              <w:t>Micro</w:t>
            </w:r>
          </w:p>
        </w:tc>
        <w:tc>
          <w:tcPr>
            <w:tcW w:w="1068" w:type="dxa"/>
            <w:shd w:val="clear" w:color="auto" w:fill="auto"/>
            <w:noWrap/>
            <w:vAlign w:val="center"/>
            <w:hideMark/>
          </w:tcPr>
          <w:p w14:paraId="41A277B3" w14:textId="77777777" w:rsidR="007133FB" w:rsidRPr="00BF3EBA" w:rsidRDefault="007133FB" w:rsidP="007133FB">
            <w:pPr>
              <w:spacing w:after="0"/>
              <w:jc w:val="center"/>
              <w:rPr>
                <w:rFonts w:ascii="Century Gothic" w:hAnsi="Century Gothic"/>
                <w:b/>
                <w:bCs/>
                <w:color w:val="000000"/>
                <w:sz w:val="18"/>
                <w:szCs w:val="18"/>
                <w:lang w:val="es-ES" w:eastAsia="es-ES"/>
              </w:rPr>
            </w:pPr>
            <w:r w:rsidRPr="00BF3EBA">
              <w:rPr>
                <w:rFonts w:ascii="Century Gothic" w:hAnsi="Century Gothic"/>
                <w:b/>
                <w:bCs/>
                <w:color w:val="000000"/>
                <w:sz w:val="18"/>
                <w:szCs w:val="18"/>
                <w:lang w:val="es-ES" w:eastAsia="es-ES"/>
              </w:rPr>
              <w:t>Pequeñas</w:t>
            </w:r>
          </w:p>
        </w:tc>
        <w:tc>
          <w:tcPr>
            <w:tcW w:w="1005" w:type="dxa"/>
            <w:shd w:val="clear" w:color="auto" w:fill="auto"/>
            <w:noWrap/>
            <w:vAlign w:val="center"/>
            <w:hideMark/>
          </w:tcPr>
          <w:p w14:paraId="10D6EF36" w14:textId="77777777" w:rsidR="007133FB" w:rsidRPr="00BF3EBA" w:rsidRDefault="007133FB" w:rsidP="007133FB">
            <w:pPr>
              <w:spacing w:after="0"/>
              <w:jc w:val="center"/>
              <w:rPr>
                <w:rFonts w:ascii="Century Gothic" w:hAnsi="Century Gothic"/>
                <w:b/>
                <w:bCs/>
                <w:color w:val="000000"/>
                <w:sz w:val="18"/>
                <w:szCs w:val="18"/>
                <w:lang w:val="es-ES" w:eastAsia="es-ES"/>
              </w:rPr>
            </w:pPr>
            <w:r w:rsidRPr="00BF3EBA">
              <w:rPr>
                <w:rFonts w:ascii="Century Gothic" w:hAnsi="Century Gothic"/>
                <w:b/>
                <w:bCs/>
                <w:color w:val="000000"/>
                <w:sz w:val="18"/>
                <w:szCs w:val="18"/>
                <w:lang w:val="es-ES" w:eastAsia="es-ES"/>
              </w:rPr>
              <w:t>Medianas</w:t>
            </w:r>
          </w:p>
        </w:tc>
        <w:tc>
          <w:tcPr>
            <w:tcW w:w="1078" w:type="dxa"/>
            <w:shd w:val="clear" w:color="auto" w:fill="auto"/>
            <w:noWrap/>
            <w:vAlign w:val="center"/>
            <w:hideMark/>
          </w:tcPr>
          <w:p w14:paraId="20A3B4A6" w14:textId="77777777" w:rsidR="007133FB" w:rsidRPr="00BF3EBA" w:rsidRDefault="007133FB" w:rsidP="007133FB">
            <w:pPr>
              <w:spacing w:after="0"/>
              <w:jc w:val="center"/>
              <w:rPr>
                <w:rFonts w:ascii="Century Gothic" w:hAnsi="Century Gothic"/>
                <w:b/>
                <w:bCs/>
                <w:color w:val="000000"/>
                <w:sz w:val="18"/>
                <w:szCs w:val="18"/>
                <w:lang w:val="es-ES" w:eastAsia="es-ES"/>
              </w:rPr>
            </w:pPr>
            <w:r w:rsidRPr="00BF3EBA">
              <w:rPr>
                <w:rFonts w:ascii="Century Gothic" w:hAnsi="Century Gothic"/>
                <w:b/>
                <w:bCs/>
                <w:color w:val="000000"/>
                <w:sz w:val="18"/>
                <w:szCs w:val="18"/>
                <w:lang w:val="es-ES" w:eastAsia="es-ES"/>
              </w:rPr>
              <w:t>PYME</w:t>
            </w:r>
          </w:p>
        </w:tc>
        <w:tc>
          <w:tcPr>
            <w:tcW w:w="1012" w:type="dxa"/>
            <w:shd w:val="clear" w:color="auto" w:fill="auto"/>
            <w:noWrap/>
            <w:vAlign w:val="center"/>
            <w:hideMark/>
          </w:tcPr>
          <w:p w14:paraId="43560977" w14:textId="77777777" w:rsidR="007133FB" w:rsidRPr="00BF3EBA" w:rsidRDefault="007133FB" w:rsidP="007133FB">
            <w:pPr>
              <w:spacing w:after="0"/>
              <w:jc w:val="center"/>
              <w:rPr>
                <w:rFonts w:ascii="Century Gothic" w:hAnsi="Century Gothic"/>
                <w:b/>
                <w:bCs/>
                <w:color w:val="000000"/>
                <w:sz w:val="18"/>
                <w:szCs w:val="18"/>
                <w:lang w:val="es-ES" w:eastAsia="es-ES"/>
              </w:rPr>
            </w:pPr>
            <w:r w:rsidRPr="00BF3EBA">
              <w:rPr>
                <w:rFonts w:ascii="Century Gothic" w:hAnsi="Century Gothic"/>
                <w:b/>
                <w:bCs/>
                <w:color w:val="000000"/>
                <w:sz w:val="18"/>
                <w:szCs w:val="18"/>
                <w:lang w:val="es-ES" w:eastAsia="es-ES"/>
              </w:rPr>
              <w:t>Grandes</w:t>
            </w:r>
          </w:p>
        </w:tc>
        <w:tc>
          <w:tcPr>
            <w:tcW w:w="1200" w:type="dxa"/>
            <w:shd w:val="clear" w:color="auto" w:fill="auto"/>
            <w:noWrap/>
            <w:vAlign w:val="center"/>
            <w:hideMark/>
          </w:tcPr>
          <w:p w14:paraId="56B5E6CE" w14:textId="77777777" w:rsidR="007133FB" w:rsidRPr="00BF3EBA" w:rsidRDefault="007133FB" w:rsidP="007133FB">
            <w:pPr>
              <w:spacing w:after="0"/>
              <w:jc w:val="center"/>
              <w:rPr>
                <w:rFonts w:ascii="Century Gothic" w:hAnsi="Century Gothic"/>
                <w:b/>
                <w:bCs/>
                <w:color w:val="000000"/>
                <w:sz w:val="18"/>
                <w:szCs w:val="18"/>
                <w:lang w:val="es-ES" w:eastAsia="es-ES"/>
              </w:rPr>
            </w:pPr>
            <w:r w:rsidRPr="00BF3EBA">
              <w:rPr>
                <w:rFonts w:ascii="Century Gothic" w:hAnsi="Century Gothic"/>
                <w:b/>
                <w:bCs/>
                <w:color w:val="000000"/>
                <w:sz w:val="18"/>
                <w:szCs w:val="18"/>
                <w:lang w:val="es-ES" w:eastAsia="es-ES"/>
              </w:rPr>
              <w:t>VAB PYME</w:t>
            </w:r>
          </w:p>
        </w:tc>
        <w:tc>
          <w:tcPr>
            <w:tcW w:w="1400" w:type="dxa"/>
            <w:shd w:val="clear" w:color="auto" w:fill="auto"/>
            <w:noWrap/>
            <w:vAlign w:val="center"/>
            <w:hideMark/>
          </w:tcPr>
          <w:p w14:paraId="1B645F1B" w14:textId="77777777" w:rsidR="007133FB" w:rsidRPr="00BF3EBA" w:rsidRDefault="007133FB" w:rsidP="007133FB">
            <w:pPr>
              <w:spacing w:after="0"/>
              <w:jc w:val="center"/>
              <w:rPr>
                <w:rFonts w:ascii="Century Gothic" w:hAnsi="Century Gothic"/>
                <w:b/>
                <w:bCs/>
                <w:color w:val="000000"/>
                <w:sz w:val="18"/>
                <w:szCs w:val="18"/>
                <w:lang w:val="es-ES" w:eastAsia="es-ES"/>
              </w:rPr>
            </w:pPr>
            <w:r w:rsidRPr="00BF3EBA">
              <w:rPr>
                <w:rFonts w:ascii="Century Gothic" w:hAnsi="Century Gothic"/>
                <w:b/>
                <w:bCs/>
                <w:color w:val="000000"/>
                <w:sz w:val="18"/>
                <w:szCs w:val="18"/>
                <w:lang w:val="es-ES" w:eastAsia="es-ES"/>
              </w:rPr>
              <w:t>Empleo PYME</w:t>
            </w:r>
          </w:p>
        </w:tc>
      </w:tr>
      <w:tr w:rsidR="007133FB" w:rsidRPr="00BF3EBA" w14:paraId="200583B9" w14:textId="77777777" w:rsidTr="007133FB">
        <w:trPr>
          <w:trHeight w:val="300"/>
        </w:trPr>
        <w:tc>
          <w:tcPr>
            <w:tcW w:w="1291" w:type="dxa"/>
            <w:shd w:val="clear" w:color="auto" w:fill="auto"/>
            <w:noWrap/>
            <w:vAlign w:val="center"/>
            <w:hideMark/>
          </w:tcPr>
          <w:p w14:paraId="697B9C0F"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Luxemburgo</w:t>
            </w:r>
          </w:p>
        </w:tc>
        <w:tc>
          <w:tcPr>
            <w:tcW w:w="1134" w:type="dxa"/>
            <w:shd w:val="clear" w:color="auto" w:fill="auto"/>
            <w:noWrap/>
            <w:vAlign w:val="center"/>
            <w:hideMark/>
          </w:tcPr>
          <w:p w14:paraId="461EE72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87,93%</w:t>
            </w:r>
          </w:p>
        </w:tc>
        <w:tc>
          <w:tcPr>
            <w:tcW w:w="1068" w:type="dxa"/>
            <w:shd w:val="clear" w:color="auto" w:fill="auto"/>
            <w:noWrap/>
            <w:vAlign w:val="center"/>
            <w:hideMark/>
          </w:tcPr>
          <w:p w14:paraId="2A96BF1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9,72%</w:t>
            </w:r>
          </w:p>
        </w:tc>
        <w:tc>
          <w:tcPr>
            <w:tcW w:w="1005" w:type="dxa"/>
            <w:shd w:val="clear" w:color="auto" w:fill="auto"/>
            <w:noWrap/>
            <w:vAlign w:val="center"/>
            <w:hideMark/>
          </w:tcPr>
          <w:p w14:paraId="742E0C8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1,91%</w:t>
            </w:r>
          </w:p>
        </w:tc>
        <w:tc>
          <w:tcPr>
            <w:tcW w:w="1078" w:type="dxa"/>
            <w:shd w:val="clear" w:color="auto" w:fill="auto"/>
            <w:noWrap/>
            <w:vAlign w:val="center"/>
            <w:hideMark/>
          </w:tcPr>
          <w:p w14:paraId="25A481B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99,56%</w:t>
            </w:r>
          </w:p>
        </w:tc>
        <w:tc>
          <w:tcPr>
            <w:tcW w:w="1012" w:type="dxa"/>
            <w:shd w:val="clear" w:color="auto" w:fill="auto"/>
            <w:noWrap/>
            <w:vAlign w:val="center"/>
            <w:hideMark/>
          </w:tcPr>
          <w:p w14:paraId="331068E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0,44%</w:t>
            </w:r>
          </w:p>
        </w:tc>
        <w:tc>
          <w:tcPr>
            <w:tcW w:w="1200" w:type="dxa"/>
            <w:shd w:val="clear" w:color="auto" w:fill="auto"/>
            <w:noWrap/>
            <w:vAlign w:val="center"/>
            <w:hideMark/>
          </w:tcPr>
          <w:p w14:paraId="1795143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69,80%</w:t>
            </w:r>
          </w:p>
        </w:tc>
        <w:tc>
          <w:tcPr>
            <w:tcW w:w="1400" w:type="dxa"/>
            <w:shd w:val="clear" w:color="auto" w:fill="auto"/>
            <w:noWrap/>
            <w:vAlign w:val="center"/>
            <w:hideMark/>
          </w:tcPr>
          <w:p w14:paraId="4D35B24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68,10%</w:t>
            </w:r>
          </w:p>
        </w:tc>
      </w:tr>
      <w:tr w:rsidR="007133FB" w:rsidRPr="00BF3EBA" w14:paraId="3C850FBA" w14:textId="77777777" w:rsidTr="007133FB">
        <w:trPr>
          <w:trHeight w:val="300"/>
        </w:trPr>
        <w:tc>
          <w:tcPr>
            <w:tcW w:w="1291" w:type="dxa"/>
            <w:shd w:val="clear" w:color="auto" w:fill="auto"/>
            <w:noWrap/>
            <w:vAlign w:val="center"/>
            <w:hideMark/>
          </w:tcPr>
          <w:p w14:paraId="0E9B0496"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Alemania</w:t>
            </w:r>
          </w:p>
        </w:tc>
        <w:tc>
          <w:tcPr>
            <w:tcW w:w="1134" w:type="dxa"/>
            <w:shd w:val="clear" w:color="auto" w:fill="auto"/>
            <w:noWrap/>
            <w:vAlign w:val="center"/>
            <w:hideMark/>
          </w:tcPr>
          <w:p w14:paraId="6C0BA0B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83,68%</w:t>
            </w:r>
          </w:p>
        </w:tc>
        <w:tc>
          <w:tcPr>
            <w:tcW w:w="1068" w:type="dxa"/>
            <w:shd w:val="clear" w:color="auto" w:fill="auto"/>
            <w:noWrap/>
            <w:vAlign w:val="center"/>
            <w:hideMark/>
          </w:tcPr>
          <w:p w14:paraId="15209AF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13,67%</w:t>
            </w:r>
          </w:p>
        </w:tc>
        <w:tc>
          <w:tcPr>
            <w:tcW w:w="1005" w:type="dxa"/>
            <w:shd w:val="clear" w:color="auto" w:fill="auto"/>
            <w:noWrap/>
            <w:vAlign w:val="center"/>
            <w:hideMark/>
          </w:tcPr>
          <w:p w14:paraId="1EE5C88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2,22%</w:t>
            </w:r>
          </w:p>
        </w:tc>
        <w:tc>
          <w:tcPr>
            <w:tcW w:w="1078" w:type="dxa"/>
            <w:shd w:val="clear" w:color="auto" w:fill="auto"/>
            <w:noWrap/>
            <w:vAlign w:val="center"/>
            <w:hideMark/>
          </w:tcPr>
          <w:p w14:paraId="704AB1D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99,57%</w:t>
            </w:r>
          </w:p>
        </w:tc>
        <w:tc>
          <w:tcPr>
            <w:tcW w:w="1012" w:type="dxa"/>
            <w:shd w:val="clear" w:color="auto" w:fill="auto"/>
            <w:noWrap/>
            <w:vAlign w:val="center"/>
            <w:hideMark/>
          </w:tcPr>
          <w:p w14:paraId="7C966EC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0,43%</w:t>
            </w:r>
          </w:p>
        </w:tc>
        <w:tc>
          <w:tcPr>
            <w:tcW w:w="1200" w:type="dxa"/>
            <w:shd w:val="clear" w:color="auto" w:fill="auto"/>
            <w:noWrap/>
            <w:vAlign w:val="center"/>
            <w:hideMark/>
          </w:tcPr>
          <w:p w14:paraId="3224E67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54,10%</w:t>
            </w:r>
          </w:p>
        </w:tc>
        <w:tc>
          <w:tcPr>
            <w:tcW w:w="1400" w:type="dxa"/>
            <w:shd w:val="clear" w:color="auto" w:fill="auto"/>
            <w:noWrap/>
            <w:vAlign w:val="center"/>
            <w:hideMark/>
          </w:tcPr>
          <w:p w14:paraId="4CAA4E2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63,40%</w:t>
            </w:r>
          </w:p>
        </w:tc>
      </w:tr>
      <w:tr w:rsidR="007133FB" w:rsidRPr="00BF3EBA" w14:paraId="432D1D19" w14:textId="77777777" w:rsidTr="007133FB">
        <w:trPr>
          <w:trHeight w:val="300"/>
        </w:trPr>
        <w:tc>
          <w:tcPr>
            <w:tcW w:w="1291" w:type="dxa"/>
            <w:shd w:val="clear" w:color="auto" w:fill="auto"/>
            <w:noWrap/>
            <w:vAlign w:val="center"/>
            <w:hideMark/>
          </w:tcPr>
          <w:p w14:paraId="57B91914"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Austria</w:t>
            </w:r>
          </w:p>
        </w:tc>
        <w:tc>
          <w:tcPr>
            <w:tcW w:w="1134" w:type="dxa"/>
            <w:shd w:val="clear" w:color="auto" w:fill="auto"/>
            <w:noWrap/>
            <w:vAlign w:val="center"/>
            <w:hideMark/>
          </w:tcPr>
          <w:p w14:paraId="7303EB2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87,34%</w:t>
            </w:r>
          </w:p>
        </w:tc>
        <w:tc>
          <w:tcPr>
            <w:tcW w:w="1068" w:type="dxa"/>
            <w:shd w:val="clear" w:color="auto" w:fill="auto"/>
            <w:noWrap/>
            <w:vAlign w:val="center"/>
            <w:hideMark/>
          </w:tcPr>
          <w:p w14:paraId="7862388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10,72%</w:t>
            </w:r>
          </w:p>
        </w:tc>
        <w:tc>
          <w:tcPr>
            <w:tcW w:w="1005" w:type="dxa"/>
            <w:shd w:val="clear" w:color="auto" w:fill="auto"/>
            <w:noWrap/>
            <w:vAlign w:val="center"/>
            <w:hideMark/>
          </w:tcPr>
          <w:p w14:paraId="6B1F4D6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1,61%</w:t>
            </w:r>
          </w:p>
        </w:tc>
        <w:tc>
          <w:tcPr>
            <w:tcW w:w="1078" w:type="dxa"/>
            <w:shd w:val="clear" w:color="auto" w:fill="auto"/>
            <w:noWrap/>
            <w:vAlign w:val="center"/>
            <w:hideMark/>
          </w:tcPr>
          <w:p w14:paraId="2AE9A22B"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99,67%</w:t>
            </w:r>
          </w:p>
        </w:tc>
        <w:tc>
          <w:tcPr>
            <w:tcW w:w="1012" w:type="dxa"/>
            <w:shd w:val="clear" w:color="auto" w:fill="auto"/>
            <w:noWrap/>
            <w:vAlign w:val="center"/>
            <w:hideMark/>
          </w:tcPr>
          <w:p w14:paraId="5FFF0A2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0,33%</w:t>
            </w:r>
          </w:p>
        </w:tc>
        <w:tc>
          <w:tcPr>
            <w:tcW w:w="1200" w:type="dxa"/>
            <w:shd w:val="clear" w:color="auto" w:fill="auto"/>
            <w:noWrap/>
            <w:vAlign w:val="center"/>
            <w:hideMark/>
          </w:tcPr>
          <w:p w14:paraId="5636A09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62,00%</w:t>
            </w:r>
          </w:p>
        </w:tc>
        <w:tc>
          <w:tcPr>
            <w:tcW w:w="1400" w:type="dxa"/>
            <w:shd w:val="clear" w:color="auto" w:fill="auto"/>
            <w:noWrap/>
            <w:vAlign w:val="center"/>
            <w:hideMark/>
          </w:tcPr>
          <w:p w14:paraId="08BC845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68,70%</w:t>
            </w:r>
          </w:p>
        </w:tc>
      </w:tr>
      <w:tr w:rsidR="007133FB" w:rsidRPr="00BF3EBA" w14:paraId="1082C4FF" w14:textId="77777777" w:rsidTr="007133FB">
        <w:trPr>
          <w:trHeight w:val="300"/>
        </w:trPr>
        <w:tc>
          <w:tcPr>
            <w:tcW w:w="1291" w:type="dxa"/>
            <w:shd w:val="clear" w:color="auto" w:fill="auto"/>
            <w:noWrap/>
            <w:vAlign w:val="center"/>
            <w:hideMark/>
          </w:tcPr>
          <w:p w14:paraId="34C223B8"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Rumania</w:t>
            </w:r>
          </w:p>
        </w:tc>
        <w:tc>
          <w:tcPr>
            <w:tcW w:w="1134" w:type="dxa"/>
            <w:shd w:val="clear" w:color="auto" w:fill="auto"/>
            <w:noWrap/>
            <w:vAlign w:val="center"/>
            <w:hideMark/>
          </w:tcPr>
          <w:p w14:paraId="16E1294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88,51%</w:t>
            </w:r>
          </w:p>
        </w:tc>
        <w:tc>
          <w:tcPr>
            <w:tcW w:w="1068" w:type="dxa"/>
            <w:shd w:val="clear" w:color="auto" w:fill="auto"/>
            <w:noWrap/>
            <w:vAlign w:val="center"/>
            <w:hideMark/>
          </w:tcPr>
          <w:p w14:paraId="56FA588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9,45%</w:t>
            </w:r>
          </w:p>
        </w:tc>
        <w:tc>
          <w:tcPr>
            <w:tcW w:w="1005" w:type="dxa"/>
            <w:shd w:val="clear" w:color="auto" w:fill="auto"/>
            <w:noWrap/>
            <w:vAlign w:val="center"/>
            <w:hideMark/>
          </w:tcPr>
          <w:p w14:paraId="5D23CA1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1,71%</w:t>
            </w:r>
          </w:p>
        </w:tc>
        <w:tc>
          <w:tcPr>
            <w:tcW w:w="1078" w:type="dxa"/>
            <w:shd w:val="clear" w:color="auto" w:fill="auto"/>
            <w:noWrap/>
            <w:vAlign w:val="center"/>
            <w:hideMark/>
          </w:tcPr>
          <w:p w14:paraId="410C253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99,67%</w:t>
            </w:r>
          </w:p>
        </w:tc>
        <w:tc>
          <w:tcPr>
            <w:tcW w:w="1012" w:type="dxa"/>
            <w:shd w:val="clear" w:color="auto" w:fill="auto"/>
            <w:noWrap/>
            <w:vAlign w:val="center"/>
            <w:hideMark/>
          </w:tcPr>
          <w:p w14:paraId="09FCF23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0,34%</w:t>
            </w:r>
          </w:p>
        </w:tc>
        <w:tc>
          <w:tcPr>
            <w:tcW w:w="1200" w:type="dxa"/>
            <w:shd w:val="clear" w:color="auto" w:fill="auto"/>
            <w:noWrap/>
            <w:vAlign w:val="center"/>
            <w:hideMark/>
          </w:tcPr>
          <w:p w14:paraId="47E61C0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52,80%</w:t>
            </w:r>
          </w:p>
        </w:tc>
        <w:tc>
          <w:tcPr>
            <w:tcW w:w="1400" w:type="dxa"/>
            <w:shd w:val="clear" w:color="auto" w:fill="auto"/>
            <w:noWrap/>
            <w:vAlign w:val="center"/>
            <w:hideMark/>
          </w:tcPr>
          <w:p w14:paraId="61CCFFEB"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66,40%</w:t>
            </w:r>
          </w:p>
        </w:tc>
      </w:tr>
      <w:tr w:rsidR="007133FB" w:rsidRPr="00BF3EBA" w14:paraId="26154D9D" w14:textId="77777777" w:rsidTr="007133FB">
        <w:trPr>
          <w:trHeight w:val="300"/>
        </w:trPr>
        <w:tc>
          <w:tcPr>
            <w:tcW w:w="1291" w:type="dxa"/>
            <w:shd w:val="clear" w:color="auto" w:fill="auto"/>
            <w:noWrap/>
            <w:vAlign w:val="center"/>
            <w:hideMark/>
          </w:tcPr>
          <w:p w14:paraId="03CC3053"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Reino Unido</w:t>
            </w:r>
          </w:p>
        </w:tc>
        <w:tc>
          <w:tcPr>
            <w:tcW w:w="1134" w:type="dxa"/>
            <w:shd w:val="clear" w:color="auto" w:fill="auto"/>
            <w:noWrap/>
            <w:vAlign w:val="center"/>
            <w:hideMark/>
          </w:tcPr>
          <w:p w14:paraId="4B6690C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89,28%</w:t>
            </w:r>
          </w:p>
        </w:tc>
        <w:tc>
          <w:tcPr>
            <w:tcW w:w="1068" w:type="dxa"/>
            <w:shd w:val="clear" w:color="auto" w:fill="auto"/>
            <w:noWrap/>
            <w:vAlign w:val="center"/>
            <w:hideMark/>
          </w:tcPr>
          <w:p w14:paraId="38CD1E1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8,93%</w:t>
            </w:r>
          </w:p>
        </w:tc>
        <w:tc>
          <w:tcPr>
            <w:tcW w:w="1005" w:type="dxa"/>
            <w:shd w:val="clear" w:color="auto" w:fill="auto"/>
            <w:noWrap/>
            <w:vAlign w:val="center"/>
            <w:hideMark/>
          </w:tcPr>
          <w:p w14:paraId="30079B7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1,46%</w:t>
            </w:r>
          </w:p>
        </w:tc>
        <w:tc>
          <w:tcPr>
            <w:tcW w:w="1078" w:type="dxa"/>
            <w:shd w:val="clear" w:color="auto" w:fill="auto"/>
            <w:noWrap/>
            <w:vAlign w:val="center"/>
            <w:hideMark/>
          </w:tcPr>
          <w:p w14:paraId="2EE2FE0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99,67%</w:t>
            </w:r>
          </w:p>
        </w:tc>
        <w:tc>
          <w:tcPr>
            <w:tcW w:w="1012" w:type="dxa"/>
            <w:shd w:val="clear" w:color="auto" w:fill="auto"/>
            <w:noWrap/>
            <w:vAlign w:val="center"/>
            <w:hideMark/>
          </w:tcPr>
          <w:p w14:paraId="5538A41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0,33%</w:t>
            </w:r>
          </w:p>
        </w:tc>
        <w:tc>
          <w:tcPr>
            <w:tcW w:w="1200" w:type="dxa"/>
            <w:shd w:val="clear" w:color="auto" w:fill="auto"/>
            <w:noWrap/>
            <w:vAlign w:val="center"/>
            <w:hideMark/>
          </w:tcPr>
          <w:p w14:paraId="78FCEE9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51,80%</w:t>
            </w:r>
          </w:p>
        </w:tc>
        <w:tc>
          <w:tcPr>
            <w:tcW w:w="1400" w:type="dxa"/>
            <w:shd w:val="clear" w:color="auto" w:fill="auto"/>
            <w:noWrap/>
            <w:vAlign w:val="center"/>
            <w:hideMark/>
          </w:tcPr>
          <w:p w14:paraId="1A5ABD1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53,50%</w:t>
            </w:r>
          </w:p>
        </w:tc>
      </w:tr>
      <w:tr w:rsidR="007133FB" w:rsidRPr="00BF3EBA" w14:paraId="11B83F14" w14:textId="77777777" w:rsidTr="007133FB">
        <w:trPr>
          <w:trHeight w:val="300"/>
        </w:trPr>
        <w:tc>
          <w:tcPr>
            <w:tcW w:w="1291" w:type="dxa"/>
            <w:shd w:val="clear" w:color="auto" w:fill="auto"/>
            <w:noWrap/>
            <w:vAlign w:val="center"/>
            <w:hideMark/>
          </w:tcPr>
          <w:p w14:paraId="1A4F383C"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Dinamarca</w:t>
            </w:r>
          </w:p>
        </w:tc>
        <w:tc>
          <w:tcPr>
            <w:tcW w:w="1134" w:type="dxa"/>
            <w:shd w:val="clear" w:color="auto" w:fill="auto"/>
            <w:noWrap/>
            <w:vAlign w:val="center"/>
            <w:hideMark/>
          </w:tcPr>
          <w:p w14:paraId="6C2D121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88,69%</w:t>
            </w:r>
          </w:p>
        </w:tc>
        <w:tc>
          <w:tcPr>
            <w:tcW w:w="1068" w:type="dxa"/>
            <w:shd w:val="clear" w:color="auto" w:fill="auto"/>
            <w:noWrap/>
            <w:vAlign w:val="center"/>
            <w:hideMark/>
          </w:tcPr>
          <w:p w14:paraId="181CC4D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9,25%</w:t>
            </w:r>
          </w:p>
        </w:tc>
        <w:tc>
          <w:tcPr>
            <w:tcW w:w="1005" w:type="dxa"/>
            <w:shd w:val="clear" w:color="auto" w:fill="auto"/>
            <w:noWrap/>
            <w:vAlign w:val="center"/>
            <w:hideMark/>
          </w:tcPr>
          <w:p w14:paraId="22B851E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1,74%</w:t>
            </w:r>
          </w:p>
        </w:tc>
        <w:tc>
          <w:tcPr>
            <w:tcW w:w="1078" w:type="dxa"/>
            <w:shd w:val="clear" w:color="auto" w:fill="auto"/>
            <w:noWrap/>
            <w:vAlign w:val="center"/>
            <w:hideMark/>
          </w:tcPr>
          <w:p w14:paraId="142C11E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99,68%</w:t>
            </w:r>
          </w:p>
        </w:tc>
        <w:tc>
          <w:tcPr>
            <w:tcW w:w="1012" w:type="dxa"/>
            <w:shd w:val="clear" w:color="auto" w:fill="auto"/>
            <w:noWrap/>
            <w:vAlign w:val="center"/>
            <w:hideMark/>
          </w:tcPr>
          <w:p w14:paraId="79B7506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0,33%</w:t>
            </w:r>
          </w:p>
        </w:tc>
        <w:tc>
          <w:tcPr>
            <w:tcW w:w="1200" w:type="dxa"/>
            <w:shd w:val="clear" w:color="auto" w:fill="auto"/>
            <w:noWrap/>
            <w:vAlign w:val="center"/>
            <w:hideMark/>
          </w:tcPr>
          <w:p w14:paraId="0893C9C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59,00%</w:t>
            </w:r>
          </w:p>
        </w:tc>
        <w:tc>
          <w:tcPr>
            <w:tcW w:w="1400" w:type="dxa"/>
            <w:shd w:val="clear" w:color="auto" w:fill="auto"/>
            <w:noWrap/>
            <w:vAlign w:val="center"/>
            <w:hideMark/>
          </w:tcPr>
          <w:p w14:paraId="28B0624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63,60%</w:t>
            </w:r>
          </w:p>
        </w:tc>
      </w:tr>
      <w:tr w:rsidR="007133FB" w:rsidRPr="00BF3EBA" w14:paraId="286D7553" w14:textId="77777777" w:rsidTr="007133FB">
        <w:trPr>
          <w:trHeight w:val="300"/>
        </w:trPr>
        <w:tc>
          <w:tcPr>
            <w:tcW w:w="1291" w:type="dxa"/>
            <w:shd w:val="clear" w:color="auto" w:fill="auto"/>
            <w:noWrap/>
            <w:vAlign w:val="center"/>
            <w:hideMark/>
          </w:tcPr>
          <w:p w14:paraId="64589597"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Finlandia</w:t>
            </w:r>
          </w:p>
        </w:tc>
        <w:tc>
          <w:tcPr>
            <w:tcW w:w="1134" w:type="dxa"/>
            <w:shd w:val="clear" w:color="auto" w:fill="auto"/>
            <w:noWrap/>
            <w:vAlign w:val="center"/>
            <w:hideMark/>
          </w:tcPr>
          <w:p w14:paraId="356FABF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91,33%</w:t>
            </w:r>
          </w:p>
        </w:tc>
        <w:tc>
          <w:tcPr>
            <w:tcW w:w="1068" w:type="dxa"/>
            <w:shd w:val="clear" w:color="auto" w:fill="auto"/>
            <w:noWrap/>
            <w:vAlign w:val="center"/>
            <w:hideMark/>
          </w:tcPr>
          <w:p w14:paraId="1824914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7,21%</w:t>
            </w:r>
          </w:p>
        </w:tc>
        <w:tc>
          <w:tcPr>
            <w:tcW w:w="1005" w:type="dxa"/>
            <w:shd w:val="clear" w:color="auto" w:fill="auto"/>
            <w:noWrap/>
            <w:vAlign w:val="center"/>
            <w:hideMark/>
          </w:tcPr>
          <w:p w14:paraId="4DE5F7E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1,20%</w:t>
            </w:r>
          </w:p>
        </w:tc>
        <w:tc>
          <w:tcPr>
            <w:tcW w:w="1078" w:type="dxa"/>
            <w:shd w:val="clear" w:color="auto" w:fill="auto"/>
            <w:noWrap/>
            <w:vAlign w:val="center"/>
            <w:hideMark/>
          </w:tcPr>
          <w:p w14:paraId="0A64521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99,74%</w:t>
            </w:r>
          </w:p>
        </w:tc>
        <w:tc>
          <w:tcPr>
            <w:tcW w:w="1012" w:type="dxa"/>
            <w:shd w:val="clear" w:color="auto" w:fill="auto"/>
            <w:noWrap/>
            <w:vAlign w:val="center"/>
            <w:hideMark/>
          </w:tcPr>
          <w:p w14:paraId="45AD981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0,26%</w:t>
            </w:r>
          </w:p>
        </w:tc>
        <w:tc>
          <w:tcPr>
            <w:tcW w:w="1200" w:type="dxa"/>
            <w:shd w:val="clear" w:color="auto" w:fill="auto"/>
            <w:noWrap/>
            <w:vAlign w:val="center"/>
            <w:hideMark/>
          </w:tcPr>
          <w:p w14:paraId="2FB0877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59,80%</w:t>
            </w:r>
          </w:p>
        </w:tc>
        <w:tc>
          <w:tcPr>
            <w:tcW w:w="1400" w:type="dxa"/>
            <w:shd w:val="clear" w:color="auto" w:fill="auto"/>
            <w:noWrap/>
            <w:vAlign w:val="center"/>
            <w:hideMark/>
          </w:tcPr>
          <w:p w14:paraId="224ABE2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65,40%</w:t>
            </w:r>
          </w:p>
        </w:tc>
      </w:tr>
      <w:tr w:rsidR="007133FB" w:rsidRPr="00BF3EBA" w14:paraId="42637E8A" w14:textId="77777777" w:rsidTr="007133FB">
        <w:trPr>
          <w:trHeight w:val="300"/>
        </w:trPr>
        <w:tc>
          <w:tcPr>
            <w:tcW w:w="1291" w:type="dxa"/>
            <w:shd w:val="clear" w:color="auto" w:fill="auto"/>
            <w:noWrap/>
            <w:vAlign w:val="center"/>
            <w:hideMark/>
          </w:tcPr>
          <w:p w14:paraId="0A3AA981"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Estonia</w:t>
            </w:r>
          </w:p>
        </w:tc>
        <w:tc>
          <w:tcPr>
            <w:tcW w:w="1134" w:type="dxa"/>
            <w:shd w:val="clear" w:color="auto" w:fill="auto"/>
            <w:noWrap/>
            <w:vAlign w:val="center"/>
            <w:hideMark/>
          </w:tcPr>
          <w:p w14:paraId="07855DC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90,53%</w:t>
            </w:r>
          </w:p>
        </w:tc>
        <w:tc>
          <w:tcPr>
            <w:tcW w:w="1068" w:type="dxa"/>
            <w:shd w:val="clear" w:color="auto" w:fill="auto"/>
            <w:noWrap/>
            <w:vAlign w:val="center"/>
            <w:hideMark/>
          </w:tcPr>
          <w:p w14:paraId="226A8F2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7,70%</w:t>
            </w:r>
          </w:p>
        </w:tc>
        <w:tc>
          <w:tcPr>
            <w:tcW w:w="1005" w:type="dxa"/>
            <w:shd w:val="clear" w:color="auto" w:fill="auto"/>
            <w:noWrap/>
            <w:vAlign w:val="center"/>
            <w:hideMark/>
          </w:tcPr>
          <w:p w14:paraId="6D0397E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1,52%</w:t>
            </w:r>
          </w:p>
        </w:tc>
        <w:tc>
          <w:tcPr>
            <w:tcW w:w="1078" w:type="dxa"/>
            <w:shd w:val="clear" w:color="auto" w:fill="auto"/>
            <w:noWrap/>
            <w:vAlign w:val="center"/>
            <w:hideMark/>
          </w:tcPr>
          <w:p w14:paraId="3DE82C2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99,75%</w:t>
            </w:r>
          </w:p>
        </w:tc>
        <w:tc>
          <w:tcPr>
            <w:tcW w:w="1012" w:type="dxa"/>
            <w:shd w:val="clear" w:color="auto" w:fill="auto"/>
            <w:noWrap/>
            <w:vAlign w:val="center"/>
            <w:hideMark/>
          </w:tcPr>
          <w:p w14:paraId="0EF196F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0,25%</w:t>
            </w:r>
          </w:p>
        </w:tc>
        <w:tc>
          <w:tcPr>
            <w:tcW w:w="1200" w:type="dxa"/>
            <w:shd w:val="clear" w:color="auto" w:fill="auto"/>
            <w:noWrap/>
            <w:vAlign w:val="center"/>
            <w:hideMark/>
          </w:tcPr>
          <w:p w14:paraId="6539B60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75,70%</w:t>
            </w:r>
          </w:p>
        </w:tc>
        <w:tc>
          <w:tcPr>
            <w:tcW w:w="1400" w:type="dxa"/>
            <w:shd w:val="clear" w:color="auto" w:fill="auto"/>
            <w:noWrap/>
            <w:vAlign w:val="center"/>
            <w:hideMark/>
          </w:tcPr>
          <w:p w14:paraId="7208459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78,00%</w:t>
            </w:r>
          </w:p>
        </w:tc>
      </w:tr>
      <w:tr w:rsidR="007133FB" w:rsidRPr="00BF3EBA" w14:paraId="732D6BB4" w14:textId="77777777" w:rsidTr="007133FB">
        <w:trPr>
          <w:trHeight w:val="300"/>
        </w:trPr>
        <w:tc>
          <w:tcPr>
            <w:tcW w:w="1291" w:type="dxa"/>
            <w:shd w:val="clear" w:color="auto" w:fill="auto"/>
            <w:noWrap/>
            <w:vAlign w:val="center"/>
            <w:hideMark/>
          </w:tcPr>
          <w:p w14:paraId="7DFA3A30"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Croacia</w:t>
            </w:r>
          </w:p>
        </w:tc>
        <w:tc>
          <w:tcPr>
            <w:tcW w:w="1134" w:type="dxa"/>
            <w:shd w:val="clear" w:color="auto" w:fill="auto"/>
            <w:noWrap/>
            <w:vAlign w:val="center"/>
            <w:hideMark/>
          </w:tcPr>
          <w:p w14:paraId="03973D4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91,60%</w:t>
            </w:r>
          </w:p>
        </w:tc>
        <w:tc>
          <w:tcPr>
            <w:tcW w:w="1068" w:type="dxa"/>
            <w:shd w:val="clear" w:color="auto" w:fill="auto"/>
            <w:noWrap/>
            <w:vAlign w:val="center"/>
            <w:hideMark/>
          </w:tcPr>
          <w:p w14:paraId="5C16676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6,99%</w:t>
            </w:r>
          </w:p>
        </w:tc>
        <w:tc>
          <w:tcPr>
            <w:tcW w:w="1005" w:type="dxa"/>
            <w:shd w:val="clear" w:color="auto" w:fill="auto"/>
            <w:noWrap/>
            <w:vAlign w:val="center"/>
            <w:hideMark/>
          </w:tcPr>
          <w:p w14:paraId="628953A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1,16%</w:t>
            </w:r>
          </w:p>
        </w:tc>
        <w:tc>
          <w:tcPr>
            <w:tcW w:w="1078" w:type="dxa"/>
            <w:shd w:val="clear" w:color="auto" w:fill="auto"/>
            <w:noWrap/>
            <w:vAlign w:val="center"/>
            <w:hideMark/>
          </w:tcPr>
          <w:p w14:paraId="495BE05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99,75%</w:t>
            </w:r>
          </w:p>
        </w:tc>
        <w:tc>
          <w:tcPr>
            <w:tcW w:w="1012" w:type="dxa"/>
            <w:shd w:val="clear" w:color="auto" w:fill="auto"/>
            <w:noWrap/>
            <w:vAlign w:val="center"/>
            <w:hideMark/>
          </w:tcPr>
          <w:p w14:paraId="64BAA1A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0,25%</w:t>
            </w:r>
          </w:p>
        </w:tc>
        <w:tc>
          <w:tcPr>
            <w:tcW w:w="1200" w:type="dxa"/>
            <w:shd w:val="clear" w:color="auto" w:fill="auto"/>
            <w:noWrap/>
            <w:vAlign w:val="center"/>
            <w:hideMark/>
          </w:tcPr>
          <w:p w14:paraId="66D77B8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59,20%</w:t>
            </w:r>
          </w:p>
        </w:tc>
        <w:tc>
          <w:tcPr>
            <w:tcW w:w="1400" w:type="dxa"/>
            <w:shd w:val="clear" w:color="auto" w:fill="auto"/>
            <w:noWrap/>
            <w:vAlign w:val="center"/>
            <w:hideMark/>
          </w:tcPr>
          <w:p w14:paraId="73AA9BF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71,10%</w:t>
            </w:r>
          </w:p>
        </w:tc>
      </w:tr>
      <w:tr w:rsidR="007133FB" w:rsidRPr="00BF3EBA" w14:paraId="7BD5993A" w14:textId="77777777" w:rsidTr="007133FB">
        <w:trPr>
          <w:trHeight w:val="300"/>
        </w:trPr>
        <w:tc>
          <w:tcPr>
            <w:tcW w:w="1291" w:type="dxa"/>
            <w:shd w:val="clear" w:color="auto" w:fill="auto"/>
            <w:noWrap/>
            <w:vAlign w:val="center"/>
            <w:hideMark/>
          </w:tcPr>
          <w:p w14:paraId="3089BBAC"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Malta</w:t>
            </w:r>
          </w:p>
        </w:tc>
        <w:tc>
          <w:tcPr>
            <w:tcW w:w="1134" w:type="dxa"/>
            <w:shd w:val="clear" w:color="auto" w:fill="auto"/>
            <w:noWrap/>
            <w:vAlign w:val="center"/>
            <w:hideMark/>
          </w:tcPr>
          <w:p w14:paraId="2EF182E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93,42%</w:t>
            </w:r>
          </w:p>
        </w:tc>
        <w:tc>
          <w:tcPr>
            <w:tcW w:w="1068" w:type="dxa"/>
            <w:shd w:val="clear" w:color="auto" w:fill="auto"/>
            <w:noWrap/>
            <w:vAlign w:val="center"/>
            <w:hideMark/>
          </w:tcPr>
          <w:p w14:paraId="02370A4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5,22%</w:t>
            </w:r>
          </w:p>
        </w:tc>
        <w:tc>
          <w:tcPr>
            <w:tcW w:w="1005" w:type="dxa"/>
            <w:shd w:val="clear" w:color="auto" w:fill="auto"/>
            <w:noWrap/>
            <w:vAlign w:val="center"/>
            <w:hideMark/>
          </w:tcPr>
          <w:p w14:paraId="1492B23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1,15%</w:t>
            </w:r>
          </w:p>
        </w:tc>
        <w:tc>
          <w:tcPr>
            <w:tcW w:w="1078" w:type="dxa"/>
            <w:shd w:val="clear" w:color="auto" w:fill="auto"/>
            <w:noWrap/>
            <w:vAlign w:val="center"/>
            <w:hideMark/>
          </w:tcPr>
          <w:p w14:paraId="5ACADE9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99,79%</w:t>
            </w:r>
          </w:p>
        </w:tc>
        <w:tc>
          <w:tcPr>
            <w:tcW w:w="1012" w:type="dxa"/>
            <w:shd w:val="clear" w:color="auto" w:fill="auto"/>
            <w:noWrap/>
            <w:vAlign w:val="center"/>
            <w:hideMark/>
          </w:tcPr>
          <w:p w14:paraId="33C9263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0,21%</w:t>
            </w:r>
          </w:p>
        </w:tc>
        <w:tc>
          <w:tcPr>
            <w:tcW w:w="1200" w:type="dxa"/>
            <w:shd w:val="clear" w:color="auto" w:fill="auto"/>
            <w:noWrap/>
            <w:vAlign w:val="center"/>
            <w:hideMark/>
          </w:tcPr>
          <w:p w14:paraId="46CBAEA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82,00%</w:t>
            </w:r>
          </w:p>
        </w:tc>
        <w:tc>
          <w:tcPr>
            <w:tcW w:w="1400" w:type="dxa"/>
            <w:shd w:val="clear" w:color="auto" w:fill="auto"/>
            <w:noWrap/>
            <w:vAlign w:val="center"/>
            <w:hideMark/>
          </w:tcPr>
          <w:p w14:paraId="0EF8DA2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79,30%</w:t>
            </w:r>
          </w:p>
        </w:tc>
      </w:tr>
      <w:tr w:rsidR="007133FB" w:rsidRPr="00BF3EBA" w14:paraId="19A6B732" w14:textId="77777777" w:rsidTr="007133FB">
        <w:trPr>
          <w:trHeight w:val="300"/>
        </w:trPr>
        <w:tc>
          <w:tcPr>
            <w:tcW w:w="1291" w:type="dxa"/>
            <w:shd w:val="clear" w:color="auto" w:fill="auto"/>
            <w:noWrap/>
            <w:vAlign w:val="center"/>
            <w:hideMark/>
          </w:tcPr>
          <w:p w14:paraId="4C643377"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Irlanda</w:t>
            </w:r>
          </w:p>
        </w:tc>
        <w:tc>
          <w:tcPr>
            <w:tcW w:w="1134" w:type="dxa"/>
            <w:shd w:val="clear" w:color="auto" w:fill="auto"/>
            <w:noWrap/>
            <w:vAlign w:val="center"/>
            <w:hideMark/>
          </w:tcPr>
          <w:p w14:paraId="3B173D9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92,57%</w:t>
            </w:r>
          </w:p>
        </w:tc>
        <w:tc>
          <w:tcPr>
            <w:tcW w:w="1068" w:type="dxa"/>
            <w:shd w:val="clear" w:color="auto" w:fill="auto"/>
            <w:noWrap/>
            <w:vAlign w:val="center"/>
            <w:hideMark/>
          </w:tcPr>
          <w:p w14:paraId="05A1954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6,19%</w:t>
            </w:r>
          </w:p>
        </w:tc>
        <w:tc>
          <w:tcPr>
            <w:tcW w:w="1005" w:type="dxa"/>
            <w:shd w:val="clear" w:color="auto" w:fill="auto"/>
            <w:noWrap/>
            <w:vAlign w:val="center"/>
            <w:hideMark/>
          </w:tcPr>
          <w:p w14:paraId="22E8A81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1,04%</w:t>
            </w:r>
          </w:p>
        </w:tc>
        <w:tc>
          <w:tcPr>
            <w:tcW w:w="1078" w:type="dxa"/>
            <w:shd w:val="clear" w:color="auto" w:fill="auto"/>
            <w:noWrap/>
            <w:vAlign w:val="center"/>
            <w:hideMark/>
          </w:tcPr>
          <w:p w14:paraId="5284AE3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99,80%</w:t>
            </w:r>
          </w:p>
        </w:tc>
        <w:tc>
          <w:tcPr>
            <w:tcW w:w="1012" w:type="dxa"/>
            <w:shd w:val="clear" w:color="auto" w:fill="auto"/>
            <w:noWrap/>
            <w:vAlign w:val="center"/>
            <w:hideMark/>
          </w:tcPr>
          <w:p w14:paraId="471CD24B"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0,20%</w:t>
            </w:r>
          </w:p>
        </w:tc>
        <w:tc>
          <w:tcPr>
            <w:tcW w:w="1200" w:type="dxa"/>
            <w:shd w:val="clear" w:color="auto" w:fill="auto"/>
            <w:noWrap/>
            <w:vAlign w:val="center"/>
            <w:hideMark/>
          </w:tcPr>
          <w:p w14:paraId="37BC5E5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36,60%</w:t>
            </w:r>
          </w:p>
        </w:tc>
        <w:tc>
          <w:tcPr>
            <w:tcW w:w="1400" w:type="dxa"/>
            <w:shd w:val="clear" w:color="auto" w:fill="auto"/>
            <w:noWrap/>
            <w:vAlign w:val="center"/>
            <w:hideMark/>
          </w:tcPr>
          <w:p w14:paraId="507AFF7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70,90%</w:t>
            </w:r>
          </w:p>
        </w:tc>
      </w:tr>
      <w:tr w:rsidR="007133FB" w:rsidRPr="00BF3EBA" w14:paraId="1C1E1CCB" w14:textId="77777777" w:rsidTr="007133FB">
        <w:trPr>
          <w:trHeight w:val="300"/>
        </w:trPr>
        <w:tc>
          <w:tcPr>
            <w:tcW w:w="1291" w:type="dxa"/>
            <w:shd w:val="clear" w:color="auto" w:fill="auto"/>
            <w:noWrap/>
            <w:vAlign w:val="center"/>
            <w:hideMark/>
          </w:tcPr>
          <w:p w14:paraId="2BCEB987"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Bulgaria</w:t>
            </w:r>
          </w:p>
        </w:tc>
        <w:tc>
          <w:tcPr>
            <w:tcW w:w="1134" w:type="dxa"/>
            <w:shd w:val="clear" w:color="auto" w:fill="auto"/>
            <w:noWrap/>
            <w:vAlign w:val="center"/>
            <w:hideMark/>
          </w:tcPr>
          <w:p w14:paraId="34B04B0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91,55%</w:t>
            </w:r>
          </w:p>
        </w:tc>
        <w:tc>
          <w:tcPr>
            <w:tcW w:w="1068" w:type="dxa"/>
            <w:shd w:val="clear" w:color="auto" w:fill="auto"/>
            <w:noWrap/>
            <w:vAlign w:val="center"/>
            <w:hideMark/>
          </w:tcPr>
          <w:p w14:paraId="6A3A52D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6,95%</w:t>
            </w:r>
          </w:p>
        </w:tc>
        <w:tc>
          <w:tcPr>
            <w:tcW w:w="1005" w:type="dxa"/>
            <w:shd w:val="clear" w:color="auto" w:fill="auto"/>
            <w:noWrap/>
            <w:vAlign w:val="center"/>
            <w:hideMark/>
          </w:tcPr>
          <w:p w14:paraId="5A889DA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1,30%</w:t>
            </w:r>
          </w:p>
        </w:tc>
        <w:tc>
          <w:tcPr>
            <w:tcW w:w="1078" w:type="dxa"/>
            <w:shd w:val="clear" w:color="auto" w:fill="auto"/>
            <w:noWrap/>
            <w:vAlign w:val="center"/>
            <w:hideMark/>
          </w:tcPr>
          <w:p w14:paraId="4615F00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99,80%</w:t>
            </w:r>
          </w:p>
        </w:tc>
        <w:tc>
          <w:tcPr>
            <w:tcW w:w="1012" w:type="dxa"/>
            <w:shd w:val="clear" w:color="auto" w:fill="auto"/>
            <w:noWrap/>
            <w:vAlign w:val="center"/>
            <w:hideMark/>
          </w:tcPr>
          <w:p w14:paraId="52A72CB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0,20%</w:t>
            </w:r>
          </w:p>
        </w:tc>
        <w:tc>
          <w:tcPr>
            <w:tcW w:w="1200" w:type="dxa"/>
            <w:shd w:val="clear" w:color="auto" w:fill="auto"/>
            <w:noWrap/>
            <w:vAlign w:val="center"/>
            <w:hideMark/>
          </w:tcPr>
          <w:p w14:paraId="726C3ED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66,70%</w:t>
            </w:r>
          </w:p>
        </w:tc>
        <w:tc>
          <w:tcPr>
            <w:tcW w:w="1400" w:type="dxa"/>
            <w:shd w:val="clear" w:color="auto" w:fill="auto"/>
            <w:noWrap/>
            <w:vAlign w:val="center"/>
            <w:hideMark/>
          </w:tcPr>
          <w:p w14:paraId="3DB321A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75,20%</w:t>
            </w:r>
          </w:p>
        </w:tc>
      </w:tr>
      <w:tr w:rsidR="007133FB" w:rsidRPr="00BF3EBA" w14:paraId="10815666" w14:textId="77777777" w:rsidTr="007133FB">
        <w:trPr>
          <w:trHeight w:val="300"/>
        </w:trPr>
        <w:tc>
          <w:tcPr>
            <w:tcW w:w="1291" w:type="dxa"/>
            <w:shd w:val="clear" w:color="auto" w:fill="auto"/>
            <w:noWrap/>
            <w:vAlign w:val="center"/>
            <w:hideMark/>
          </w:tcPr>
          <w:p w14:paraId="4A436286"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Polonia</w:t>
            </w:r>
          </w:p>
        </w:tc>
        <w:tc>
          <w:tcPr>
            <w:tcW w:w="1134" w:type="dxa"/>
            <w:shd w:val="clear" w:color="auto" w:fill="auto"/>
            <w:noWrap/>
            <w:vAlign w:val="center"/>
            <w:hideMark/>
          </w:tcPr>
          <w:p w14:paraId="1627932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95,28%</w:t>
            </w:r>
          </w:p>
        </w:tc>
        <w:tc>
          <w:tcPr>
            <w:tcW w:w="1068" w:type="dxa"/>
            <w:shd w:val="clear" w:color="auto" w:fill="auto"/>
            <w:noWrap/>
            <w:vAlign w:val="center"/>
            <w:hideMark/>
          </w:tcPr>
          <w:p w14:paraId="074555A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3,61%</w:t>
            </w:r>
          </w:p>
        </w:tc>
        <w:tc>
          <w:tcPr>
            <w:tcW w:w="1005" w:type="dxa"/>
            <w:shd w:val="clear" w:color="auto" w:fill="auto"/>
            <w:noWrap/>
            <w:vAlign w:val="center"/>
            <w:hideMark/>
          </w:tcPr>
          <w:p w14:paraId="09F2AAC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0,91%</w:t>
            </w:r>
          </w:p>
        </w:tc>
        <w:tc>
          <w:tcPr>
            <w:tcW w:w="1078" w:type="dxa"/>
            <w:shd w:val="clear" w:color="auto" w:fill="auto"/>
            <w:noWrap/>
            <w:vAlign w:val="center"/>
            <w:hideMark/>
          </w:tcPr>
          <w:p w14:paraId="3D8E4AF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99,80%</w:t>
            </w:r>
          </w:p>
        </w:tc>
        <w:tc>
          <w:tcPr>
            <w:tcW w:w="1012" w:type="dxa"/>
            <w:shd w:val="clear" w:color="auto" w:fill="auto"/>
            <w:noWrap/>
            <w:vAlign w:val="center"/>
            <w:hideMark/>
          </w:tcPr>
          <w:p w14:paraId="16DFBCA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0,20%</w:t>
            </w:r>
          </w:p>
        </w:tc>
        <w:tc>
          <w:tcPr>
            <w:tcW w:w="1200" w:type="dxa"/>
            <w:shd w:val="clear" w:color="auto" w:fill="auto"/>
            <w:noWrap/>
            <w:vAlign w:val="center"/>
            <w:hideMark/>
          </w:tcPr>
          <w:p w14:paraId="205620D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52,50%</w:t>
            </w:r>
          </w:p>
        </w:tc>
        <w:tc>
          <w:tcPr>
            <w:tcW w:w="1400" w:type="dxa"/>
            <w:shd w:val="clear" w:color="auto" w:fill="auto"/>
            <w:noWrap/>
            <w:vAlign w:val="center"/>
            <w:hideMark/>
          </w:tcPr>
          <w:p w14:paraId="2337032B"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68,40%</w:t>
            </w:r>
          </w:p>
        </w:tc>
      </w:tr>
      <w:tr w:rsidR="007133FB" w:rsidRPr="00BF3EBA" w14:paraId="5C17DFC0" w14:textId="77777777" w:rsidTr="007133FB">
        <w:trPr>
          <w:trHeight w:val="300"/>
        </w:trPr>
        <w:tc>
          <w:tcPr>
            <w:tcW w:w="1291" w:type="dxa"/>
            <w:shd w:val="clear" w:color="auto" w:fill="auto"/>
            <w:noWrap/>
            <w:vAlign w:val="center"/>
            <w:hideMark/>
          </w:tcPr>
          <w:p w14:paraId="4CDC4F5C" w14:textId="77777777" w:rsidR="007133FB" w:rsidRPr="00BF3EBA" w:rsidRDefault="007133FB" w:rsidP="007133FB">
            <w:pPr>
              <w:spacing w:after="0"/>
              <w:jc w:val="left"/>
              <w:rPr>
                <w:rFonts w:ascii="Century Gothic" w:hAnsi="Century Gothic"/>
                <w:color w:val="0000FF"/>
                <w:sz w:val="18"/>
                <w:szCs w:val="18"/>
                <w:lang w:val="es-ES" w:eastAsia="es-ES"/>
              </w:rPr>
            </w:pPr>
            <w:r w:rsidRPr="00BF3EBA">
              <w:rPr>
                <w:rFonts w:ascii="Century Gothic" w:hAnsi="Century Gothic"/>
                <w:color w:val="0000FF"/>
                <w:sz w:val="18"/>
                <w:szCs w:val="18"/>
                <w:lang w:val="es-ES" w:eastAsia="es-ES"/>
              </w:rPr>
              <w:t>UE28</w:t>
            </w:r>
          </w:p>
        </w:tc>
        <w:tc>
          <w:tcPr>
            <w:tcW w:w="1134" w:type="dxa"/>
            <w:shd w:val="clear" w:color="auto" w:fill="auto"/>
            <w:noWrap/>
            <w:vAlign w:val="center"/>
            <w:hideMark/>
          </w:tcPr>
          <w:p w14:paraId="3ADD6120" w14:textId="77777777" w:rsidR="007133FB" w:rsidRPr="00BF3EBA" w:rsidRDefault="007133FB" w:rsidP="007133FB">
            <w:pPr>
              <w:spacing w:after="0"/>
              <w:jc w:val="center"/>
              <w:rPr>
                <w:rFonts w:ascii="Century Gothic" w:hAnsi="Century Gothic"/>
                <w:color w:val="0000FF"/>
                <w:sz w:val="18"/>
                <w:szCs w:val="18"/>
                <w:lang w:val="es-ES" w:eastAsia="es-ES"/>
              </w:rPr>
            </w:pPr>
            <w:r w:rsidRPr="00BF3EBA">
              <w:rPr>
                <w:rFonts w:ascii="Century Gothic" w:hAnsi="Century Gothic"/>
                <w:color w:val="0000FF"/>
                <w:sz w:val="18"/>
                <w:szCs w:val="18"/>
                <w:lang w:val="es-ES" w:eastAsia="es-ES"/>
              </w:rPr>
              <w:t>92,75%</w:t>
            </w:r>
          </w:p>
        </w:tc>
        <w:tc>
          <w:tcPr>
            <w:tcW w:w="1068" w:type="dxa"/>
            <w:shd w:val="clear" w:color="auto" w:fill="auto"/>
            <w:noWrap/>
            <w:vAlign w:val="center"/>
            <w:hideMark/>
          </w:tcPr>
          <w:p w14:paraId="59E3E742" w14:textId="77777777" w:rsidR="007133FB" w:rsidRPr="00BF3EBA" w:rsidRDefault="007133FB" w:rsidP="007133FB">
            <w:pPr>
              <w:spacing w:after="0"/>
              <w:jc w:val="center"/>
              <w:rPr>
                <w:rFonts w:ascii="Century Gothic" w:hAnsi="Century Gothic"/>
                <w:color w:val="0000FF"/>
                <w:sz w:val="18"/>
                <w:szCs w:val="18"/>
                <w:lang w:val="es-ES" w:eastAsia="es-ES"/>
              </w:rPr>
            </w:pPr>
            <w:r w:rsidRPr="00BF3EBA">
              <w:rPr>
                <w:rFonts w:ascii="Century Gothic" w:hAnsi="Century Gothic"/>
                <w:color w:val="0000FF"/>
                <w:sz w:val="18"/>
                <w:szCs w:val="18"/>
                <w:lang w:val="es-ES" w:eastAsia="es-ES"/>
              </w:rPr>
              <w:t>6,01%</w:t>
            </w:r>
          </w:p>
        </w:tc>
        <w:tc>
          <w:tcPr>
            <w:tcW w:w="1005" w:type="dxa"/>
            <w:shd w:val="clear" w:color="auto" w:fill="auto"/>
            <w:noWrap/>
            <w:vAlign w:val="center"/>
            <w:hideMark/>
          </w:tcPr>
          <w:p w14:paraId="172BB8A1" w14:textId="77777777" w:rsidR="007133FB" w:rsidRPr="00BF3EBA" w:rsidRDefault="007133FB" w:rsidP="007133FB">
            <w:pPr>
              <w:spacing w:after="0"/>
              <w:jc w:val="center"/>
              <w:rPr>
                <w:rFonts w:ascii="Century Gothic" w:hAnsi="Century Gothic"/>
                <w:color w:val="0000FF"/>
                <w:sz w:val="18"/>
                <w:szCs w:val="18"/>
                <w:lang w:val="es-ES" w:eastAsia="es-ES"/>
              </w:rPr>
            </w:pPr>
            <w:r w:rsidRPr="00BF3EBA">
              <w:rPr>
                <w:rFonts w:ascii="Century Gothic" w:hAnsi="Century Gothic"/>
                <w:color w:val="0000FF"/>
                <w:sz w:val="18"/>
                <w:szCs w:val="18"/>
                <w:lang w:val="es-ES" w:eastAsia="es-ES"/>
              </w:rPr>
              <w:t>1,04%</w:t>
            </w:r>
          </w:p>
        </w:tc>
        <w:tc>
          <w:tcPr>
            <w:tcW w:w="1078" w:type="dxa"/>
            <w:shd w:val="clear" w:color="auto" w:fill="auto"/>
            <w:noWrap/>
            <w:vAlign w:val="center"/>
            <w:hideMark/>
          </w:tcPr>
          <w:p w14:paraId="0356B050" w14:textId="77777777" w:rsidR="007133FB" w:rsidRPr="00BF3EBA" w:rsidRDefault="007133FB" w:rsidP="007133FB">
            <w:pPr>
              <w:spacing w:after="0"/>
              <w:jc w:val="center"/>
              <w:rPr>
                <w:rFonts w:ascii="Century Gothic" w:hAnsi="Century Gothic"/>
                <w:color w:val="0000FF"/>
                <w:sz w:val="18"/>
                <w:szCs w:val="18"/>
                <w:lang w:val="es-ES" w:eastAsia="es-ES"/>
              </w:rPr>
            </w:pPr>
            <w:r w:rsidRPr="00BF3EBA">
              <w:rPr>
                <w:rFonts w:ascii="Century Gothic" w:hAnsi="Century Gothic"/>
                <w:color w:val="0000FF"/>
                <w:sz w:val="18"/>
                <w:szCs w:val="18"/>
                <w:lang w:val="es-ES" w:eastAsia="es-ES"/>
              </w:rPr>
              <w:t>99,80%</w:t>
            </w:r>
          </w:p>
        </w:tc>
        <w:tc>
          <w:tcPr>
            <w:tcW w:w="1012" w:type="dxa"/>
            <w:shd w:val="clear" w:color="auto" w:fill="auto"/>
            <w:noWrap/>
            <w:vAlign w:val="center"/>
            <w:hideMark/>
          </w:tcPr>
          <w:p w14:paraId="2FB6ACE7" w14:textId="77777777" w:rsidR="007133FB" w:rsidRPr="00BF3EBA" w:rsidRDefault="007133FB" w:rsidP="007133FB">
            <w:pPr>
              <w:spacing w:after="0"/>
              <w:jc w:val="center"/>
              <w:rPr>
                <w:rFonts w:ascii="Century Gothic" w:hAnsi="Century Gothic"/>
                <w:color w:val="0000FF"/>
                <w:sz w:val="18"/>
                <w:szCs w:val="18"/>
                <w:lang w:val="es-ES" w:eastAsia="es-ES"/>
              </w:rPr>
            </w:pPr>
            <w:r w:rsidRPr="00BF3EBA">
              <w:rPr>
                <w:rFonts w:ascii="Century Gothic" w:hAnsi="Century Gothic"/>
                <w:color w:val="0000FF"/>
                <w:sz w:val="18"/>
                <w:szCs w:val="18"/>
                <w:lang w:val="es-ES" w:eastAsia="es-ES"/>
              </w:rPr>
              <w:t>0,20%</w:t>
            </w:r>
          </w:p>
        </w:tc>
        <w:tc>
          <w:tcPr>
            <w:tcW w:w="1200" w:type="dxa"/>
            <w:shd w:val="clear" w:color="auto" w:fill="auto"/>
            <w:noWrap/>
            <w:vAlign w:val="center"/>
            <w:hideMark/>
          </w:tcPr>
          <w:p w14:paraId="0E13EA78" w14:textId="77777777" w:rsidR="007133FB" w:rsidRPr="00BF3EBA" w:rsidRDefault="007133FB" w:rsidP="007133FB">
            <w:pPr>
              <w:spacing w:after="0"/>
              <w:jc w:val="center"/>
              <w:rPr>
                <w:rFonts w:ascii="Century Gothic" w:hAnsi="Century Gothic"/>
                <w:color w:val="0000FF"/>
                <w:sz w:val="18"/>
                <w:szCs w:val="18"/>
                <w:lang w:val="es-ES" w:eastAsia="es-ES"/>
              </w:rPr>
            </w:pPr>
            <w:r w:rsidRPr="00BF3EBA">
              <w:rPr>
                <w:rFonts w:ascii="Century Gothic" w:hAnsi="Century Gothic"/>
                <w:color w:val="0000FF"/>
                <w:sz w:val="18"/>
                <w:szCs w:val="18"/>
                <w:lang w:val="es-ES" w:eastAsia="es-ES"/>
              </w:rPr>
              <w:t>56,80%</w:t>
            </w:r>
          </w:p>
        </w:tc>
        <w:tc>
          <w:tcPr>
            <w:tcW w:w="1400" w:type="dxa"/>
            <w:shd w:val="clear" w:color="auto" w:fill="auto"/>
            <w:noWrap/>
            <w:vAlign w:val="center"/>
            <w:hideMark/>
          </w:tcPr>
          <w:p w14:paraId="2D16BB30" w14:textId="77777777" w:rsidR="007133FB" w:rsidRPr="00BF3EBA" w:rsidRDefault="007133FB" w:rsidP="007133FB">
            <w:pPr>
              <w:spacing w:after="0"/>
              <w:jc w:val="center"/>
              <w:rPr>
                <w:rFonts w:ascii="Century Gothic" w:hAnsi="Century Gothic"/>
                <w:color w:val="0000FF"/>
                <w:sz w:val="18"/>
                <w:szCs w:val="18"/>
                <w:lang w:val="es-ES" w:eastAsia="es-ES"/>
              </w:rPr>
            </w:pPr>
            <w:r w:rsidRPr="00BF3EBA">
              <w:rPr>
                <w:rFonts w:ascii="Century Gothic" w:hAnsi="Century Gothic"/>
                <w:color w:val="0000FF"/>
                <w:sz w:val="18"/>
                <w:szCs w:val="18"/>
                <w:lang w:val="es-ES" w:eastAsia="es-ES"/>
              </w:rPr>
              <w:t>66,60%</w:t>
            </w:r>
          </w:p>
        </w:tc>
      </w:tr>
      <w:tr w:rsidR="007133FB" w:rsidRPr="00BF3EBA" w14:paraId="29374E3B" w14:textId="77777777" w:rsidTr="007133FB">
        <w:trPr>
          <w:trHeight w:val="300"/>
        </w:trPr>
        <w:tc>
          <w:tcPr>
            <w:tcW w:w="1291" w:type="dxa"/>
            <w:shd w:val="clear" w:color="auto" w:fill="auto"/>
            <w:noWrap/>
            <w:vAlign w:val="center"/>
            <w:hideMark/>
          </w:tcPr>
          <w:p w14:paraId="1AEFB540"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Letonia</w:t>
            </w:r>
          </w:p>
        </w:tc>
        <w:tc>
          <w:tcPr>
            <w:tcW w:w="1134" w:type="dxa"/>
            <w:shd w:val="clear" w:color="auto" w:fill="auto"/>
            <w:noWrap/>
            <w:vAlign w:val="center"/>
            <w:hideMark/>
          </w:tcPr>
          <w:p w14:paraId="79090C5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91,52%</w:t>
            </w:r>
          </w:p>
        </w:tc>
        <w:tc>
          <w:tcPr>
            <w:tcW w:w="1068" w:type="dxa"/>
            <w:shd w:val="clear" w:color="auto" w:fill="auto"/>
            <w:noWrap/>
            <w:vAlign w:val="center"/>
            <w:hideMark/>
          </w:tcPr>
          <w:p w14:paraId="6B2AAF3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6,99%</w:t>
            </w:r>
          </w:p>
        </w:tc>
        <w:tc>
          <w:tcPr>
            <w:tcW w:w="1005" w:type="dxa"/>
            <w:shd w:val="clear" w:color="auto" w:fill="auto"/>
            <w:noWrap/>
            <w:vAlign w:val="center"/>
            <w:hideMark/>
          </w:tcPr>
          <w:p w14:paraId="5F90633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1,31%</w:t>
            </w:r>
          </w:p>
        </w:tc>
        <w:tc>
          <w:tcPr>
            <w:tcW w:w="1078" w:type="dxa"/>
            <w:shd w:val="clear" w:color="auto" w:fill="auto"/>
            <w:noWrap/>
            <w:vAlign w:val="center"/>
            <w:hideMark/>
          </w:tcPr>
          <w:p w14:paraId="413A07A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99,82%</w:t>
            </w:r>
          </w:p>
        </w:tc>
        <w:tc>
          <w:tcPr>
            <w:tcW w:w="1012" w:type="dxa"/>
            <w:shd w:val="clear" w:color="auto" w:fill="auto"/>
            <w:noWrap/>
            <w:vAlign w:val="center"/>
            <w:hideMark/>
          </w:tcPr>
          <w:p w14:paraId="6A45262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0,18%</w:t>
            </w:r>
          </w:p>
        </w:tc>
        <w:tc>
          <w:tcPr>
            <w:tcW w:w="1200" w:type="dxa"/>
            <w:shd w:val="clear" w:color="auto" w:fill="auto"/>
            <w:noWrap/>
            <w:vAlign w:val="center"/>
            <w:hideMark/>
          </w:tcPr>
          <w:p w14:paraId="79D589B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69,80%</w:t>
            </w:r>
          </w:p>
        </w:tc>
        <w:tc>
          <w:tcPr>
            <w:tcW w:w="1400" w:type="dxa"/>
            <w:shd w:val="clear" w:color="auto" w:fill="auto"/>
            <w:noWrap/>
            <w:vAlign w:val="center"/>
            <w:hideMark/>
          </w:tcPr>
          <w:p w14:paraId="10124D9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79,00%</w:t>
            </w:r>
          </w:p>
        </w:tc>
      </w:tr>
      <w:tr w:rsidR="007133FB" w:rsidRPr="00BF3EBA" w14:paraId="11BE24E3" w14:textId="77777777" w:rsidTr="007133FB">
        <w:trPr>
          <w:trHeight w:val="300"/>
        </w:trPr>
        <w:tc>
          <w:tcPr>
            <w:tcW w:w="1291" w:type="dxa"/>
            <w:shd w:val="clear" w:color="auto" w:fill="auto"/>
            <w:noWrap/>
            <w:vAlign w:val="center"/>
            <w:hideMark/>
          </w:tcPr>
          <w:p w14:paraId="49C10600"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Lituania</w:t>
            </w:r>
          </w:p>
        </w:tc>
        <w:tc>
          <w:tcPr>
            <w:tcW w:w="1134" w:type="dxa"/>
            <w:shd w:val="clear" w:color="auto" w:fill="auto"/>
            <w:noWrap/>
            <w:vAlign w:val="center"/>
            <w:hideMark/>
          </w:tcPr>
          <w:p w14:paraId="0D0FFC4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92,56%</w:t>
            </w:r>
          </w:p>
        </w:tc>
        <w:tc>
          <w:tcPr>
            <w:tcW w:w="1068" w:type="dxa"/>
            <w:shd w:val="clear" w:color="auto" w:fill="auto"/>
            <w:noWrap/>
            <w:vAlign w:val="center"/>
            <w:hideMark/>
          </w:tcPr>
          <w:p w14:paraId="394EE8B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6,12%</w:t>
            </w:r>
          </w:p>
        </w:tc>
        <w:tc>
          <w:tcPr>
            <w:tcW w:w="1005" w:type="dxa"/>
            <w:shd w:val="clear" w:color="auto" w:fill="auto"/>
            <w:noWrap/>
            <w:vAlign w:val="center"/>
            <w:hideMark/>
          </w:tcPr>
          <w:p w14:paraId="2341BC8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1,15%</w:t>
            </w:r>
          </w:p>
        </w:tc>
        <w:tc>
          <w:tcPr>
            <w:tcW w:w="1078" w:type="dxa"/>
            <w:shd w:val="clear" w:color="auto" w:fill="auto"/>
            <w:noWrap/>
            <w:vAlign w:val="center"/>
            <w:hideMark/>
          </w:tcPr>
          <w:p w14:paraId="2BEA1B9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99,83%</w:t>
            </w:r>
          </w:p>
        </w:tc>
        <w:tc>
          <w:tcPr>
            <w:tcW w:w="1012" w:type="dxa"/>
            <w:shd w:val="clear" w:color="auto" w:fill="auto"/>
            <w:noWrap/>
            <w:vAlign w:val="center"/>
            <w:hideMark/>
          </w:tcPr>
          <w:p w14:paraId="4F30A76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0,18%</w:t>
            </w:r>
          </w:p>
        </w:tc>
        <w:tc>
          <w:tcPr>
            <w:tcW w:w="1200" w:type="dxa"/>
            <w:shd w:val="clear" w:color="auto" w:fill="auto"/>
            <w:noWrap/>
            <w:vAlign w:val="center"/>
            <w:hideMark/>
          </w:tcPr>
          <w:p w14:paraId="1892DB7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69,90%</w:t>
            </w:r>
          </w:p>
        </w:tc>
        <w:tc>
          <w:tcPr>
            <w:tcW w:w="1400" w:type="dxa"/>
            <w:shd w:val="clear" w:color="auto" w:fill="auto"/>
            <w:noWrap/>
            <w:vAlign w:val="center"/>
            <w:hideMark/>
          </w:tcPr>
          <w:p w14:paraId="54F9E47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75,90%</w:t>
            </w:r>
          </w:p>
        </w:tc>
      </w:tr>
      <w:tr w:rsidR="007133FB" w:rsidRPr="00BF3EBA" w14:paraId="54FE0306" w14:textId="77777777" w:rsidTr="007133FB">
        <w:trPr>
          <w:trHeight w:val="300"/>
        </w:trPr>
        <w:tc>
          <w:tcPr>
            <w:tcW w:w="1291" w:type="dxa"/>
            <w:shd w:val="clear" w:color="auto" w:fill="auto"/>
            <w:noWrap/>
            <w:vAlign w:val="center"/>
            <w:hideMark/>
          </w:tcPr>
          <w:p w14:paraId="4699DDC6"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Hungría</w:t>
            </w:r>
          </w:p>
        </w:tc>
        <w:tc>
          <w:tcPr>
            <w:tcW w:w="1134" w:type="dxa"/>
            <w:shd w:val="clear" w:color="auto" w:fill="auto"/>
            <w:noWrap/>
            <w:vAlign w:val="center"/>
            <w:hideMark/>
          </w:tcPr>
          <w:p w14:paraId="17DDCF7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94,09%</w:t>
            </w:r>
          </w:p>
        </w:tc>
        <w:tc>
          <w:tcPr>
            <w:tcW w:w="1068" w:type="dxa"/>
            <w:shd w:val="clear" w:color="auto" w:fill="auto"/>
            <w:noWrap/>
            <w:vAlign w:val="center"/>
            <w:hideMark/>
          </w:tcPr>
          <w:p w14:paraId="336C0C1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4,94%</w:t>
            </w:r>
          </w:p>
        </w:tc>
        <w:tc>
          <w:tcPr>
            <w:tcW w:w="1005" w:type="dxa"/>
            <w:shd w:val="clear" w:color="auto" w:fill="auto"/>
            <w:noWrap/>
            <w:vAlign w:val="center"/>
            <w:hideMark/>
          </w:tcPr>
          <w:p w14:paraId="53180F9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0,80%</w:t>
            </w:r>
          </w:p>
        </w:tc>
        <w:tc>
          <w:tcPr>
            <w:tcW w:w="1078" w:type="dxa"/>
            <w:shd w:val="clear" w:color="auto" w:fill="auto"/>
            <w:noWrap/>
            <w:vAlign w:val="center"/>
            <w:hideMark/>
          </w:tcPr>
          <w:p w14:paraId="5D19FF4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99,83%</w:t>
            </w:r>
          </w:p>
        </w:tc>
        <w:tc>
          <w:tcPr>
            <w:tcW w:w="1012" w:type="dxa"/>
            <w:shd w:val="clear" w:color="auto" w:fill="auto"/>
            <w:noWrap/>
            <w:vAlign w:val="center"/>
            <w:hideMark/>
          </w:tcPr>
          <w:p w14:paraId="4962F2D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0,17%</w:t>
            </w:r>
          </w:p>
        </w:tc>
        <w:tc>
          <w:tcPr>
            <w:tcW w:w="1200" w:type="dxa"/>
            <w:shd w:val="clear" w:color="auto" w:fill="auto"/>
            <w:noWrap/>
            <w:vAlign w:val="center"/>
            <w:hideMark/>
          </w:tcPr>
          <w:p w14:paraId="740B678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52,90%</w:t>
            </w:r>
          </w:p>
        </w:tc>
        <w:tc>
          <w:tcPr>
            <w:tcW w:w="1400" w:type="dxa"/>
            <w:shd w:val="clear" w:color="auto" w:fill="auto"/>
            <w:noWrap/>
            <w:vAlign w:val="center"/>
            <w:hideMark/>
          </w:tcPr>
          <w:p w14:paraId="74900AD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68,50%</w:t>
            </w:r>
          </w:p>
        </w:tc>
      </w:tr>
      <w:tr w:rsidR="007133FB" w:rsidRPr="00BF3EBA" w14:paraId="139EF895" w14:textId="77777777" w:rsidTr="007133FB">
        <w:trPr>
          <w:trHeight w:val="300"/>
        </w:trPr>
        <w:tc>
          <w:tcPr>
            <w:tcW w:w="1291" w:type="dxa"/>
            <w:shd w:val="clear" w:color="auto" w:fill="auto"/>
            <w:noWrap/>
            <w:vAlign w:val="center"/>
            <w:hideMark/>
          </w:tcPr>
          <w:p w14:paraId="2FC6DA51"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Eslovenia</w:t>
            </w:r>
          </w:p>
        </w:tc>
        <w:tc>
          <w:tcPr>
            <w:tcW w:w="1134" w:type="dxa"/>
            <w:shd w:val="clear" w:color="auto" w:fill="auto"/>
            <w:noWrap/>
            <w:vAlign w:val="center"/>
            <w:hideMark/>
          </w:tcPr>
          <w:p w14:paraId="7AB226CB"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94,73%</w:t>
            </w:r>
          </w:p>
        </w:tc>
        <w:tc>
          <w:tcPr>
            <w:tcW w:w="1068" w:type="dxa"/>
            <w:shd w:val="clear" w:color="auto" w:fill="auto"/>
            <w:noWrap/>
            <w:vAlign w:val="center"/>
            <w:hideMark/>
          </w:tcPr>
          <w:p w14:paraId="1F8743F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4,29%</w:t>
            </w:r>
          </w:p>
        </w:tc>
        <w:tc>
          <w:tcPr>
            <w:tcW w:w="1005" w:type="dxa"/>
            <w:shd w:val="clear" w:color="auto" w:fill="auto"/>
            <w:noWrap/>
            <w:vAlign w:val="center"/>
            <w:hideMark/>
          </w:tcPr>
          <w:p w14:paraId="23481FB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0,82%</w:t>
            </w:r>
          </w:p>
        </w:tc>
        <w:tc>
          <w:tcPr>
            <w:tcW w:w="1078" w:type="dxa"/>
            <w:shd w:val="clear" w:color="auto" w:fill="auto"/>
            <w:noWrap/>
            <w:vAlign w:val="center"/>
            <w:hideMark/>
          </w:tcPr>
          <w:p w14:paraId="20F4C0E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99,84%</w:t>
            </w:r>
          </w:p>
        </w:tc>
        <w:tc>
          <w:tcPr>
            <w:tcW w:w="1012" w:type="dxa"/>
            <w:shd w:val="clear" w:color="auto" w:fill="auto"/>
            <w:noWrap/>
            <w:vAlign w:val="center"/>
            <w:hideMark/>
          </w:tcPr>
          <w:p w14:paraId="68989A6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0,16%</w:t>
            </w:r>
          </w:p>
        </w:tc>
        <w:tc>
          <w:tcPr>
            <w:tcW w:w="1200" w:type="dxa"/>
            <w:shd w:val="clear" w:color="auto" w:fill="auto"/>
            <w:noWrap/>
            <w:vAlign w:val="center"/>
            <w:hideMark/>
          </w:tcPr>
          <w:p w14:paraId="41686EB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64,00%</w:t>
            </w:r>
          </w:p>
        </w:tc>
        <w:tc>
          <w:tcPr>
            <w:tcW w:w="1400" w:type="dxa"/>
            <w:shd w:val="clear" w:color="auto" w:fill="auto"/>
            <w:noWrap/>
            <w:vAlign w:val="center"/>
            <w:hideMark/>
          </w:tcPr>
          <w:p w14:paraId="5E6CEBC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73,30%</w:t>
            </w:r>
          </w:p>
        </w:tc>
      </w:tr>
      <w:tr w:rsidR="007133FB" w:rsidRPr="00BF3EBA" w14:paraId="2B2065D6" w14:textId="77777777" w:rsidTr="007133FB">
        <w:trPr>
          <w:trHeight w:val="300"/>
        </w:trPr>
        <w:tc>
          <w:tcPr>
            <w:tcW w:w="1291" w:type="dxa"/>
            <w:shd w:val="clear" w:color="auto" w:fill="auto"/>
            <w:noWrap/>
            <w:vAlign w:val="center"/>
            <w:hideMark/>
          </w:tcPr>
          <w:p w14:paraId="54B32F30"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Holanda</w:t>
            </w:r>
          </w:p>
        </w:tc>
        <w:tc>
          <w:tcPr>
            <w:tcW w:w="1134" w:type="dxa"/>
            <w:shd w:val="clear" w:color="auto" w:fill="auto"/>
            <w:noWrap/>
            <w:vAlign w:val="center"/>
            <w:hideMark/>
          </w:tcPr>
          <w:p w14:paraId="7926341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95,22%</w:t>
            </w:r>
          </w:p>
        </w:tc>
        <w:tc>
          <w:tcPr>
            <w:tcW w:w="1068" w:type="dxa"/>
            <w:shd w:val="clear" w:color="auto" w:fill="auto"/>
            <w:noWrap/>
            <w:vAlign w:val="center"/>
            <w:hideMark/>
          </w:tcPr>
          <w:p w14:paraId="49A8D5D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3,83%</w:t>
            </w:r>
          </w:p>
        </w:tc>
        <w:tc>
          <w:tcPr>
            <w:tcW w:w="1005" w:type="dxa"/>
            <w:shd w:val="clear" w:color="auto" w:fill="auto"/>
            <w:noWrap/>
            <w:vAlign w:val="center"/>
            <w:hideMark/>
          </w:tcPr>
          <w:p w14:paraId="6D201BE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0,79%</w:t>
            </w:r>
          </w:p>
        </w:tc>
        <w:tc>
          <w:tcPr>
            <w:tcW w:w="1078" w:type="dxa"/>
            <w:shd w:val="clear" w:color="auto" w:fill="auto"/>
            <w:noWrap/>
            <w:vAlign w:val="center"/>
            <w:hideMark/>
          </w:tcPr>
          <w:p w14:paraId="03DA55D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99,84%</w:t>
            </w:r>
          </w:p>
        </w:tc>
        <w:tc>
          <w:tcPr>
            <w:tcW w:w="1012" w:type="dxa"/>
            <w:shd w:val="clear" w:color="auto" w:fill="auto"/>
            <w:noWrap/>
            <w:vAlign w:val="center"/>
            <w:hideMark/>
          </w:tcPr>
          <w:p w14:paraId="6A1CD1E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0,15%</w:t>
            </w:r>
          </w:p>
        </w:tc>
        <w:tc>
          <w:tcPr>
            <w:tcW w:w="1200" w:type="dxa"/>
            <w:shd w:val="clear" w:color="auto" w:fill="auto"/>
            <w:noWrap/>
            <w:vAlign w:val="center"/>
            <w:hideMark/>
          </w:tcPr>
          <w:p w14:paraId="6EAE7EB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62,90%</w:t>
            </w:r>
          </w:p>
        </w:tc>
        <w:tc>
          <w:tcPr>
            <w:tcW w:w="1400" w:type="dxa"/>
            <w:shd w:val="clear" w:color="auto" w:fill="auto"/>
            <w:noWrap/>
            <w:vAlign w:val="center"/>
            <w:hideMark/>
          </w:tcPr>
          <w:p w14:paraId="373FF17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64,40%</w:t>
            </w:r>
          </w:p>
        </w:tc>
      </w:tr>
      <w:tr w:rsidR="007133FB" w:rsidRPr="00BF3EBA" w14:paraId="15CCDAEB" w14:textId="77777777" w:rsidTr="007133FB">
        <w:trPr>
          <w:trHeight w:val="300"/>
        </w:trPr>
        <w:tc>
          <w:tcPr>
            <w:tcW w:w="1291" w:type="dxa"/>
            <w:shd w:val="clear" w:color="auto" w:fill="auto"/>
            <w:noWrap/>
            <w:vAlign w:val="center"/>
            <w:hideMark/>
          </w:tcPr>
          <w:p w14:paraId="14EF8E46"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Bélgica</w:t>
            </w:r>
          </w:p>
        </w:tc>
        <w:tc>
          <w:tcPr>
            <w:tcW w:w="1134" w:type="dxa"/>
            <w:shd w:val="clear" w:color="auto" w:fill="auto"/>
            <w:noWrap/>
            <w:vAlign w:val="center"/>
            <w:hideMark/>
          </w:tcPr>
          <w:p w14:paraId="4531CA8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94,61%</w:t>
            </w:r>
          </w:p>
        </w:tc>
        <w:tc>
          <w:tcPr>
            <w:tcW w:w="1068" w:type="dxa"/>
            <w:shd w:val="clear" w:color="auto" w:fill="auto"/>
            <w:noWrap/>
            <w:vAlign w:val="center"/>
            <w:hideMark/>
          </w:tcPr>
          <w:p w14:paraId="22327DB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4,57%</w:t>
            </w:r>
          </w:p>
        </w:tc>
        <w:tc>
          <w:tcPr>
            <w:tcW w:w="1005" w:type="dxa"/>
            <w:shd w:val="clear" w:color="auto" w:fill="auto"/>
            <w:noWrap/>
            <w:vAlign w:val="center"/>
            <w:hideMark/>
          </w:tcPr>
          <w:p w14:paraId="060EDBC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0,67%</w:t>
            </w:r>
          </w:p>
        </w:tc>
        <w:tc>
          <w:tcPr>
            <w:tcW w:w="1078" w:type="dxa"/>
            <w:shd w:val="clear" w:color="auto" w:fill="auto"/>
            <w:noWrap/>
            <w:vAlign w:val="center"/>
            <w:hideMark/>
          </w:tcPr>
          <w:p w14:paraId="031267D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99,85%</w:t>
            </w:r>
          </w:p>
        </w:tc>
        <w:tc>
          <w:tcPr>
            <w:tcW w:w="1012" w:type="dxa"/>
            <w:shd w:val="clear" w:color="auto" w:fill="auto"/>
            <w:noWrap/>
            <w:vAlign w:val="center"/>
            <w:hideMark/>
          </w:tcPr>
          <w:p w14:paraId="74276BD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0,15%</w:t>
            </w:r>
          </w:p>
        </w:tc>
        <w:tc>
          <w:tcPr>
            <w:tcW w:w="1200" w:type="dxa"/>
            <w:shd w:val="clear" w:color="auto" w:fill="auto"/>
            <w:noWrap/>
            <w:vAlign w:val="center"/>
            <w:hideMark/>
          </w:tcPr>
          <w:p w14:paraId="2760054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62,60%</w:t>
            </w:r>
          </w:p>
        </w:tc>
        <w:tc>
          <w:tcPr>
            <w:tcW w:w="1400" w:type="dxa"/>
            <w:shd w:val="clear" w:color="auto" w:fill="auto"/>
            <w:noWrap/>
            <w:vAlign w:val="center"/>
            <w:hideMark/>
          </w:tcPr>
          <w:p w14:paraId="29B8136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69,20%</w:t>
            </w:r>
          </w:p>
        </w:tc>
      </w:tr>
      <w:tr w:rsidR="007133FB" w:rsidRPr="00BF3EBA" w14:paraId="0986D3B9" w14:textId="77777777" w:rsidTr="007133FB">
        <w:trPr>
          <w:trHeight w:val="300"/>
        </w:trPr>
        <w:tc>
          <w:tcPr>
            <w:tcW w:w="1291" w:type="dxa"/>
            <w:shd w:val="clear" w:color="auto" w:fill="auto"/>
            <w:noWrap/>
            <w:vAlign w:val="center"/>
            <w:hideMark/>
          </w:tcPr>
          <w:p w14:paraId="6EF718F3"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Suecia</w:t>
            </w:r>
          </w:p>
        </w:tc>
        <w:tc>
          <w:tcPr>
            <w:tcW w:w="1134" w:type="dxa"/>
            <w:shd w:val="clear" w:color="auto" w:fill="auto"/>
            <w:noWrap/>
            <w:vAlign w:val="center"/>
            <w:hideMark/>
          </w:tcPr>
          <w:p w14:paraId="1885093B"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94,65%</w:t>
            </w:r>
          </w:p>
        </w:tc>
        <w:tc>
          <w:tcPr>
            <w:tcW w:w="1068" w:type="dxa"/>
            <w:shd w:val="clear" w:color="auto" w:fill="auto"/>
            <w:noWrap/>
            <w:vAlign w:val="center"/>
            <w:hideMark/>
          </w:tcPr>
          <w:p w14:paraId="42BFE61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4,42%</w:t>
            </w:r>
          </w:p>
        </w:tc>
        <w:tc>
          <w:tcPr>
            <w:tcW w:w="1005" w:type="dxa"/>
            <w:shd w:val="clear" w:color="auto" w:fill="auto"/>
            <w:noWrap/>
            <w:vAlign w:val="center"/>
            <w:hideMark/>
          </w:tcPr>
          <w:p w14:paraId="56EAC90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0,78%</w:t>
            </w:r>
          </w:p>
        </w:tc>
        <w:tc>
          <w:tcPr>
            <w:tcW w:w="1078" w:type="dxa"/>
            <w:shd w:val="clear" w:color="auto" w:fill="auto"/>
            <w:noWrap/>
            <w:vAlign w:val="center"/>
            <w:hideMark/>
          </w:tcPr>
          <w:p w14:paraId="082F3F7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99,85%</w:t>
            </w:r>
          </w:p>
        </w:tc>
        <w:tc>
          <w:tcPr>
            <w:tcW w:w="1012" w:type="dxa"/>
            <w:shd w:val="clear" w:color="auto" w:fill="auto"/>
            <w:noWrap/>
            <w:vAlign w:val="center"/>
            <w:hideMark/>
          </w:tcPr>
          <w:p w14:paraId="17A20F2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0,15%</w:t>
            </w:r>
          </w:p>
        </w:tc>
        <w:tc>
          <w:tcPr>
            <w:tcW w:w="1200" w:type="dxa"/>
            <w:shd w:val="clear" w:color="auto" w:fill="auto"/>
            <w:noWrap/>
            <w:vAlign w:val="center"/>
            <w:hideMark/>
          </w:tcPr>
          <w:p w14:paraId="3F2CD02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60,50%</w:t>
            </w:r>
          </w:p>
        </w:tc>
        <w:tc>
          <w:tcPr>
            <w:tcW w:w="1400" w:type="dxa"/>
            <w:shd w:val="clear" w:color="auto" w:fill="auto"/>
            <w:noWrap/>
            <w:vAlign w:val="center"/>
            <w:hideMark/>
          </w:tcPr>
          <w:p w14:paraId="3539E80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66,30%</w:t>
            </w:r>
          </w:p>
        </w:tc>
      </w:tr>
      <w:tr w:rsidR="007133FB" w:rsidRPr="00BF3EBA" w14:paraId="357BB35B" w14:textId="77777777" w:rsidTr="007133FB">
        <w:trPr>
          <w:trHeight w:val="300"/>
        </w:trPr>
        <w:tc>
          <w:tcPr>
            <w:tcW w:w="1291" w:type="dxa"/>
            <w:shd w:val="clear" w:color="auto" w:fill="auto"/>
            <w:noWrap/>
            <w:vAlign w:val="center"/>
            <w:hideMark/>
          </w:tcPr>
          <w:p w14:paraId="147513C3"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Republica Checa</w:t>
            </w:r>
          </w:p>
        </w:tc>
        <w:tc>
          <w:tcPr>
            <w:tcW w:w="1134" w:type="dxa"/>
            <w:shd w:val="clear" w:color="auto" w:fill="auto"/>
            <w:noWrap/>
            <w:vAlign w:val="center"/>
            <w:hideMark/>
          </w:tcPr>
          <w:p w14:paraId="6A83D21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96,05%</w:t>
            </w:r>
          </w:p>
        </w:tc>
        <w:tc>
          <w:tcPr>
            <w:tcW w:w="1068" w:type="dxa"/>
            <w:shd w:val="clear" w:color="auto" w:fill="auto"/>
            <w:noWrap/>
            <w:vAlign w:val="center"/>
            <w:hideMark/>
          </w:tcPr>
          <w:p w14:paraId="5E209E2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3,14%</w:t>
            </w:r>
          </w:p>
        </w:tc>
        <w:tc>
          <w:tcPr>
            <w:tcW w:w="1005" w:type="dxa"/>
            <w:shd w:val="clear" w:color="auto" w:fill="auto"/>
            <w:noWrap/>
            <w:vAlign w:val="center"/>
            <w:hideMark/>
          </w:tcPr>
          <w:p w14:paraId="2460A63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0,66%</w:t>
            </w:r>
          </w:p>
        </w:tc>
        <w:tc>
          <w:tcPr>
            <w:tcW w:w="1078" w:type="dxa"/>
            <w:shd w:val="clear" w:color="auto" w:fill="auto"/>
            <w:noWrap/>
            <w:vAlign w:val="center"/>
            <w:hideMark/>
          </w:tcPr>
          <w:p w14:paraId="2AD5A0F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99,85%</w:t>
            </w:r>
          </w:p>
        </w:tc>
        <w:tc>
          <w:tcPr>
            <w:tcW w:w="1012" w:type="dxa"/>
            <w:shd w:val="clear" w:color="auto" w:fill="auto"/>
            <w:noWrap/>
            <w:vAlign w:val="center"/>
            <w:hideMark/>
          </w:tcPr>
          <w:p w14:paraId="608BF4E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0,16%</w:t>
            </w:r>
          </w:p>
        </w:tc>
        <w:tc>
          <w:tcPr>
            <w:tcW w:w="1200" w:type="dxa"/>
            <w:shd w:val="clear" w:color="auto" w:fill="auto"/>
            <w:noWrap/>
            <w:vAlign w:val="center"/>
            <w:hideMark/>
          </w:tcPr>
          <w:p w14:paraId="743FE47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54,50%</w:t>
            </w:r>
          </w:p>
        </w:tc>
        <w:tc>
          <w:tcPr>
            <w:tcW w:w="1400" w:type="dxa"/>
            <w:shd w:val="clear" w:color="auto" w:fill="auto"/>
            <w:noWrap/>
            <w:vAlign w:val="center"/>
            <w:hideMark/>
          </w:tcPr>
          <w:p w14:paraId="522D78A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66,80%</w:t>
            </w:r>
          </w:p>
        </w:tc>
      </w:tr>
      <w:tr w:rsidR="007133FB" w:rsidRPr="00BF3EBA" w14:paraId="1958A1D4" w14:textId="77777777" w:rsidTr="007133FB">
        <w:trPr>
          <w:trHeight w:val="300"/>
        </w:trPr>
        <w:tc>
          <w:tcPr>
            <w:tcW w:w="1291" w:type="dxa"/>
            <w:shd w:val="clear" w:color="auto" w:fill="auto"/>
            <w:noWrap/>
            <w:vAlign w:val="center"/>
            <w:hideMark/>
          </w:tcPr>
          <w:p w14:paraId="659C8578"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Chipre</w:t>
            </w:r>
          </w:p>
        </w:tc>
        <w:tc>
          <w:tcPr>
            <w:tcW w:w="1134" w:type="dxa"/>
            <w:shd w:val="clear" w:color="auto" w:fill="auto"/>
            <w:noWrap/>
            <w:vAlign w:val="center"/>
            <w:hideMark/>
          </w:tcPr>
          <w:p w14:paraId="40B93D8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93,32%</w:t>
            </w:r>
          </w:p>
        </w:tc>
        <w:tc>
          <w:tcPr>
            <w:tcW w:w="1068" w:type="dxa"/>
            <w:shd w:val="clear" w:color="auto" w:fill="auto"/>
            <w:noWrap/>
            <w:vAlign w:val="center"/>
            <w:hideMark/>
          </w:tcPr>
          <w:p w14:paraId="1D799A2B"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5,64%</w:t>
            </w:r>
          </w:p>
        </w:tc>
        <w:tc>
          <w:tcPr>
            <w:tcW w:w="1005" w:type="dxa"/>
            <w:shd w:val="clear" w:color="auto" w:fill="auto"/>
            <w:noWrap/>
            <w:vAlign w:val="center"/>
            <w:hideMark/>
          </w:tcPr>
          <w:p w14:paraId="5D1C135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0,91%</w:t>
            </w:r>
          </w:p>
        </w:tc>
        <w:tc>
          <w:tcPr>
            <w:tcW w:w="1078" w:type="dxa"/>
            <w:shd w:val="clear" w:color="auto" w:fill="auto"/>
            <w:noWrap/>
            <w:vAlign w:val="center"/>
            <w:hideMark/>
          </w:tcPr>
          <w:p w14:paraId="191F323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99,87%</w:t>
            </w:r>
          </w:p>
        </w:tc>
        <w:tc>
          <w:tcPr>
            <w:tcW w:w="1012" w:type="dxa"/>
            <w:shd w:val="clear" w:color="auto" w:fill="auto"/>
            <w:noWrap/>
            <w:vAlign w:val="center"/>
            <w:hideMark/>
          </w:tcPr>
          <w:p w14:paraId="5CD675F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0,13%</w:t>
            </w:r>
          </w:p>
        </w:tc>
        <w:tc>
          <w:tcPr>
            <w:tcW w:w="1200" w:type="dxa"/>
            <w:shd w:val="clear" w:color="auto" w:fill="auto"/>
            <w:noWrap/>
            <w:vAlign w:val="center"/>
            <w:hideMark/>
          </w:tcPr>
          <w:p w14:paraId="2A788CF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72,50%</w:t>
            </w:r>
          </w:p>
        </w:tc>
        <w:tc>
          <w:tcPr>
            <w:tcW w:w="1400" w:type="dxa"/>
            <w:shd w:val="clear" w:color="auto" w:fill="auto"/>
            <w:noWrap/>
            <w:vAlign w:val="center"/>
            <w:hideMark/>
          </w:tcPr>
          <w:p w14:paraId="6DC428A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83,00%</w:t>
            </w:r>
          </w:p>
        </w:tc>
      </w:tr>
      <w:tr w:rsidR="007133FB" w:rsidRPr="00BF3EBA" w14:paraId="0A62FF0B" w14:textId="77777777" w:rsidTr="007133FB">
        <w:trPr>
          <w:trHeight w:val="300"/>
        </w:trPr>
        <w:tc>
          <w:tcPr>
            <w:tcW w:w="1291" w:type="dxa"/>
            <w:shd w:val="clear" w:color="auto" w:fill="auto"/>
            <w:noWrap/>
            <w:vAlign w:val="center"/>
            <w:hideMark/>
          </w:tcPr>
          <w:p w14:paraId="784511F6"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Francia</w:t>
            </w:r>
          </w:p>
        </w:tc>
        <w:tc>
          <w:tcPr>
            <w:tcW w:w="1134" w:type="dxa"/>
            <w:shd w:val="clear" w:color="auto" w:fill="auto"/>
            <w:noWrap/>
            <w:vAlign w:val="center"/>
            <w:hideMark/>
          </w:tcPr>
          <w:p w14:paraId="0CCF034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95,72%</w:t>
            </w:r>
          </w:p>
        </w:tc>
        <w:tc>
          <w:tcPr>
            <w:tcW w:w="1068" w:type="dxa"/>
            <w:shd w:val="clear" w:color="auto" w:fill="auto"/>
            <w:noWrap/>
            <w:vAlign w:val="center"/>
            <w:hideMark/>
          </w:tcPr>
          <w:p w14:paraId="7CBE816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3,58%</w:t>
            </w:r>
          </w:p>
        </w:tc>
        <w:tc>
          <w:tcPr>
            <w:tcW w:w="1005" w:type="dxa"/>
            <w:shd w:val="clear" w:color="auto" w:fill="auto"/>
            <w:noWrap/>
            <w:vAlign w:val="center"/>
            <w:hideMark/>
          </w:tcPr>
          <w:p w14:paraId="337743DB"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0,57%</w:t>
            </w:r>
          </w:p>
        </w:tc>
        <w:tc>
          <w:tcPr>
            <w:tcW w:w="1078" w:type="dxa"/>
            <w:shd w:val="clear" w:color="auto" w:fill="auto"/>
            <w:noWrap/>
            <w:vAlign w:val="center"/>
            <w:hideMark/>
          </w:tcPr>
          <w:p w14:paraId="0172F0B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99,87%</w:t>
            </w:r>
          </w:p>
        </w:tc>
        <w:tc>
          <w:tcPr>
            <w:tcW w:w="1012" w:type="dxa"/>
            <w:shd w:val="clear" w:color="auto" w:fill="auto"/>
            <w:noWrap/>
            <w:vAlign w:val="center"/>
            <w:hideMark/>
          </w:tcPr>
          <w:p w14:paraId="3189734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0,13%</w:t>
            </w:r>
          </w:p>
        </w:tc>
        <w:tc>
          <w:tcPr>
            <w:tcW w:w="1200" w:type="dxa"/>
            <w:shd w:val="clear" w:color="auto" w:fill="auto"/>
            <w:noWrap/>
            <w:vAlign w:val="center"/>
            <w:hideMark/>
          </w:tcPr>
          <w:p w14:paraId="01171EC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54,50%</w:t>
            </w:r>
          </w:p>
        </w:tc>
        <w:tc>
          <w:tcPr>
            <w:tcW w:w="1400" w:type="dxa"/>
            <w:shd w:val="clear" w:color="auto" w:fill="auto"/>
            <w:noWrap/>
            <w:vAlign w:val="center"/>
            <w:hideMark/>
          </w:tcPr>
          <w:p w14:paraId="6F04133D"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63,20%</w:t>
            </w:r>
          </w:p>
        </w:tc>
      </w:tr>
      <w:tr w:rsidR="007133FB" w:rsidRPr="00BF3EBA" w14:paraId="19AD8ACE" w14:textId="77777777" w:rsidTr="007133FB">
        <w:trPr>
          <w:trHeight w:val="300"/>
        </w:trPr>
        <w:tc>
          <w:tcPr>
            <w:tcW w:w="1291" w:type="dxa"/>
            <w:shd w:val="clear" w:color="auto" w:fill="auto"/>
            <w:noWrap/>
            <w:vAlign w:val="center"/>
            <w:hideMark/>
          </w:tcPr>
          <w:p w14:paraId="12DEF13C" w14:textId="77777777" w:rsidR="007133FB" w:rsidRPr="00BF3EBA" w:rsidRDefault="007133FB" w:rsidP="007133FB">
            <w:pPr>
              <w:spacing w:after="0"/>
              <w:jc w:val="left"/>
              <w:rPr>
                <w:rFonts w:ascii="Century Gothic" w:hAnsi="Century Gothic"/>
                <w:color w:val="FF0000"/>
                <w:sz w:val="18"/>
                <w:szCs w:val="18"/>
                <w:lang w:val="es-ES" w:eastAsia="es-ES"/>
              </w:rPr>
            </w:pPr>
            <w:r w:rsidRPr="00BF3EBA">
              <w:rPr>
                <w:rFonts w:ascii="Century Gothic" w:hAnsi="Century Gothic"/>
                <w:color w:val="FF0000"/>
                <w:sz w:val="18"/>
                <w:szCs w:val="18"/>
                <w:lang w:val="es-ES" w:eastAsia="es-ES"/>
              </w:rPr>
              <w:t>España</w:t>
            </w:r>
          </w:p>
        </w:tc>
        <w:tc>
          <w:tcPr>
            <w:tcW w:w="1134" w:type="dxa"/>
            <w:shd w:val="clear" w:color="auto" w:fill="auto"/>
            <w:noWrap/>
            <w:vAlign w:val="center"/>
            <w:hideMark/>
          </w:tcPr>
          <w:p w14:paraId="0DD95308" w14:textId="77777777" w:rsidR="007133FB" w:rsidRPr="00BF3EBA" w:rsidRDefault="007133FB" w:rsidP="007133FB">
            <w:pPr>
              <w:spacing w:after="0"/>
              <w:jc w:val="center"/>
              <w:rPr>
                <w:rFonts w:ascii="Century Gothic" w:hAnsi="Century Gothic"/>
                <w:color w:val="FF0000"/>
                <w:sz w:val="18"/>
                <w:szCs w:val="18"/>
                <w:lang w:val="es-ES" w:eastAsia="es-ES"/>
              </w:rPr>
            </w:pPr>
            <w:r w:rsidRPr="00BF3EBA">
              <w:rPr>
                <w:rFonts w:ascii="Century Gothic" w:hAnsi="Century Gothic"/>
                <w:color w:val="FF0000"/>
                <w:sz w:val="18"/>
                <w:szCs w:val="18"/>
                <w:lang w:val="es-ES" w:eastAsia="es-ES"/>
              </w:rPr>
              <w:t>94,93%</w:t>
            </w:r>
          </w:p>
        </w:tc>
        <w:tc>
          <w:tcPr>
            <w:tcW w:w="1068" w:type="dxa"/>
            <w:shd w:val="clear" w:color="auto" w:fill="auto"/>
            <w:noWrap/>
            <w:vAlign w:val="center"/>
            <w:hideMark/>
          </w:tcPr>
          <w:p w14:paraId="65531147" w14:textId="77777777" w:rsidR="007133FB" w:rsidRPr="00BF3EBA" w:rsidRDefault="007133FB" w:rsidP="007133FB">
            <w:pPr>
              <w:spacing w:after="0"/>
              <w:jc w:val="center"/>
              <w:rPr>
                <w:rFonts w:ascii="Century Gothic" w:hAnsi="Century Gothic"/>
                <w:color w:val="FF0000"/>
                <w:sz w:val="18"/>
                <w:szCs w:val="18"/>
                <w:lang w:val="es-ES" w:eastAsia="es-ES"/>
              </w:rPr>
            </w:pPr>
            <w:r w:rsidRPr="00BF3EBA">
              <w:rPr>
                <w:rFonts w:ascii="Century Gothic" w:hAnsi="Century Gothic"/>
                <w:color w:val="FF0000"/>
                <w:sz w:val="18"/>
                <w:szCs w:val="18"/>
                <w:lang w:val="es-ES" w:eastAsia="es-ES"/>
              </w:rPr>
              <w:t>4,36%</w:t>
            </w:r>
          </w:p>
        </w:tc>
        <w:tc>
          <w:tcPr>
            <w:tcW w:w="1005" w:type="dxa"/>
            <w:shd w:val="clear" w:color="auto" w:fill="auto"/>
            <w:noWrap/>
            <w:vAlign w:val="center"/>
            <w:hideMark/>
          </w:tcPr>
          <w:p w14:paraId="3ECAB38D" w14:textId="77777777" w:rsidR="007133FB" w:rsidRPr="00BF3EBA" w:rsidRDefault="007133FB" w:rsidP="007133FB">
            <w:pPr>
              <w:spacing w:after="0"/>
              <w:jc w:val="center"/>
              <w:rPr>
                <w:rFonts w:ascii="Century Gothic" w:hAnsi="Century Gothic"/>
                <w:color w:val="FF0000"/>
                <w:sz w:val="18"/>
                <w:szCs w:val="18"/>
                <w:lang w:val="es-ES" w:eastAsia="es-ES"/>
              </w:rPr>
            </w:pPr>
            <w:r w:rsidRPr="00BF3EBA">
              <w:rPr>
                <w:rFonts w:ascii="Century Gothic" w:hAnsi="Century Gothic"/>
                <w:color w:val="FF0000"/>
                <w:sz w:val="18"/>
                <w:szCs w:val="18"/>
                <w:lang w:val="es-ES" w:eastAsia="es-ES"/>
              </w:rPr>
              <w:t>0,59%</w:t>
            </w:r>
          </w:p>
        </w:tc>
        <w:tc>
          <w:tcPr>
            <w:tcW w:w="1078" w:type="dxa"/>
            <w:shd w:val="clear" w:color="auto" w:fill="auto"/>
            <w:noWrap/>
            <w:vAlign w:val="center"/>
            <w:hideMark/>
          </w:tcPr>
          <w:p w14:paraId="0156EB23" w14:textId="77777777" w:rsidR="007133FB" w:rsidRPr="00BF3EBA" w:rsidRDefault="007133FB" w:rsidP="007133FB">
            <w:pPr>
              <w:spacing w:after="0"/>
              <w:jc w:val="center"/>
              <w:rPr>
                <w:rFonts w:ascii="Century Gothic" w:hAnsi="Century Gothic"/>
                <w:color w:val="FF0000"/>
                <w:sz w:val="18"/>
                <w:szCs w:val="18"/>
                <w:lang w:val="es-ES" w:eastAsia="es-ES"/>
              </w:rPr>
            </w:pPr>
            <w:r w:rsidRPr="00BF3EBA">
              <w:rPr>
                <w:rFonts w:ascii="Century Gothic" w:hAnsi="Century Gothic"/>
                <w:color w:val="FF0000"/>
                <w:sz w:val="18"/>
                <w:szCs w:val="18"/>
                <w:lang w:val="es-ES" w:eastAsia="es-ES"/>
              </w:rPr>
              <w:t>99,88%</w:t>
            </w:r>
          </w:p>
        </w:tc>
        <w:tc>
          <w:tcPr>
            <w:tcW w:w="1012" w:type="dxa"/>
            <w:shd w:val="clear" w:color="auto" w:fill="auto"/>
            <w:noWrap/>
            <w:vAlign w:val="center"/>
            <w:hideMark/>
          </w:tcPr>
          <w:p w14:paraId="7E87590E" w14:textId="77777777" w:rsidR="007133FB" w:rsidRPr="00BF3EBA" w:rsidRDefault="007133FB" w:rsidP="007133FB">
            <w:pPr>
              <w:spacing w:after="0"/>
              <w:jc w:val="center"/>
              <w:rPr>
                <w:rFonts w:ascii="Century Gothic" w:hAnsi="Century Gothic"/>
                <w:color w:val="FF0000"/>
                <w:sz w:val="18"/>
                <w:szCs w:val="18"/>
                <w:lang w:val="es-ES" w:eastAsia="es-ES"/>
              </w:rPr>
            </w:pPr>
            <w:r w:rsidRPr="00BF3EBA">
              <w:rPr>
                <w:rFonts w:ascii="Century Gothic" w:hAnsi="Century Gothic"/>
                <w:color w:val="FF0000"/>
                <w:sz w:val="18"/>
                <w:szCs w:val="18"/>
                <w:lang w:val="es-ES" w:eastAsia="es-ES"/>
              </w:rPr>
              <w:t>0,12%</w:t>
            </w:r>
          </w:p>
        </w:tc>
        <w:tc>
          <w:tcPr>
            <w:tcW w:w="1200" w:type="dxa"/>
            <w:shd w:val="clear" w:color="auto" w:fill="auto"/>
            <w:noWrap/>
            <w:vAlign w:val="center"/>
            <w:hideMark/>
          </w:tcPr>
          <w:p w14:paraId="297068E5" w14:textId="77777777" w:rsidR="007133FB" w:rsidRPr="00BF3EBA" w:rsidRDefault="007133FB" w:rsidP="007133FB">
            <w:pPr>
              <w:spacing w:after="0"/>
              <w:jc w:val="center"/>
              <w:rPr>
                <w:rFonts w:ascii="Century Gothic" w:hAnsi="Century Gothic"/>
                <w:color w:val="FF0000"/>
                <w:sz w:val="18"/>
                <w:szCs w:val="18"/>
                <w:lang w:val="es-ES" w:eastAsia="es-ES"/>
              </w:rPr>
            </w:pPr>
            <w:r w:rsidRPr="00BF3EBA">
              <w:rPr>
                <w:rFonts w:ascii="Century Gothic" w:hAnsi="Century Gothic"/>
                <w:color w:val="FF0000"/>
                <w:sz w:val="18"/>
                <w:szCs w:val="18"/>
                <w:lang w:val="es-ES" w:eastAsia="es-ES"/>
              </w:rPr>
              <w:t>61,80%</w:t>
            </w:r>
          </w:p>
        </w:tc>
        <w:tc>
          <w:tcPr>
            <w:tcW w:w="1400" w:type="dxa"/>
            <w:shd w:val="clear" w:color="auto" w:fill="auto"/>
            <w:noWrap/>
            <w:vAlign w:val="center"/>
            <w:hideMark/>
          </w:tcPr>
          <w:p w14:paraId="5874F37B" w14:textId="77777777" w:rsidR="007133FB" w:rsidRPr="00BF3EBA" w:rsidRDefault="007133FB" w:rsidP="007133FB">
            <w:pPr>
              <w:spacing w:after="0"/>
              <w:jc w:val="center"/>
              <w:rPr>
                <w:rFonts w:ascii="Century Gothic" w:hAnsi="Century Gothic"/>
                <w:color w:val="FF0000"/>
                <w:sz w:val="18"/>
                <w:szCs w:val="18"/>
                <w:lang w:val="es-ES" w:eastAsia="es-ES"/>
              </w:rPr>
            </w:pPr>
            <w:r w:rsidRPr="00BF3EBA">
              <w:rPr>
                <w:rFonts w:ascii="Century Gothic" w:hAnsi="Century Gothic"/>
                <w:color w:val="FF0000"/>
                <w:sz w:val="18"/>
                <w:szCs w:val="18"/>
                <w:lang w:val="es-ES" w:eastAsia="es-ES"/>
              </w:rPr>
              <w:t>72,60%</w:t>
            </w:r>
          </w:p>
        </w:tc>
      </w:tr>
      <w:tr w:rsidR="007133FB" w:rsidRPr="00BF3EBA" w14:paraId="173FA728" w14:textId="77777777" w:rsidTr="007133FB">
        <w:trPr>
          <w:trHeight w:val="300"/>
        </w:trPr>
        <w:tc>
          <w:tcPr>
            <w:tcW w:w="1291" w:type="dxa"/>
            <w:shd w:val="clear" w:color="auto" w:fill="auto"/>
            <w:noWrap/>
            <w:vAlign w:val="center"/>
            <w:hideMark/>
          </w:tcPr>
          <w:p w14:paraId="31B2C180"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Eslovaquia</w:t>
            </w:r>
          </w:p>
        </w:tc>
        <w:tc>
          <w:tcPr>
            <w:tcW w:w="1134" w:type="dxa"/>
            <w:shd w:val="clear" w:color="auto" w:fill="auto"/>
            <w:noWrap/>
            <w:vAlign w:val="center"/>
            <w:hideMark/>
          </w:tcPr>
          <w:p w14:paraId="31B61BF9"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96,79%</w:t>
            </w:r>
          </w:p>
        </w:tc>
        <w:tc>
          <w:tcPr>
            <w:tcW w:w="1068" w:type="dxa"/>
            <w:shd w:val="clear" w:color="auto" w:fill="auto"/>
            <w:noWrap/>
            <w:vAlign w:val="center"/>
            <w:hideMark/>
          </w:tcPr>
          <w:p w14:paraId="325BFC7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2,60%</w:t>
            </w:r>
          </w:p>
        </w:tc>
        <w:tc>
          <w:tcPr>
            <w:tcW w:w="1005" w:type="dxa"/>
            <w:shd w:val="clear" w:color="auto" w:fill="auto"/>
            <w:noWrap/>
            <w:vAlign w:val="center"/>
            <w:hideMark/>
          </w:tcPr>
          <w:p w14:paraId="0DF064D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0,49%</w:t>
            </w:r>
          </w:p>
        </w:tc>
        <w:tc>
          <w:tcPr>
            <w:tcW w:w="1078" w:type="dxa"/>
            <w:shd w:val="clear" w:color="auto" w:fill="auto"/>
            <w:noWrap/>
            <w:vAlign w:val="center"/>
            <w:hideMark/>
          </w:tcPr>
          <w:p w14:paraId="5A59C4F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99,88%</w:t>
            </w:r>
          </w:p>
        </w:tc>
        <w:tc>
          <w:tcPr>
            <w:tcW w:w="1012" w:type="dxa"/>
            <w:shd w:val="clear" w:color="auto" w:fill="auto"/>
            <w:noWrap/>
            <w:vAlign w:val="center"/>
            <w:hideMark/>
          </w:tcPr>
          <w:p w14:paraId="40E5A29A"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0,11%</w:t>
            </w:r>
          </w:p>
        </w:tc>
        <w:tc>
          <w:tcPr>
            <w:tcW w:w="1200" w:type="dxa"/>
            <w:shd w:val="clear" w:color="auto" w:fill="auto"/>
            <w:noWrap/>
            <w:vAlign w:val="center"/>
            <w:hideMark/>
          </w:tcPr>
          <w:p w14:paraId="449BBF3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54,40%</w:t>
            </w:r>
          </w:p>
        </w:tc>
        <w:tc>
          <w:tcPr>
            <w:tcW w:w="1400" w:type="dxa"/>
            <w:shd w:val="clear" w:color="auto" w:fill="auto"/>
            <w:noWrap/>
            <w:vAlign w:val="center"/>
            <w:hideMark/>
          </w:tcPr>
          <w:p w14:paraId="26048A7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72,10%</w:t>
            </w:r>
          </w:p>
        </w:tc>
      </w:tr>
      <w:tr w:rsidR="007133FB" w:rsidRPr="00BF3EBA" w14:paraId="5D84F842" w14:textId="77777777" w:rsidTr="007133FB">
        <w:trPr>
          <w:trHeight w:val="300"/>
        </w:trPr>
        <w:tc>
          <w:tcPr>
            <w:tcW w:w="1291" w:type="dxa"/>
            <w:shd w:val="clear" w:color="auto" w:fill="auto"/>
            <w:noWrap/>
            <w:vAlign w:val="center"/>
            <w:hideMark/>
          </w:tcPr>
          <w:p w14:paraId="7FFC7368"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Portugal</w:t>
            </w:r>
          </w:p>
        </w:tc>
        <w:tc>
          <w:tcPr>
            <w:tcW w:w="1134" w:type="dxa"/>
            <w:shd w:val="clear" w:color="auto" w:fill="auto"/>
            <w:noWrap/>
            <w:vAlign w:val="center"/>
            <w:hideMark/>
          </w:tcPr>
          <w:p w14:paraId="12E460BC"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95,07%</w:t>
            </w:r>
          </w:p>
        </w:tc>
        <w:tc>
          <w:tcPr>
            <w:tcW w:w="1068" w:type="dxa"/>
            <w:shd w:val="clear" w:color="auto" w:fill="auto"/>
            <w:noWrap/>
            <w:vAlign w:val="center"/>
            <w:hideMark/>
          </w:tcPr>
          <w:p w14:paraId="5E5FBAD3"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4,19%</w:t>
            </w:r>
          </w:p>
        </w:tc>
        <w:tc>
          <w:tcPr>
            <w:tcW w:w="1005" w:type="dxa"/>
            <w:shd w:val="clear" w:color="auto" w:fill="auto"/>
            <w:noWrap/>
            <w:vAlign w:val="center"/>
            <w:hideMark/>
          </w:tcPr>
          <w:p w14:paraId="198F292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0,64%</w:t>
            </w:r>
          </w:p>
        </w:tc>
        <w:tc>
          <w:tcPr>
            <w:tcW w:w="1078" w:type="dxa"/>
            <w:shd w:val="clear" w:color="auto" w:fill="auto"/>
            <w:noWrap/>
            <w:vAlign w:val="center"/>
            <w:hideMark/>
          </w:tcPr>
          <w:p w14:paraId="242A008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99,90%</w:t>
            </w:r>
          </w:p>
        </w:tc>
        <w:tc>
          <w:tcPr>
            <w:tcW w:w="1012" w:type="dxa"/>
            <w:shd w:val="clear" w:color="auto" w:fill="auto"/>
            <w:noWrap/>
            <w:vAlign w:val="center"/>
            <w:hideMark/>
          </w:tcPr>
          <w:p w14:paraId="7A63FD1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0,10%</w:t>
            </w:r>
          </w:p>
        </w:tc>
        <w:tc>
          <w:tcPr>
            <w:tcW w:w="1200" w:type="dxa"/>
            <w:shd w:val="clear" w:color="auto" w:fill="auto"/>
            <w:noWrap/>
            <w:vAlign w:val="center"/>
            <w:hideMark/>
          </w:tcPr>
          <w:p w14:paraId="68F102FE"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68,50%</w:t>
            </w:r>
          </w:p>
        </w:tc>
        <w:tc>
          <w:tcPr>
            <w:tcW w:w="1400" w:type="dxa"/>
            <w:shd w:val="clear" w:color="auto" w:fill="auto"/>
            <w:noWrap/>
            <w:vAlign w:val="center"/>
            <w:hideMark/>
          </w:tcPr>
          <w:p w14:paraId="010CA79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78,10%</w:t>
            </w:r>
          </w:p>
        </w:tc>
      </w:tr>
      <w:tr w:rsidR="007133FB" w:rsidRPr="00BF3EBA" w14:paraId="77876BD4" w14:textId="77777777" w:rsidTr="007133FB">
        <w:trPr>
          <w:trHeight w:val="300"/>
        </w:trPr>
        <w:tc>
          <w:tcPr>
            <w:tcW w:w="1291" w:type="dxa"/>
            <w:shd w:val="clear" w:color="auto" w:fill="auto"/>
            <w:noWrap/>
            <w:vAlign w:val="center"/>
            <w:hideMark/>
          </w:tcPr>
          <w:p w14:paraId="5134D79D"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Italia</w:t>
            </w:r>
          </w:p>
        </w:tc>
        <w:tc>
          <w:tcPr>
            <w:tcW w:w="1134" w:type="dxa"/>
            <w:shd w:val="clear" w:color="auto" w:fill="auto"/>
            <w:noWrap/>
            <w:vAlign w:val="center"/>
            <w:hideMark/>
          </w:tcPr>
          <w:p w14:paraId="73408CF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95,14%</w:t>
            </w:r>
          </w:p>
        </w:tc>
        <w:tc>
          <w:tcPr>
            <w:tcW w:w="1068" w:type="dxa"/>
            <w:shd w:val="clear" w:color="auto" w:fill="auto"/>
            <w:noWrap/>
            <w:vAlign w:val="center"/>
            <w:hideMark/>
          </w:tcPr>
          <w:p w14:paraId="0E6C749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4,29%</w:t>
            </w:r>
          </w:p>
        </w:tc>
        <w:tc>
          <w:tcPr>
            <w:tcW w:w="1005" w:type="dxa"/>
            <w:shd w:val="clear" w:color="auto" w:fill="auto"/>
            <w:noWrap/>
            <w:vAlign w:val="center"/>
            <w:hideMark/>
          </w:tcPr>
          <w:p w14:paraId="71C07EF8"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0,49%</w:t>
            </w:r>
          </w:p>
        </w:tc>
        <w:tc>
          <w:tcPr>
            <w:tcW w:w="1078" w:type="dxa"/>
            <w:shd w:val="clear" w:color="auto" w:fill="auto"/>
            <w:noWrap/>
            <w:vAlign w:val="center"/>
            <w:hideMark/>
          </w:tcPr>
          <w:p w14:paraId="00D3D4F4"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99,92%</w:t>
            </w:r>
          </w:p>
        </w:tc>
        <w:tc>
          <w:tcPr>
            <w:tcW w:w="1012" w:type="dxa"/>
            <w:shd w:val="clear" w:color="auto" w:fill="auto"/>
            <w:noWrap/>
            <w:vAlign w:val="center"/>
            <w:hideMark/>
          </w:tcPr>
          <w:p w14:paraId="599D34A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0,08%</w:t>
            </w:r>
          </w:p>
        </w:tc>
        <w:tc>
          <w:tcPr>
            <w:tcW w:w="1200" w:type="dxa"/>
            <w:shd w:val="clear" w:color="auto" w:fill="auto"/>
            <w:noWrap/>
            <w:vAlign w:val="center"/>
            <w:hideMark/>
          </w:tcPr>
          <w:p w14:paraId="7EF91A3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67,70%</w:t>
            </w:r>
          </w:p>
        </w:tc>
        <w:tc>
          <w:tcPr>
            <w:tcW w:w="1400" w:type="dxa"/>
            <w:shd w:val="clear" w:color="auto" w:fill="auto"/>
            <w:noWrap/>
            <w:vAlign w:val="center"/>
            <w:hideMark/>
          </w:tcPr>
          <w:p w14:paraId="356ED252"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78,60%</w:t>
            </w:r>
          </w:p>
        </w:tc>
      </w:tr>
      <w:tr w:rsidR="007133FB" w:rsidRPr="00BF3EBA" w14:paraId="7585A2B9" w14:textId="77777777" w:rsidTr="007133FB">
        <w:trPr>
          <w:trHeight w:val="300"/>
        </w:trPr>
        <w:tc>
          <w:tcPr>
            <w:tcW w:w="1291" w:type="dxa"/>
            <w:shd w:val="clear" w:color="auto" w:fill="auto"/>
            <w:noWrap/>
            <w:vAlign w:val="center"/>
            <w:hideMark/>
          </w:tcPr>
          <w:p w14:paraId="21408E44" w14:textId="77777777" w:rsidR="007133FB" w:rsidRPr="00BF3EBA" w:rsidRDefault="007133FB" w:rsidP="007133FB">
            <w:pPr>
              <w:spacing w:after="0"/>
              <w:jc w:val="left"/>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Grecia</w:t>
            </w:r>
          </w:p>
        </w:tc>
        <w:tc>
          <w:tcPr>
            <w:tcW w:w="1134" w:type="dxa"/>
            <w:shd w:val="clear" w:color="auto" w:fill="auto"/>
            <w:noWrap/>
            <w:vAlign w:val="center"/>
            <w:hideMark/>
          </w:tcPr>
          <w:p w14:paraId="449E900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96,19%</w:t>
            </w:r>
          </w:p>
        </w:tc>
        <w:tc>
          <w:tcPr>
            <w:tcW w:w="1068" w:type="dxa"/>
            <w:shd w:val="clear" w:color="auto" w:fill="auto"/>
            <w:noWrap/>
            <w:vAlign w:val="center"/>
            <w:hideMark/>
          </w:tcPr>
          <w:p w14:paraId="1209629F"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3,38%</w:t>
            </w:r>
          </w:p>
        </w:tc>
        <w:tc>
          <w:tcPr>
            <w:tcW w:w="1005" w:type="dxa"/>
            <w:shd w:val="clear" w:color="auto" w:fill="auto"/>
            <w:noWrap/>
            <w:vAlign w:val="center"/>
            <w:hideMark/>
          </w:tcPr>
          <w:p w14:paraId="0D193911"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0,38%</w:t>
            </w:r>
          </w:p>
        </w:tc>
        <w:tc>
          <w:tcPr>
            <w:tcW w:w="1078" w:type="dxa"/>
            <w:shd w:val="clear" w:color="auto" w:fill="auto"/>
            <w:noWrap/>
            <w:vAlign w:val="center"/>
            <w:hideMark/>
          </w:tcPr>
          <w:p w14:paraId="1BAF09B5"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99,95%</w:t>
            </w:r>
          </w:p>
        </w:tc>
        <w:tc>
          <w:tcPr>
            <w:tcW w:w="1012" w:type="dxa"/>
            <w:shd w:val="clear" w:color="auto" w:fill="auto"/>
            <w:noWrap/>
            <w:vAlign w:val="center"/>
            <w:hideMark/>
          </w:tcPr>
          <w:p w14:paraId="25143800"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0,05%</w:t>
            </w:r>
          </w:p>
        </w:tc>
        <w:tc>
          <w:tcPr>
            <w:tcW w:w="1200" w:type="dxa"/>
            <w:shd w:val="clear" w:color="auto" w:fill="auto"/>
            <w:noWrap/>
            <w:vAlign w:val="center"/>
            <w:hideMark/>
          </w:tcPr>
          <w:p w14:paraId="13B52A46"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73,20%</w:t>
            </w:r>
          </w:p>
        </w:tc>
        <w:tc>
          <w:tcPr>
            <w:tcW w:w="1400" w:type="dxa"/>
            <w:shd w:val="clear" w:color="auto" w:fill="auto"/>
            <w:noWrap/>
            <w:vAlign w:val="center"/>
            <w:hideMark/>
          </w:tcPr>
          <w:p w14:paraId="282383D7" w14:textId="77777777" w:rsidR="007133FB" w:rsidRPr="00BF3EBA" w:rsidRDefault="007133FB" w:rsidP="007133FB">
            <w:pPr>
              <w:spacing w:after="0"/>
              <w:jc w:val="center"/>
              <w:rPr>
                <w:rFonts w:ascii="Century Gothic" w:hAnsi="Century Gothic"/>
                <w:color w:val="000000"/>
                <w:sz w:val="18"/>
                <w:szCs w:val="18"/>
                <w:lang w:val="es-ES" w:eastAsia="es-ES"/>
              </w:rPr>
            </w:pPr>
            <w:r w:rsidRPr="00BF3EBA">
              <w:rPr>
                <w:rFonts w:ascii="Century Gothic" w:hAnsi="Century Gothic"/>
                <w:color w:val="000000"/>
                <w:sz w:val="18"/>
                <w:szCs w:val="18"/>
                <w:lang w:val="es-ES" w:eastAsia="es-ES"/>
              </w:rPr>
              <w:t>86,90%</w:t>
            </w:r>
          </w:p>
        </w:tc>
      </w:tr>
    </w:tbl>
    <w:p w14:paraId="22C08852" w14:textId="77777777" w:rsidR="007133FB" w:rsidRDefault="007133FB" w:rsidP="007133FB">
      <w:pPr>
        <w:pStyle w:val="Body"/>
        <w:spacing w:after="0"/>
      </w:pPr>
      <w:r w:rsidRPr="00D64E44">
        <w:rPr>
          <w:i/>
          <w:iCs/>
          <w:sz w:val="16"/>
          <w:szCs w:val="16"/>
        </w:rPr>
        <w:t>Fuente: Comisión Europea, 201</w:t>
      </w:r>
      <w:r>
        <w:rPr>
          <w:i/>
          <w:iCs/>
          <w:sz w:val="16"/>
          <w:szCs w:val="16"/>
        </w:rPr>
        <w:t>7</w:t>
      </w:r>
      <w:r w:rsidRPr="00D64E44">
        <w:rPr>
          <w:i/>
          <w:iCs/>
          <w:sz w:val="16"/>
          <w:szCs w:val="16"/>
        </w:rPr>
        <w:t xml:space="preserve"> </w:t>
      </w:r>
      <w:r w:rsidRPr="002E468C">
        <w:rPr>
          <w:i/>
          <w:iCs/>
          <w:sz w:val="16"/>
          <w:szCs w:val="16"/>
        </w:rPr>
        <w:t>SME Performance Review</w:t>
      </w:r>
    </w:p>
    <w:p w14:paraId="399330B4" w14:textId="77777777" w:rsidR="007133FB" w:rsidRPr="007133FB" w:rsidRDefault="007133FB" w:rsidP="007133FB">
      <w:pPr>
        <w:pStyle w:val="Body"/>
      </w:pPr>
    </w:p>
    <w:p w14:paraId="05D2D731" w14:textId="2894CEA4" w:rsidR="0072405C" w:rsidRPr="00DB0F5A" w:rsidRDefault="00F224F9" w:rsidP="00DB0F5A">
      <w:pPr>
        <w:pStyle w:val="Ttulo1"/>
        <w:pageBreakBefore/>
        <w:numPr>
          <w:ilvl w:val="0"/>
          <w:numId w:val="28"/>
        </w:numPr>
        <w:tabs>
          <w:tab w:val="num" w:pos="432"/>
        </w:tabs>
        <w:spacing w:before="0" w:line="276" w:lineRule="auto"/>
        <w:ind w:left="431" w:hanging="431"/>
        <w:rPr>
          <w:rFonts w:cs="Arial"/>
          <w:color w:val="003399"/>
          <w:sz w:val="28"/>
          <w:szCs w:val="22"/>
          <w:lang w:val="es-ES"/>
        </w:rPr>
      </w:pPr>
      <w:bookmarkStart w:id="27" w:name="_Toc525300097"/>
      <w:bookmarkStart w:id="28" w:name="_Toc526423229"/>
      <w:r w:rsidRPr="00DB0F5A">
        <w:rPr>
          <w:rFonts w:cs="Arial"/>
          <w:color w:val="003399"/>
          <w:sz w:val="28"/>
          <w:szCs w:val="22"/>
          <w:lang w:val="es-ES"/>
        </w:rPr>
        <w:lastRenderedPageBreak/>
        <w:t>Regulación en función del tamaño en la legislación española</w:t>
      </w:r>
      <w:bookmarkEnd w:id="22"/>
      <w:bookmarkEnd w:id="27"/>
      <w:bookmarkEnd w:id="28"/>
    </w:p>
    <w:p w14:paraId="0A954EA5" w14:textId="007DB9BF" w:rsidR="002A1518" w:rsidRPr="002A1518" w:rsidRDefault="002A1518" w:rsidP="002A1518">
      <w:pPr>
        <w:pStyle w:val="Descripcin1"/>
        <w:rPr>
          <w:b w:val="0"/>
        </w:rPr>
      </w:pPr>
      <w:r w:rsidRPr="002A1518">
        <w:rPr>
          <w:b w:val="0"/>
        </w:rPr>
        <w:t>La inform</w:t>
      </w:r>
      <w:r>
        <w:rPr>
          <w:b w:val="0"/>
        </w:rPr>
        <w:t>ación siguiente se ha obtenido del informe país que realizó la Comisión Europea en el año 2016 (</w:t>
      </w:r>
      <w:r w:rsidRPr="00F64CA1">
        <w:rPr>
          <w:b w:val="0"/>
        </w:rPr>
        <w:t>Country Report Spain 2016 Including an In-Depth Review on the prevention and correction of macroeconomic imbalances – Working document  SWD(2016) 78 final</w:t>
      </w:r>
      <w:r>
        <w:rPr>
          <w:b w:val="0"/>
        </w:rPr>
        <w:t>).</w:t>
      </w:r>
    </w:p>
    <w:p w14:paraId="04961C3D" w14:textId="407AB6C4" w:rsidR="004A4FBD" w:rsidRPr="004A4FBD" w:rsidRDefault="004A4FBD" w:rsidP="004A4FBD">
      <w:pPr>
        <w:pStyle w:val="Descripcin1"/>
      </w:pPr>
      <w:bookmarkStart w:id="29" w:name="_Toc526423684"/>
      <w:r w:rsidRPr="004A4FBD">
        <w:t xml:space="preserve">Tabla </w:t>
      </w:r>
      <w:r w:rsidRPr="004A4FBD">
        <w:fldChar w:fldCharType="begin"/>
      </w:r>
      <w:r w:rsidRPr="004A4FBD">
        <w:instrText xml:space="preserve"> SEQ Tabla \* ARABIC </w:instrText>
      </w:r>
      <w:r w:rsidRPr="004A4FBD">
        <w:fldChar w:fldCharType="separate"/>
      </w:r>
      <w:r w:rsidR="00A14EAE">
        <w:rPr>
          <w:noProof/>
        </w:rPr>
        <w:t>5</w:t>
      </w:r>
      <w:r w:rsidRPr="004A4FBD">
        <w:fldChar w:fldCharType="end"/>
      </w:r>
      <w:r w:rsidRPr="004A4FBD">
        <w:t>. Regulación en función del tamaño en la legislación española</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03"/>
        <w:gridCol w:w="1290"/>
        <w:gridCol w:w="4463"/>
        <w:gridCol w:w="1358"/>
        <w:gridCol w:w="1373"/>
      </w:tblGrid>
      <w:tr w:rsidR="00924C50" w:rsidRPr="00A243FA" w14:paraId="2B0F58C8" w14:textId="77777777" w:rsidTr="004A4FBD">
        <w:trPr>
          <w:tblHeader/>
        </w:trPr>
        <w:tc>
          <w:tcPr>
            <w:tcW w:w="432" w:type="pct"/>
            <w:tcBorders>
              <w:top w:val="single" w:sz="12" w:space="0" w:color="FFCC00"/>
              <w:left w:val="nil"/>
              <w:bottom w:val="single" w:sz="4" w:space="0" w:color="auto"/>
              <w:right w:val="nil"/>
            </w:tcBorders>
            <w:shd w:val="clear" w:color="auto" w:fill="auto"/>
            <w:vAlign w:val="center"/>
          </w:tcPr>
          <w:p w14:paraId="0DC614CC" w14:textId="77777777" w:rsidR="00924C50" w:rsidRPr="00A243FA" w:rsidRDefault="00924C50" w:rsidP="00BB43C1">
            <w:pPr>
              <w:contextualSpacing/>
              <w:jc w:val="center"/>
              <w:rPr>
                <w:rFonts w:ascii="Century Gothic" w:hAnsi="Century Gothic" w:cs="Arial"/>
                <w:b/>
                <w:iCs/>
                <w:color w:val="000000"/>
                <w:sz w:val="18"/>
                <w:szCs w:val="18"/>
                <w:lang w:val="es-ES"/>
              </w:rPr>
            </w:pPr>
            <w:r w:rsidRPr="00A243FA">
              <w:rPr>
                <w:rFonts w:ascii="Century Gothic" w:hAnsi="Century Gothic" w:cs="Arial"/>
                <w:b/>
                <w:iCs/>
                <w:color w:val="000000"/>
                <w:sz w:val="18"/>
                <w:szCs w:val="18"/>
                <w:lang w:val="es-ES"/>
              </w:rPr>
              <w:t>Fuente</w:t>
            </w:r>
          </w:p>
        </w:tc>
        <w:tc>
          <w:tcPr>
            <w:tcW w:w="695" w:type="pct"/>
            <w:tcBorders>
              <w:top w:val="single" w:sz="12" w:space="0" w:color="FFCC00"/>
              <w:left w:val="nil"/>
              <w:bottom w:val="single" w:sz="12" w:space="0" w:color="000000" w:themeColor="text1"/>
              <w:right w:val="nil"/>
            </w:tcBorders>
            <w:shd w:val="clear" w:color="auto" w:fill="FFFFFF"/>
            <w:vAlign w:val="center"/>
          </w:tcPr>
          <w:p w14:paraId="03189846" w14:textId="77777777" w:rsidR="00924C50" w:rsidRPr="00A243FA" w:rsidRDefault="00924C50" w:rsidP="00BB43C1">
            <w:pPr>
              <w:contextualSpacing/>
              <w:jc w:val="center"/>
              <w:rPr>
                <w:rFonts w:ascii="Century Gothic" w:hAnsi="Century Gothic" w:cs="Arial"/>
                <w:b/>
                <w:iCs/>
                <w:color w:val="000000"/>
                <w:sz w:val="18"/>
                <w:szCs w:val="18"/>
                <w:lang w:val="es-ES"/>
              </w:rPr>
            </w:pPr>
            <w:r w:rsidRPr="00A243FA">
              <w:rPr>
                <w:rFonts w:ascii="Century Gothic" w:hAnsi="Century Gothic" w:cs="Arial"/>
                <w:b/>
                <w:iCs/>
                <w:color w:val="000000"/>
                <w:sz w:val="18"/>
                <w:szCs w:val="18"/>
                <w:lang w:val="es-ES"/>
              </w:rPr>
              <w:t>Umbral</w:t>
            </w:r>
          </w:p>
        </w:tc>
        <w:tc>
          <w:tcPr>
            <w:tcW w:w="2403" w:type="pct"/>
            <w:tcBorders>
              <w:top w:val="single" w:sz="12" w:space="0" w:color="FFCC00"/>
              <w:left w:val="nil"/>
              <w:bottom w:val="single" w:sz="12" w:space="0" w:color="000000" w:themeColor="text1"/>
              <w:right w:val="nil"/>
            </w:tcBorders>
            <w:shd w:val="clear" w:color="auto" w:fill="FFFFFF"/>
            <w:vAlign w:val="center"/>
          </w:tcPr>
          <w:p w14:paraId="619677D0" w14:textId="77777777" w:rsidR="00924C50" w:rsidRPr="00A243FA" w:rsidRDefault="00924C50" w:rsidP="00BB43C1">
            <w:pPr>
              <w:contextualSpacing/>
              <w:jc w:val="center"/>
              <w:rPr>
                <w:rFonts w:ascii="Century Gothic" w:hAnsi="Century Gothic" w:cs="Arial"/>
                <w:b/>
                <w:iCs/>
                <w:color w:val="000000"/>
                <w:sz w:val="18"/>
                <w:szCs w:val="18"/>
                <w:lang w:val="es-ES"/>
              </w:rPr>
            </w:pPr>
            <w:r w:rsidRPr="00A243FA">
              <w:rPr>
                <w:rFonts w:ascii="Century Gothic" w:hAnsi="Century Gothic" w:cs="Arial"/>
                <w:b/>
                <w:iCs/>
                <w:color w:val="000000"/>
                <w:sz w:val="18"/>
                <w:szCs w:val="18"/>
                <w:lang w:val="es-ES"/>
              </w:rPr>
              <w:t>Descripción</w:t>
            </w:r>
          </w:p>
        </w:tc>
        <w:tc>
          <w:tcPr>
            <w:tcW w:w="731" w:type="pct"/>
            <w:tcBorders>
              <w:top w:val="single" w:sz="12" w:space="0" w:color="FFCC00"/>
              <w:left w:val="nil"/>
              <w:bottom w:val="single" w:sz="12" w:space="0" w:color="000000" w:themeColor="text1"/>
              <w:right w:val="nil"/>
            </w:tcBorders>
            <w:shd w:val="clear" w:color="auto" w:fill="FFFFFF"/>
            <w:vAlign w:val="center"/>
          </w:tcPr>
          <w:p w14:paraId="647F6438" w14:textId="77777777" w:rsidR="00924C50" w:rsidRPr="00A243FA" w:rsidRDefault="00924C50" w:rsidP="00BB43C1">
            <w:pPr>
              <w:contextualSpacing/>
              <w:jc w:val="center"/>
              <w:rPr>
                <w:rFonts w:ascii="Century Gothic" w:hAnsi="Century Gothic" w:cs="Arial"/>
                <w:b/>
                <w:iCs/>
                <w:color w:val="000000"/>
                <w:sz w:val="18"/>
                <w:szCs w:val="18"/>
                <w:lang w:val="es-ES"/>
              </w:rPr>
            </w:pPr>
            <w:r w:rsidRPr="00A243FA">
              <w:rPr>
                <w:rFonts w:ascii="Century Gothic" w:hAnsi="Century Gothic" w:cs="Arial"/>
                <w:b/>
                <w:iCs/>
                <w:color w:val="000000"/>
                <w:sz w:val="18"/>
                <w:szCs w:val="18"/>
                <w:lang w:val="es-ES"/>
              </w:rPr>
              <w:t>Base jurídica</w:t>
            </w:r>
          </w:p>
        </w:tc>
        <w:tc>
          <w:tcPr>
            <w:tcW w:w="739" w:type="pct"/>
            <w:tcBorders>
              <w:top w:val="single" w:sz="12" w:space="0" w:color="FFCC00"/>
              <w:left w:val="nil"/>
              <w:bottom w:val="single" w:sz="12" w:space="0" w:color="000000" w:themeColor="text1"/>
              <w:right w:val="nil"/>
            </w:tcBorders>
            <w:shd w:val="clear" w:color="auto" w:fill="FFFFFF"/>
          </w:tcPr>
          <w:p w14:paraId="06349A47" w14:textId="77777777" w:rsidR="00924C50" w:rsidRPr="00A243FA" w:rsidRDefault="00924C50" w:rsidP="00BB43C1">
            <w:pPr>
              <w:contextualSpacing/>
              <w:jc w:val="center"/>
              <w:rPr>
                <w:rFonts w:ascii="Century Gothic" w:hAnsi="Century Gothic" w:cs="Arial"/>
                <w:b/>
                <w:iCs/>
                <w:color w:val="000000"/>
                <w:sz w:val="18"/>
                <w:szCs w:val="18"/>
                <w:lang w:val="es-ES"/>
              </w:rPr>
            </w:pPr>
            <w:r w:rsidRPr="00A243FA">
              <w:rPr>
                <w:rFonts w:ascii="Century Gothic" w:hAnsi="Century Gothic" w:cs="Arial"/>
                <w:b/>
                <w:iCs/>
                <w:color w:val="000000"/>
                <w:sz w:val="18"/>
                <w:szCs w:val="18"/>
                <w:lang w:val="es-ES"/>
              </w:rPr>
              <w:t>Última modificación</w:t>
            </w:r>
          </w:p>
        </w:tc>
      </w:tr>
      <w:tr w:rsidR="00924C50" w:rsidRPr="00A243FA" w14:paraId="5E799FF4" w14:textId="77777777" w:rsidTr="004A4FBD">
        <w:tc>
          <w:tcPr>
            <w:tcW w:w="432" w:type="pct"/>
            <w:vMerge w:val="restart"/>
            <w:tcBorders>
              <w:top w:val="single" w:sz="12" w:space="0" w:color="000000" w:themeColor="text1"/>
              <w:left w:val="nil"/>
            </w:tcBorders>
            <w:shd w:val="clear" w:color="auto" w:fill="auto"/>
            <w:textDirection w:val="btLr"/>
            <w:vAlign w:val="center"/>
          </w:tcPr>
          <w:p w14:paraId="06CDB2F9"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Regulación del mercado laboral</w:t>
            </w:r>
          </w:p>
        </w:tc>
        <w:tc>
          <w:tcPr>
            <w:tcW w:w="695" w:type="pct"/>
            <w:vMerge w:val="restart"/>
            <w:tcBorders>
              <w:top w:val="single" w:sz="12" w:space="0" w:color="000000" w:themeColor="text1"/>
            </w:tcBorders>
            <w:shd w:val="clear" w:color="auto" w:fill="auto"/>
            <w:vAlign w:val="center"/>
          </w:tcPr>
          <w:p w14:paraId="1C57A46B"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A partir de 10 empleados</w:t>
            </w:r>
          </w:p>
        </w:tc>
        <w:tc>
          <w:tcPr>
            <w:tcW w:w="2403" w:type="pct"/>
            <w:tcBorders>
              <w:top w:val="single" w:sz="12" w:space="0" w:color="000000" w:themeColor="text1"/>
            </w:tcBorders>
            <w:shd w:val="clear" w:color="auto" w:fill="FFFFFF"/>
            <w:vAlign w:val="center"/>
          </w:tcPr>
          <w:p w14:paraId="694B6BEB" w14:textId="77777777" w:rsidR="00924C50" w:rsidRPr="00A243FA" w:rsidRDefault="00924C50" w:rsidP="00BB43C1">
            <w:pPr>
              <w:contextualSpacing/>
              <w:jc w:val="left"/>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Obligación de nombrar a un delegado de personal con un crédito de 15 horas mensuales retribuidas en cada centro de trabajo para el ejercicio de sus funciones de representación</w:t>
            </w:r>
          </w:p>
        </w:tc>
        <w:tc>
          <w:tcPr>
            <w:tcW w:w="731" w:type="pct"/>
            <w:tcBorders>
              <w:top w:val="single" w:sz="12" w:space="0" w:color="000000" w:themeColor="text1"/>
            </w:tcBorders>
            <w:shd w:val="clear" w:color="auto" w:fill="FFFFFF"/>
            <w:vAlign w:val="center"/>
          </w:tcPr>
          <w:p w14:paraId="0D78086A"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Estatuto de los trabajadores</w:t>
            </w:r>
          </w:p>
        </w:tc>
        <w:tc>
          <w:tcPr>
            <w:tcW w:w="739" w:type="pct"/>
            <w:tcBorders>
              <w:top w:val="single" w:sz="12" w:space="0" w:color="000000" w:themeColor="text1"/>
              <w:right w:val="nil"/>
            </w:tcBorders>
            <w:shd w:val="clear" w:color="auto" w:fill="FFFFFF"/>
            <w:vAlign w:val="center"/>
          </w:tcPr>
          <w:p w14:paraId="50E78F84"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Mar 95</w:t>
            </w:r>
          </w:p>
        </w:tc>
      </w:tr>
      <w:tr w:rsidR="00924C50" w:rsidRPr="00A243FA" w14:paraId="58016161" w14:textId="77777777" w:rsidTr="004A4FBD">
        <w:tc>
          <w:tcPr>
            <w:tcW w:w="432" w:type="pct"/>
            <w:vMerge/>
            <w:tcBorders>
              <w:left w:val="nil"/>
            </w:tcBorders>
            <w:shd w:val="clear" w:color="auto" w:fill="auto"/>
            <w:textDirection w:val="btLr"/>
            <w:vAlign w:val="center"/>
          </w:tcPr>
          <w:p w14:paraId="7AFA4E25"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6F94E0F7"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3D8769ED" w14:textId="77777777" w:rsidR="00924C50" w:rsidRPr="00A243FA" w:rsidRDefault="00924C50" w:rsidP="00BB43C1">
            <w:pPr>
              <w:contextualSpacing/>
              <w:jc w:val="left"/>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El delegado de personal también se encarga de funciones de prevención de riesgos. Sin embargo, el propietario de la empresa puede asumir estas funciones en empresas con menos de 25 empleados y cuenta con competencias apropiadas ay lleva a cabo regularmente sus funciones en el centro de trabajo.</w:t>
            </w:r>
          </w:p>
        </w:tc>
        <w:tc>
          <w:tcPr>
            <w:tcW w:w="731" w:type="pct"/>
            <w:shd w:val="clear" w:color="auto" w:fill="FFFFFF"/>
            <w:vAlign w:val="center"/>
          </w:tcPr>
          <w:p w14:paraId="0EF78F3A"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Ley de prevención de riesgos</w:t>
            </w:r>
          </w:p>
        </w:tc>
        <w:tc>
          <w:tcPr>
            <w:tcW w:w="739" w:type="pct"/>
            <w:tcBorders>
              <w:right w:val="nil"/>
            </w:tcBorders>
            <w:shd w:val="clear" w:color="auto" w:fill="FFFFFF"/>
            <w:vAlign w:val="center"/>
          </w:tcPr>
          <w:p w14:paraId="4A3E6DA6"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Sep.13</w:t>
            </w:r>
          </w:p>
        </w:tc>
      </w:tr>
      <w:tr w:rsidR="00924C50" w:rsidRPr="00A243FA" w14:paraId="62944C80" w14:textId="77777777" w:rsidTr="004A4FBD">
        <w:tc>
          <w:tcPr>
            <w:tcW w:w="432" w:type="pct"/>
            <w:vMerge/>
            <w:tcBorders>
              <w:left w:val="nil"/>
            </w:tcBorders>
            <w:shd w:val="clear" w:color="auto" w:fill="auto"/>
            <w:textDirection w:val="btLr"/>
            <w:vAlign w:val="center"/>
          </w:tcPr>
          <w:p w14:paraId="4801AB8B"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031EBD28"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4D4B49D9" w14:textId="77777777" w:rsidR="00924C50" w:rsidRPr="00A243FA" w:rsidRDefault="00924C50" w:rsidP="00BB43C1">
            <w:pPr>
              <w:contextualSpacing/>
              <w:jc w:val="left"/>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Se aplica la regulación en materia de despidos colectivos a las empresas con 10 trabajadores en caso de que todos ellos sean despedidos.</w:t>
            </w:r>
          </w:p>
        </w:tc>
        <w:tc>
          <w:tcPr>
            <w:tcW w:w="731" w:type="pct"/>
            <w:shd w:val="clear" w:color="auto" w:fill="FFFFFF"/>
            <w:vAlign w:val="center"/>
          </w:tcPr>
          <w:p w14:paraId="5C5CEB04"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Estatuto de los Trabajadores</w:t>
            </w:r>
          </w:p>
        </w:tc>
        <w:tc>
          <w:tcPr>
            <w:tcW w:w="739" w:type="pct"/>
            <w:tcBorders>
              <w:right w:val="nil"/>
            </w:tcBorders>
            <w:shd w:val="clear" w:color="auto" w:fill="FFFFFF"/>
            <w:vAlign w:val="center"/>
          </w:tcPr>
          <w:p w14:paraId="73B0D97C"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Feb. 14</w:t>
            </w:r>
          </w:p>
        </w:tc>
      </w:tr>
      <w:tr w:rsidR="00924C50" w:rsidRPr="00A243FA" w14:paraId="4E1C9178" w14:textId="77777777" w:rsidTr="004A4FBD">
        <w:tc>
          <w:tcPr>
            <w:tcW w:w="432" w:type="pct"/>
            <w:vMerge/>
            <w:tcBorders>
              <w:left w:val="nil"/>
            </w:tcBorders>
            <w:shd w:val="clear" w:color="auto" w:fill="auto"/>
            <w:textDirection w:val="btLr"/>
            <w:vAlign w:val="center"/>
          </w:tcPr>
          <w:p w14:paraId="6E47BE69"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5160C245"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0809C249" w14:textId="77777777" w:rsidR="00924C50" w:rsidRPr="00A243FA" w:rsidRDefault="00924C50" w:rsidP="00BB43C1">
            <w:pPr>
              <w:contextualSpacing/>
              <w:jc w:val="left"/>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Tasa de cofinanciación del 10 % aplicable para la formación profesional continua (5 % para las empresas con entre 1 y 9 trabajadores)</w:t>
            </w:r>
          </w:p>
        </w:tc>
        <w:tc>
          <w:tcPr>
            <w:tcW w:w="731" w:type="pct"/>
            <w:shd w:val="clear" w:color="auto" w:fill="FFFFFF"/>
            <w:vAlign w:val="center"/>
          </w:tcPr>
          <w:p w14:paraId="796F2F9A"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RDL 4/2015</w:t>
            </w:r>
          </w:p>
        </w:tc>
        <w:tc>
          <w:tcPr>
            <w:tcW w:w="739" w:type="pct"/>
            <w:tcBorders>
              <w:right w:val="nil"/>
            </w:tcBorders>
            <w:shd w:val="clear" w:color="auto" w:fill="FFFFFF"/>
            <w:vAlign w:val="center"/>
          </w:tcPr>
          <w:p w14:paraId="398212EB"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Mar 15</w:t>
            </w:r>
          </w:p>
        </w:tc>
      </w:tr>
      <w:tr w:rsidR="00924C50" w:rsidRPr="00A243FA" w14:paraId="35415C50" w14:textId="77777777" w:rsidTr="004A4FBD">
        <w:tc>
          <w:tcPr>
            <w:tcW w:w="432" w:type="pct"/>
            <w:vMerge/>
            <w:tcBorders>
              <w:left w:val="nil"/>
            </w:tcBorders>
            <w:shd w:val="clear" w:color="auto" w:fill="auto"/>
            <w:textDirection w:val="btLr"/>
            <w:vAlign w:val="center"/>
          </w:tcPr>
          <w:p w14:paraId="3905891A"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2469827D"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vMerge w:val="restart"/>
            <w:shd w:val="clear" w:color="auto" w:fill="FFFFFF"/>
            <w:vAlign w:val="center"/>
          </w:tcPr>
          <w:p w14:paraId="7EBFB94B" w14:textId="77777777" w:rsidR="00924C50" w:rsidRPr="00A243FA" w:rsidRDefault="00924C50" w:rsidP="00BB43C1">
            <w:pPr>
              <w:contextualSpacing/>
              <w:jc w:val="left"/>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Pérdida de incentivos para la contratación definitiva de trabajadores cuando la empresa alcance 10 trabajadores.</w:t>
            </w:r>
          </w:p>
        </w:tc>
        <w:tc>
          <w:tcPr>
            <w:tcW w:w="731" w:type="pct"/>
            <w:shd w:val="clear" w:color="auto" w:fill="FFFFFF"/>
          </w:tcPr>
          <w:p w14:paraId="1C3461D1" w14:textId="77777777" w:rsidR="00924C50" w:rsidRPr="00A243FA" w:rsidRDefault="00924C50" w:rsidP="00BB43C1">
            <w:pPr>
              <w:contextualSpacing/>
              <w:jc w:val="left"/>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RDL 3/2014</w:t>
            </w:r>
          </w:p>
        </w:tc>
        <w:tc>
          <w:tcPr>
            <w:tcW w:w="739" w:type="pct"/>
            <w:tcBorders>
              <w:right w:val="nil"/>
            </w:tcBorders>
            <w:shd w:val="clear" w:color="auto" w:fill="FFFFFF"/>
            <w:vAlign w:val="center"/>
          </w:tcPr>
          <w:p w14:paraId="2099543D"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Feb. 15</w:t>
            </w:r>
          </w:p>
        </w:tc>
      </w:tr>
      <w:tr w:rsidR="00924C50" w:rsidRPr="00A243FA" w14:paraId="4D132C8E" w14:textId="77777777" w:rsidTr="004A4FBD">
        <w:tc>
          <w:tcPr>
            <w:tcW w:w="432" w:type="pct"/>
            <w:vMerge/>
            <w:tcBorders>
              <w:left w:val="nil"/>
            </w:tcBorders>
            <w:shd w:val="clear" w:color="auto" w:fill="auto"/>
            <w:textDirection w:val="btLr"/>
            <w:vAlign w:val="center"/>
          </w:tcPr>
          <w:p w14:paraId="277F2CB9"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54E38FDF"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vMerge/>
            <w:shd w:val="clear" w:color="auto" w:fill="FFFFFF"/>
            <w:vAlign w:val="center"/>
          </w:tcPr>
          <w:p w14:paraId="39132F9C"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731" w:type="pct"/>
            <w:shd w:val="clear" w:color="auto" w:fill="FFFFFF"/>
          </w:tcPr>
          <w:p w14:paraId="30164618" w14:textId="77777777" w:rsidR="00924C50" w:rsidRPr="00A243FA" w:rsidRDefault="00924C50" w:rsidP="00BB43C1">
            <w:pPr>
              <w:contextualSpacing/>
              <w:jc w:val="left"/>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RDL 17/2014</w:t>
            </w:r>
          </w:p>
        </w:tc>
        <w:tc>
          <w:tcPr>
            <w:tcW w:w="739" w:type="pct"/>
            <w:tcBorders>
              <w:right w:val="nil"/>
            </w:tcBorders>
            <w:shd w:val="clear" w:color="auto" w:fill="FFFFFF"/>
            <w:vAlign w:val="center"/>
          </w:tcPr>
          <w:p w14:paraId="618BD910"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Dic. 15</w:t>
            </w:r>
          </w:p>
        </w:tc>
      </w:tr>
      <w:tr w:rsidR="00924C50" w:rsidRPr="00A243FA" w14:paraId="61162DD3" w14:textId="77777777" w:rsidTr="004A4FBD">
        <w:trPr>
          <w:cantSplit/>
          <w:trHeight w:val="1134"/>
        </w:trPr>
        <w:tc>
          <w:tcPr>
            <w:tcW w:w="432" w:type="pct"/>
            <w:tcBorders>
              <w:top w:val="single" w:sz="12" w:space="0" w:color="000000" w:themeColor="text1"/>
              <w:left w:val="nil"/>
              <w:bottom w:val="single" w:sz="4" w:space="0" w:color="auto"/>
            </w:tcBorders>
            <w:shd w:val="clear" w:color="auto" w:fill="auto"/>
            <w:textDirection w:val="btLr"/>
            <w:vAlign w:val="center"/>
          </w:tcPr>
          <w:p w14:paraId="73A11315"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Contabilidad</w:t>
            </w:r>
          </w:p>
        </w:tc>
        <w:tc>
          <w:tcPr>
            <w:tcW w:w="695" w:type="pct"/>
            <w:tcBorders>
              <w:top w:val="single" w:sz="12" w:space="0" w:color="000000" w:themeColor="text1"/>
              <w:bottom w:val="single" w:sz="12" w:space="0" w:color="000000" w:themeColor="text1"/>
            </w:tcBorders>
            <w:shd w:val="clear" w:color="auto" w:fill="auto"/>
            <w:vAlign w:val="center"/>
          </w:tcPr>
          <w:p w14:paraId="0566021F"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Más de 10 trabajadores</w:t>
            </w:r>
          </w:p>
        </w:tc>
        <w:tc>
          <w:tcPr>
            <w:tcW w:w="2403" w:type="pct"/>
            <w:tcBorders>
              <w:top w:val="single" w:sz="12" w:space="0" w:color="000000" w:themeColor="text1"/>
              <w:bottom w:val="single" w:sz="12" w:space="0" w:color="000000" w:themeColor="text1"/>
            </w:tcBorders>
            <w:shd w:val="clear" w:color="auto" w:fill="FFFFFF"/>
            <w:vAlign w:val="center"/>
          </w:tcPr>
          <w:p w14:paraId="356C0B8C" w14:textId="77777777" w:rsidR="00924C50" w:rsidRPr="00A243FA" w:rsidRDefault="00924C50" w:rsidP="00BB43C1">
            <w:pPr>
              <w:contextualSpacing/>
              <w:jc w:val="left"/>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Las</w:t>
            </w:r>
            <w:r w:rsidR="00727EBE">
              <w:rPr>
                <w:rFonts w:ascii="Century Gothic" w:hAnsi="Century Gothic" w:cs="Arial"/>
                <w:color w:val="000000"/>
                <w:sz w:val="16"/>
                <w:szCs w:val="16"/>
                <w:lang w:val="es-ES"/>
              </w:rPr>
              <w:t xml:space="preserve"> PYME </w:t>
            </w:r>
            <w:r w:rsidRPr="00A243FA">
              <w:rPr>
                <w:rFonts w:ascii="Century Gothic" w:hAnsi="Century Gothic" w:cs="Arial"/>
                <w:color w:val="000000"/>
                <w:sz w:val="16"/>
                <w:szCs w:val="16"/>
                <w:lang w:val="es-ES"/>
              </w:rPr>
              <w:t>ya no pueden aplicar criterios contables especiales si al término del ejercicio fiscal y durante dos ejercicios consecutivos, la empresa cumple al menos dos de las tres condiciones siguientes: activos totales superiores a 1 millón EUR; volumen de negocio superior a 2 millones EUR; número medio de trabajadores superior a 10.</w:t>
            </w:r>
          </w:p>
        </w:tc>
        <w:tc>
          <w:tcPr>
            <w:tcW w:w="731" w:type="pct"/>
            <w:tcBorders>
              <w:top w:val="single" w:sz="12" w:space="0" w:color="000000" w:themeColor="text1"/>
              <w:bottom w:val="single" w:sz="12" w:space="0" w:color="000000" w:themeColor="text1"/>
            </w:tcBorders>
            <w:shd w:val="clear" w:color="auto" w:fill="FFFFFF"/>
            <w:vAlign w:val="center"/>
          </w:tcPr>
          <w:p w14:paraId="0D03BAC0"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Real Decreto 1515/2007</w:t>
            </w:r>
          </w:p>
        </w:tc>
        <w:tc>
          <w:tcPr>
            <w:tcW w:w="739" w:type="pct"/>
            <w:tcBorders>
              <w:top w:val="single" w:sz="12" w:space="0" w:color="000000" w:themeColor="text1"/>
              <w:bottom w:val="single" w:sz="12" w:space="0" w:color="000000" w:themeColor="text1"/>
              <w:right w:val="nil"/>
            </w:tcBorders>
            <w:shd w:val="clear" w:color="auto" w:fill="FFFFFF"/>
            <w:vAlign w:val="center"/>
          </w:tcPr>
          <w:p w14:paraId="632016C3"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Nov. 07</w:t>
            </w:r>
          </w:p>
        </w:tc>
      </w:tr>
      <w:tr w:rsidR="00924C50" w:rsidRPr="00A243FA" w14:paraId="6D760552" w14:textId="77777777" w:rsidTr="004A4FBD">
        <w:trPr>
          <w:cantSplit/>
          <w:trHeight w:val="758"/>
        </w:trPr>
        <w:tc>
          <w:tcPr>
            <w:tcW w:w="432" w:type="pct"/>
            <w:vMerge w:val="restart"/>
            <w:tcBorders>
              <w:top w:val="single" w:sz="12" w:space="0" w:color="000000" w:themeColor="text1"/>
              <w:left w:val="nil"/>
            </w:tcBorders>
            <w:shd w:val="clear" w:color="auto" w:fill="auto"/>
            <w:textDirection w:val="btLr"/>
            <w:vAlign w:val="center"/>
          </w:tcPr>
          <w:p w14:paraId="2AE8E294"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Regulación del mercado laboral</w:t>
            </w:r>
          </w:p>
        </w:tc>
        <w:tc>
          <w:tcPr>
            <w:tcW w:w="695" w:type="pct"/>
            <w:vMerge w:val="restart"/>
            <w:tcBorders>
              <w:top w:val="single" w:sz="12" w:space="0" w:color="000000" w:themeColor="text1"/>
            </w:tcBorders>
            <w:shd w:val="clear" w:color="auto" w:fill="auto"/>
            <w:vAlign w:val="center"/>
          </w:tcPr>
          <w:p w14:paraId="434902F6"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A partir de 31 trabajadores</w:t>
            </w:r>
          </w:p>
        </w:tc>
        <w:tc>
          <w:tcPr>
            <w:tcW w:w="2403" w:type="pct"/>
            <w:tcBorders>
              <w:top w:val="single" w:sz="12" w:space="0" w:color="000000" w:themeColor="text1"/>
            </w:tcBorders>
            <w:shd w:val="clear" w:color="auto" w:fill="FFFFFF"/>
            <w:vAlign w:val="center"/>
          </w:tcPr>
          <w:p w14:paraId="63035DDF"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Obligación de nombrar tres delegados de personal, cada uno de ellos con un crédito de 15 horas retribuidas as en cada centro de trabajo para el ejercicio de sus funciones de representación.</w:t>
            </w:r>
          </w:p>
        </w:tc>
        <w:tc>
          <w:tcPr>
            <w:tcW w:w="731" w:type="pct"/>
            <w:tcBorders>
              <w:top w:val="single" w:sz="12" w:space="0" w:color="000000" w:themeColor="text1"/>
            </w:tcBorders>
            <w:shd w:val="clear" w:color="auto" w:fill="FFFFFF"/>
            <w:vAlign w:val="center"/>
          </w:tcPr>
          <w:p w14:paraId="1335314B"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Estatuto de los Trabajadores</w:t>
            </w:r>
          </w:p>
        </w:tc>
        <w:tc>
          <w:tcPr>
            <w:tcW w:w="739" w:type="pct"/>
            <w:tcBorders>
              <w:top w:val="single" w:sz="12" w:space="0" w:color="000000" w:themeColor="text1"/>
              <w:right w:val="nil"/>
            </w:tcBorders>
            <w:shd w:val="clear" w:color="auto" w:fill="FFFFFF"/>
            <w:vAlign w:val="center"/>
          </w:tcPr>
          <w:p w14:paraId="7AB0D8B1"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Mar. 95</w:t>
            </w:r>
          </w:p>
        </w:tc>
      </w:tr>
      <w:tr w:rsidR="00924C50" w:rsidRPr="00A243FA" w14:paraId="74813D66" w14:textId="77777777" w:rsidTr="004A4FBD">
        <w:trPr>
          <w:cantSplit/>
          <w:trHeight w:val="475"/>
        </w:trPr>
        <w:tc>
          <w:tcPr>
            <w:tcW w:w="432" w:type="pct"/>
            <w:vMerge/>
            <w:tcBorders>
              <w:left w:val="nil"/>
            </w:tcBorders>
            <w:shd w:val="clear" w:color="auto" w:fill="auto"/>
            <w:textDirection w:val="btLr"/>
            <w:vAlign w:val="center"/>
          </w:tcPr>
          <w:p w14:paraId="63B700EA"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7EAB0106"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0153323A"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Los delegados de personal nombran un delegado de prevención entre ellos.</w:t>
            </w:r>
          </w:p>
        </w:tc>
        <w:tc>
          <w:tcPr>
            <w:tcW w:w="731" w:type="pct"/>
            <w:shd w:val="clear" w:color="auto" w:fill="FFFFFF"/>
            <w:vAlign w:val="center"/>
          </w:tcPr>
          <w:p w14:paraId="6FBA9609"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Ley de prevención de riesgos</w:t>
            </w:r>
          </w:p>
        </w:tc>
        <w:tc>
          <w:tcPr>
            <w:tcW w:w="739" w:type="pct"/>
            <w:tcBorders>
              <w:right w:val="nil"/>
            </w:tcBorders>
            <w:shd w:val="clear" w:color="auto" w:fill="FFFFFF"/>
            <w:vAlign w:val="center"/>
          </w:tcPr>
          <w:p w14:paraId="641AD599"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Nov. 95</w:t>
            </w:r>
          </w:p>
        </w:tc>
      </w:tr>
      <w:tr w:rsidR="00924C50" w:rsidRPr="00A243FA" w14:paraId="3957A048" w14:textId="77777777" w:rsidTr="004A4FBD">
        <w:trPr>
          <w:cantSplit/>
          <w:trHeight w:val="612"/>
        </w:trPr>
        <w:tc>
          <w:tcPr>
            <w:tcW w:w="432" w:type="pct"/>
            <w:vMerge/>
            <w:tcBorders>
              <w:left w:val="nil"/>
            </w:tcBorders>
            <w:shd w:val="clear" w:color="auto" w:fill="auto"/>
            <w:textDirection w:val="btLr"/>
            <w:vAlign w:val="center"/>
          </w:tcPr>
          <w:p w14:paraId="1D1D64B3"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val="restart"/>
            <w:shd w:val="clear" w:color="auto" w:fill="auto"/>
            <w:vAlign w:val="center"/>
          </w:tcPr>
          <w:p w14:paraId="0BACD736"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A partir de 50 trabajadores</w:t>
            </w:r>
          </w:p>
        </w:tc>
        <w:tc>
          <w:tcPr>
            <w:tcW w:w="2403" w:type="pct"/>
            <w:shd w:val="clear" w:color="auto" w:fill="FFFFFF"/>
            <w:vAlign w:val="center"/>
          </w:tcPr>
          <w:p w14:paraId="00C8DE3B"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Obligación de crear un comité de representación de los trabajadores (comité de empresa9 de cinco miembros para cada centro de trabajo con 50 trabajadores o más.</w:t>
            </w:r>
          </w:p>
        </w:tc>
        <w:tc>
          <w:tcPr>
            <w:tcW w:w="731" w:type="pct"/>
            <w:shd w:val="clear" w:color="auto" w:fill="FFFFFF"/>
            <w:vAlign w:val="center"/>
          </w:tcPr>
          <w:p w14:paraId="350225F9"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Estatuto de los Trabajadores</w:t>
            </w:r>
          </w:p>
        </w:tc>
        <w:tc>
          <w:tcPr>
            <w:tcW w:w="739" w:type="pct"/>
            <w:tcBorders>
              <w:right w:val="nil"/>
            </w:tcBorders>
            <w:shd w:val="clear" w:color="auto" w:fill="FFFFFF"/>
            <w:vAlign w:val="center"/>
          </w:tcPr>
          <w:p w14:paraId="2E777F33"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Mar. 95</w:t>
            </w:r>
          </w:p>
        </w:tc>
      </w:tr>
      <w:tr w:rsidR="00924C50" w:rsidRPr="00A243FA" w14:paraId="40EF7CE8" w14:textId="77777777" w:rsidTr="004A4FBD">
        <w:trPr>
          <w:cantSplit/>
          <w:trHeight w:val="341"/>
        </w:trPr>
        <w:tc>
          <w:tcPr>
            <w:tcW w:w="432" w:type="pct"/>
            <w:vMerge/>
            <w:tcBorders>
              <w:left w:val="nil"/>
            </w:tcBorders>
            <w:shd w:val="clear" w:color="auto" w:fill="auto"/>
            <w:textDirection w:val="btLr"/>
            <w:vAlign w:val="center"/>
          </w:tcPr>
          <w:p w14:paraId="71ACB6B1"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09E9A63B"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639AD7B5"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Obligación de nombrar dos delegados de prevención de riesgos por parte de los representantes de los trabajadores</w:t>
            </w:r>
          </w:p>
        </w:tc>
        <w:tc>
          <w:tcPr>
            <w:tcW w:w="731" w:type="pct"/>
            <w:vMerge w:val="restart"/>
            <w:shd w:val="clear" w:color="auto" w:fill="FFFFFF"/>
            <w:vAlign w:val="center"/>
          </w:tcPr>
          <w:p w14:paraId="46523663"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Ley de prevención de riesgos</w:t>
            </w:r>
          </w:p>
        </w:tc>
        <w:tc>
          <w:tcPr>
            <w:tcW w:w="739" w:type="pct"/>
            <w:vMerge w:val="restart"/>
            <w:tcBorders>
              <w:right w:val="nil"/>
            </w:tcBorders>
            <w:shd w:val="clear" w:color="auto" w:fill="FFFFFF"/>
            <w:vAlign w:val="center"/>
          </w:tcPr>
          <w:p w14:paraId="5AFD4290"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Nov. 95</w:t>
            </w:r>
          </w:p>
        </w:tc>
      </w:tr>
      <w:tr w:rsidR="00924C50" w:rsidRPr="00BB5008" w14:paraId="658ACED6" w14:textId="77777777" w:rsidTr="004A4FBD">
        <w:trPr>
          <w:cantSplit/>
          <w:trHeight w:val="604"/>
        </w:trPr>
        <w:tc>
          <w:tcPr>
            <w:tcW w:w="432" w:type="pct"/>
            <w:vMerge/>
            <w:tcBorders>
              <w:left w:val="nil"/>
            </w:tcBorders>
            <w:shd w:val="clear" w:color="auto" w:fill="auto"/>
            <w:textDirection w:val="btLr"/>
            <w:vAlign w:val="center"/>
          </w:tcPr>
          <w:p w14:paraId="3E97AE04"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5BFBB235"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61F08487"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Obligación de crear un comité de prevención de riesgos con dos delegados de prevención de riesgos y dos otros representantes del lado de la empresa</w:t>
            </w:r>
          </w:p>
        </w:tc>
        <w:tc>
          <w:tcPr>
            <w:tcW w:w="731" w:type="pct"/>
            <w:vMerge/>
            <w:shd w:val="clear" w:color="auto" w:fill="FFFFFF"/>
            <w:vAlign w:val="center"/>
          </w:tcPr>
          <w:p w14:paraId="631910BF"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739" w:type="pct"/>
            <w:vMerge/>
            <w:tcBorders>
              <w:right w:val="nil"/>
            </w:tcBorders>
            <w:shd w:val="clear" w:color="auto" w:fill="FFFFFF"/>
            <w:vAlign w:val="center"/>
          </w:tcPr>
          <w:p w14:paraId="53A46A31" w14:textId="77777777" w:rsidR="00924C50" w:rsidRPr="00A243FA" w:rsidRDefault="00924C50" w:rsidP="00BB43C1">
            <w:pPr>
              <w:contextualSpacing/>
              <w:jc w:val="center"/>
              <w:rPr>
                <w:rFonts w:ascii="Century Gothic" w:hAnsi="Century Gothic" w:cs="Arial"/>
                <w:color w:val="000000"/>
                <w:sz w:val="16"/>
                <w:szCs w:val="16"/>
                <w:lang w:val="es-ES"/>
              </w:rPr>
            </w:pPr>
          </w:p>
        </w:tc>
      </w:tr>
      <w:tr w:rsidR="00924C50" w:rsidRPr="00A243FA" w14:paraId="52F44B54" w14:textId="77777777" w:rsidTr="004A4FBD">
        <w:trPr>
          <w:cantSplit/>
          <w:trHeight w:val="190"/>
        </w:trPr>
        <w:tc>
          <w:tcPr>
            <w:tcW w:w="432" w:type="pct"/>
            <w:vMerge/>
            <w:tcBorders>
              <w:left w:val="nil"/>
            </w:tcBorders>
            <w:shd w:val="clear" w:color="auto" w:fill="auto"/>
            <w:textDirection w:val="btLr"/>
            <w:vAlign w:val="center"/>
          </w:tcPr>
          <w:p w14:paraId="192DDD4F"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0F8FD2F4"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1B9C9769"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Tasa de cofinanciación aplicable para la formación profesional continua.</w:t>
            </w:r>
          </w:p>
        </w:tc>
        <w:tc>
          <w:tcPr>
            <w:tcW w:w="731" w:type="pct"/>
            <w:shd w:val="clear" w:color="auto" w:fill="FFFFFF"/>
            <w:vAlign w:val="center"/>
          </w:tcPr>
          <w:p w14:paraId="61695688"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RDL 4/2015</w:t>
            </w:r>
          </w:p>
        </w:tc>
        <w:tc>
          <w:tcPr>
            <w:tcW w:w="739" w:type="pct"/>
            <w:tcBorders>
              <w:right w:val="nil"/>
            </w:tcBorders>
            <w:shd w:val="clear" w:color="auto" w:fill="FFFFFF"/>
            <w:vAlign w:val="center"/>
          </w:tcPr>
          <w:p w14:paraId="212992DF"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Mar. 15</w:t>
            </w:r>
          </w:p>
        </w:tc>
      </w:tr>
      <w:tr w:rsidR="00924C50" w:rsidRPr="00A243FA" w14:paraId="7B6C826D" w14:textId="77777777" w:rsidTr="004A4FBD">
        <w:trPr>
          <w:cantSplit/>
          <w:trHeight w:val="184"/>
        </w:trPr>
        <w:tc>
          <w:tcPr>
            <w:tcW w:w="432" w:type="pct"/>
            <w:vMerge/>
            <w:tcBorders>
              <w:left w:val="nil"/>
            </w:tcBorders>
            <w:shd w:val="clear" w:color="auto" w:fill="auto"/>
            <w:textDirection w:val="btLr"/>
            <w:vAlign w:val="center"/>
          </w:tcPr>
          <w:p w14:paraId="00FAB8F3"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2D95F72E"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vMerge w:val="restart"/>
            <w:shd w:val="clear" w:color="auto" w:fill="FFFFFF"/>
            <w:vAlign w:val="center"/>
          </w:tcPr>
          <w:p w14:paraId="6D385C54"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Pérdida de incentivos para la contratación definitiva de trabajadores cuando la empresa alcance 50 trabajadores</w:t>
            </w:r>
          </w:p>
        </w:tc>
        <w:tc>
          <w:tcPr>
            <w:tcW w:w="731" w:type="pct"/>
            <w:shd w:val="clear" w:color="auto" w:fill="FFFFFF"/>
            <w:vAlign w:val="center"/>
          </w:tcPr>
          <w:p w14:paraId="263AE5D6"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Ley 3/2012</w:t>
            </w:r>
          </w:p>
        </w:tc>
        <w:tc>
          <w:tcPr>
            <w:tcW w:w="739" w:type="pct"/>
            <w:tcBorders>
              <w:right w:val="nil"/>
            </w:tcBorders>
            <w:shd w:val="clear" w:color="auto" w:fill="FFFFFF"/>
            <w:vAlign w:val="center"/>
          </w:tcPr>
          <w:p w14:paraId="3C900069"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Feb. 12</w:t>
            </w:r>
          </w:p>
        </w:tc>
      </w:tr>
      <w:tr w:rsidR="00924C50" w:rsidRPr="00A243FA" w14:paraId="39AF5CE9" w14:textId="77777777" w:rsidTr="004A4FBD">
        <w:trPr>
          <w:cantSplit/>
          <w:trHeight w:val="63"/>
        </w:trPr>
        <w:tc>
          <w:tcPr>
            <w:tcW w:w="432" w:type="pct"/>
            <w:vMerge/>
            <w:tcBorders>
              <w:left w:val="nil"/>
            </w:tcBorders>
            <w:shd w:val="clear" w:color="auto" w:fill="auto"/>
            <w:textDirection w:val="btLr"/>
            <w:vAlign w:val="center"/>
          </w:tcPr>
          <w:p w14:paraId="0CD477FA"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4E0B6658"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vMerge/>
            <w:shd w:val="clear" w:color="auto" w:fill="FFFFFF"/>
            <w:vAlign w:val="center"/>
          </w:tcPr>
          <w:p w14:paraId="26622479"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731" w:type="pct"/>
            <w:shd w:val="clear" w:color="auto" w:fill="FFFFFF"/>
            <w:vAlign w:val="center"/>
          </w:tcPr>
          <w:p w14:paraId="1E1DFC04"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RDL 16/2013</w:t>
            </w:r>
          </w:p>
        </w:tc>
        <w:tc>
          <w:tcPr>
            <w:tcW w:w="739" w:type="pct"/>
            <w:tcBorders>
              <w:right w:val="nil"/>
            </w:tcBorders>
            <w:shd w:val="clear" w:color="auto" w:fill="FFFFFF"/>
            <w:vAlign w:val="center"/>
          </w:tcPr>
          <w:p w14:paraId="7F59F8EB"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Dic. 13</w:t>
            </w:r>
          </w:p>
        </w:tc>
      </w:tr>
      <w:tr w:rsidR="00924C50" w:rsidRPr="00A243FA" w14:paraId="051285E5" w14:textId="77777777" w:rsidTr="004A4FBD">
        <w:trPr>
          <w:cantSplit/>
          <w:trHeight w:val="856"/>
        </w:trPr>
        <w:tc>
          <w:tcPr>
            <w:tcW w:w="432" w:type="pct"/>
            <w:vMerge/>
            <w:tcBorders>
              <w:left w:val="nil"/>
            </w:tcBorders>
            <w:shd w:val="clear" w:color="auto" w:fill="auto"/>
            <w:textDirection w:val="btLr"/>
            <w:vAlign w:val="center"/>
          </w:tcPr>
          <w:p w14:paraId="178C3522"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shd w:val="clear" w:color="auto" w:fill="auto"/>
            <w:vAlign w:val="center"/>
          </w:tcPr>
          <w:p w14:paraId="78DF0EB3"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Más de 50 trabajadores</w:t>
            </w:r>
          </w:p>
        </w:tc>
        <w:tc>
          <w:tcPr>
            <w:tcW w:w="2403" w:type="pct"/>
            <w:shd w:val="clear" w:color="auto" w:fill="FFFFFF"/>
            <w:vAlign w:val="center"/>
          </w:tcPr>
          <w:p w14:paraId="2043CF75"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Las empresas que lleven a cabo despidos colectivos (y no estén incursas en procedimientos concursales) que afecten a más de 50 trabajadores deberán ofrecer a los trabajadores afectados un plan de recolocación externa a través de empresas de recolocación autorizadas.</w:t>
            </w:r>
          </w:p>
        </w:tc>
        <w:tc>
          <w:tcPr>
            <w:tcW w:w="731" w:type="pct"/>
            <w:shd w:val="clear" w:color="auto" w:fill="FFFFFF"/>
            <w:vAlign w:val="center"/>
          </w:tcPr>
          <w:p w14:paraId="647A7AAB"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Estatuto de los Trabajadores</w:t>
            </w:r>
          </w:p>
        </w:tc>
        <w:tc>
          <w:tcPr>
            <w:tcW w:w="739" w:type="pct"/>
            <w:tcBorders>
              <w:right w:val="nil"/>
            </w:tcBorders>
            <w:shd w:val="clear" w:color="auto" w:fill="FFFFFF"/>
            <w:vAlign w:val="center"/>
          </w:tcPr>
          <w:p w14:paraId="49C0D0AE"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Feb. 14</w:t>
            </w:r>
          </w:p>
        </w:tc>
      </w:tr>
      <w:tr w:rsidR="00924C50" w:rsidRPr="00A243FA" w14:paraId="3F8D60BE" w14:textId="77777777" w:rsidTr="004A4FBD">
        <w:trPr>
          <w:cantSplit/>
          <w:trHeight w:val="1391"/>
        </w:trPr>
        <w:tc>
          <w:tcPr>
            <w:tcW w:w="432" w:type="pct"/>
            <w:tcBorders>
              <w:top w:val="single" w:sz="12" w:space="0" w:color="000000" w:themeColor="text1"/>
              <w:left w:val="nil"/>
              <w:bottom w:val="single" w:sz="4" w:space="0" w:color="auto"/>
            </w:tcBorders>
            <w:shd w:val="clear" w:color="auto" w:fill="auto"/>
            <w:textDirection w:val="btLr"/>
            <w:vAlign w:val="center"/>
          </w:tcPr>
          <w:p w14:paraId="32A75E23"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Contabilidad</w:t>
            </w:r>
          </w:p>
        </w:tc>
        <w:tc>
          <w:tcPr>
            <w:tcW w:w="695" w:type="pct"/>
            <w:tcBorders>
              <w:top w:val="single" w:sz="12" w:space="0" w:color="000000" w:themeColor="text1"/>
              <w:bottom w:val="single" w:sz="12" w:space="0" w:color="000000" w:themeColor="text1"/>
            </w:tcBorders>
            <w:shd w:val="clear" w:color="auto" w:fill="auto"/>
            <w:vAlign w:val="center"/>
          </w:tcPr>
          <w:p w14:paraId="59D3242E"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Más de 50 trabajadores (y/u otras condiciones)</w:t>
            </w:r>
          </w:p>
        </w:tc>
        <w:tc>
          <w:tcPr>
            <w:tcW w:w="2403" w:type="pct"/>
            <w:tcBorders>
              <w:top w:val="single" w:sz="12" w:space="0" w:color="000000" w:themeColor="text1"/>
              <w:bottom w:val="single" w:sz="12" w:space="0" w:color="000000" w:themeColor="text1"/>
            </w:tcBorders>
            <w:shd w:val="clear" w:color="auto" w:fill="auto"/>
            <w:vAlign w:val="center"/>
          </w:tcPr>
          <w:p w14:paraId="141FCCC9"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Las empresas ya no pueden presentar balances simplificados si al término del ejercicio fiscal y durante dos ejercicios consecutivos, la empresa cumple al menos dos de las tres condiciones siguientes: activos totales superiores a 4 millones EUR; volumen de negocio superior a 8 millones EUR; número medio de trabajadores superior a 50.</w:t>
            </w:r>
          </w:p>
        </w:tc>
        <w:tc>
          <w:tcPr>
            <w:tcW w:w="731" w:type="pct"/>
            <w:tcBorders>
              <w:top w:val="single" w:sz="12" w:space="0" w:color="000000" w:themeColor="text1"/>
              <w:bottom w:val="single" w:sz="12" w:space="0" w:color="000000" w:themeColor="text1"/>
            </w:tcBorders>
            <w:shd w:val="clear" w:color="auto" w:fill="auto"/>
            <w:vAlign w:val="center"/>
          </w:tcPr>
          <w:p w14:paraId="22FFE6DB"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Real Decreto 1/2010</w:t>
            </w:r>
          </w:p>
        </w:tc>
        <w:tc>
          <w:tcPr>
            <w:tcW w:w="739" w:type="pct"/>
            <w:tcBorders>
              <w:top w:val="single" w:sz="12" w:space="0" w:color="000000" w:themeColor="text1"/>
              <w:bottom w:val="single" w:sz="12" w:space="0" w:color="000000" w:themeColor="text1"/>
              <w:right w:val="nil"/>
            </w:tcBorders>
            <w:shd w:val="clear" w:color="auto" w:fill="auto"/>
            <w:vAlign w:val="center"/>
          </w:tcPr>
          <w:p w14:paraId="4E481D00"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Sep. 13</w:t>
            </w:r>
          </w:p>
        </w:tc>
      </w:tr>
      <w:tr w:rsidR="00924C50" w:rsidRPr="00A243FA" w14:paraId="785E5AEA" w14:textId="77777777" w:rsidTr="004A4FBD">
        <w:trPr>
          <w:cantSplit/>
          <w:trHeight w:val="1134"/>
        </w:trPr>
        <w:tc>
          <w:tcPr>
            <w:tcW w:w="432" w:type="pct"/>
            <w:tcBorders>
              <w:top w:val="single" w:sz="12" w:space="0" w:color="000000" w:themeColor="text1"/>
              <w:left w:val="nil"/>
              <w:bottom w:val="single" w:sz="4" w:space="0" w:color="auto"/>
            </w:tcBorders>
            <w:shd w:val="clear" w:color="auto" w:fill="auto"/>
            <w:textDirection w:val="btLr"/>
            <w:vAlign w:val="center"/>
          </w:tcPr>
          <w:p w14:paraId="2DC52766"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Auditoría</w:t>
            </w:r>
          </w:p>
        </w:tc>
        <w:tc>
          <w:tcPr>
            <w:tcW w:w="695" w:type="pct"/>
            <w:tcBorders>
              <w:top w:val="single" w:sz="12" w:space="0" w:color="000000" w:themeColor="text1"/>
              <w:bottom w:val="single" w:sz="12" w:space="0" w:color="000000" w:themeColor="text1"/>
            </w:tcBorders>
            <w:shd w:val="clear" w:color="auto" w:fill="auto"/>
            <w:vAlign w:val="center"/>
          </w:tcPr>
          <w:p w14:paraId="7F854DBE"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Más de 50 trabajadores (y/u otras condiciones)</w:t>
            </w:r>
          </w:p>
        </w:tc>
        <w:tc>
          <w:tcPr>
            <w:tcW w:w="2403" w:type="pct"/>
            <w:tcBorders>
              <w:top w:val="single" w:sz="12" w:space="0" w:color="000000" w:themeColor="text1"/>
              <w:bottom w:val="single" w:sz="12" w:space="0" w:color="000000" w:themeColor="text1"/>
            </w:tcBorders>
            <w:shd w:val="clear" w:color="auto" w:fill="FFFFFF"/>
            <w:vAlign w:val="center"/>
          </w:tcPr>
          <w:p w14:paraId="38045C1F"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Obligación de que las empresas auditen sus cuentas si al término del ejercicio fiscal y durante dos ejercicios consecutivos, la empresa cumple al menos dos de las tres condiciones siguientes: activos totales superiores a 4 millones EUR; volumen de negocio superior a 8 millones EUR; número medio de trabajadores superior a 50.</w:t>
            </w:r>
          </w:p>
        </w:tc>
        <w:tc>
          <w:tcPr>
            <w:tcW w:w="731" w:type="pct"/>
            <w:tcBorders>
              <w:top w:val="single" w:sz="12" w:space="0" w:color="000000" w:themeColor="text1"/>
              <w:bottom w:val="single" w:sz="12" w:space="0" w:color="000000" w:themeColor="text1"/>
            </w:tcBorders>
            <w:shd w:val="clear" w:color="auto" w:fill="FFFFFF"/>
            <w:vAlign w:val="center"/>
          </w:tcPr>
          <w:p w14:paraId="1A4EF2E5"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Real Decreto 1/2010</w:t>
            </w:r>
          </w:p>
        </w:tc>
        <w:tc>
          <w:tcPr>
            <w:tcW w:w="739" w:type="pct"/>
            <w:tcBorders>
              <w:top w:val="single" w:sz="12" w:space="0" w:color="000000" w:themeColor="text1"/>
              <w:bottom w:val="single" w:sz="12" w:space="0" w:color="000000" w:themeColor="text1"/>
              <w:right w:val="nil"/>
            </w:tcBorders>
            <w:shd w:val="clear" w:color="auto" w:fill="FFFFFF"/>
            <w:vAlign w:val="center"/>
          </w:tcPr>
          <w:p w14:paraId="61C908AA"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Sep. 13</w:t>
            </w:r>
          </w:p>
        </w:tc>
      </w:tr>
      <w:tr w:rsidR="00924C50" w:rsidRPr="00A243FA" w14:paraId="34619E67" w14:textId="77777777" w:rsidTr="004A4FBD">
        <w:trPr>
          <w:cantSplit/>
          <w:trHeight w:val="371"/>
        </w:trPr>
        <w:tc>
          <w:tcPr>
            <w:tcW w:w="432" w:type="pct"/>
            <w:vMerge w:val="restart"/>
            <w:tcBorders>
              <w:top w:val="single" w:sz="12" w:space="0" w:color="000000" w:themeColor="text1"/>
              <w:left w:val="nil"/>
            </w:tcBorders>
            <w:shd w:val="clear" w:color="auto" w:fill="auto"/>
            <w:textDirection w:val="btLr"/>
            <w:vAlign w:val="center"/>
          </w:tcPr>
          <w:p w14:paraId="56D2B832"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Imposición</w:t>
            </w:r>
          </w:p>
        </w:tc>
        <w:tc>
          <w:tcPr>
            <w:tcW w:w="695" w:type="pct"/>
            <w:vMerge w:val="restart"/>
            <w:tcBorders>
              <w:top w:val="single" w:sz="12" w:space="0" w:color="000000" w:themeColor="text1"/>
            </w:tcBorders>
            <w:shd w:val="clear" w:color="auto" w:fill="auto"/>
            <w:vAlign w:val="center"/>
          </w:tcPr>
          <w:p w14:paraId="6CF1334C"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Hasta 450.000 EUR</w:t>
            </w:r>
          </w:p>
        </w:tc>
        <w:tc>
          <w:tcPr>
            <w:tcW w:w="2403" w:type="pct"/>
            <w:tcBorders>
              <w:top w:val="single" w:sz="12" w:space="0" w:color="000000" w:themeColor="text1"/>
            </w:tcBorders>
            <w:shd w:val="clear" w:color="auto" w:fill="FFFFFF"/>
            <w:vAlign w:val="center"/>
          </w:tcPr>
          <w:p w14:paraId="7C49E257"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Umbrales monetarios para la aplicación del régimen simplificado del IVA.</w:t>
            </w:r>
          </w:p>
        </w:tc>
        <w:tc>
          <w:tcPr>
            <w:tcW w:w="731" w:type="pct"/>
            <w:vMerge w:val="restart"/>
            <w:tcBorders>
              <w:top w:val="single" w:sz="12" w:space="0" w:color="000000" w:themeColor="text1"/>
            </w:tcBorders>
            <w:shd w:val="clear" w:color="auto" w:fill="FFFFFF"/>
            <w:vAlign w:val="center"/>
          </w:tcPr>
          <w:p w14:paraId="397D2E00"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RD 439/2007 (IRPF)</w:t>
            </w:r>
          </w:p>
        </w:tc>
        <w:tc>
          <w:tcPr>
            <w:tcW w:w="739" w:type="pct"/>
            <w:vMerge w:val="restart"/>
            <w:tcBorders>
              <w:top w:val="single" w:sz="12" w:space="0" w:color="000000" w:themeColor="text1"/>
              <w:right w:val="nil"/>
            </w:tcBorders>
            <w:shd w:val="clear" w:color="auto" w:fill="FFFFFF"/>
            <w:vAlign w:val="center"/>
          </w:tcPr>
          <w:p w14:paraId="125A7C5C"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Dic. 2014 (IVA)</w:t>
            </w:r>
          </w:p>
        </w:tc>
      </w:tr>
      <w:tr w:rsidR="00924C50" w:rsidRPr="00BB5008" w14:paraId="6C55B309" w14:textId="77777777" w:rsidTr="004A4FBD">
        <w:trPr>
          <w:cantSplit/>
          <w:trHeight w:val="632"/>
        </w:trPr>
        <w:tc>
          <w:tcPr>
            <w:tcW w:w="432" w:type="pct"/>
            <w:vMerge/>
            <w:tcBorders>
              <w:left w:val="nil"/>
            </w:tcBorders>
            <w:shd w:val="clear" w:color="auto" w:fill="auto"/>
            <w:textDirection w:val="btLr"/>
            <w:vAlign w:val="center"/>
          </w:tcPr>
          <w:p w14:paraId="2006AC1D"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3B058E15"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5F288249"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Volumen de negocio de la empresa en el ejercicio fiscal anterior inferior a 450 000 EUR (este umbral se reducirá a 250 000 EUR en 2016 y 2017 y a 150 000 EUR en 2018); se aplican umbrales diferentes a la agricultura y la ganadería</w:t>
            </w:r>
          </w:p>
        </w:tc>
        <w:tc>
          <w:tcPr>
            <w:tcW w:w="731" w:type="pct"/>
            <w:vMerge/>
            <w:shd w:val="clear" w:color="auto" w:fill="FFFFFF"/>
            <w:vAlign w:val="center"/>
          </w:tcPr>
          <w:p w14:paraId="301B0F60"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739" w:type="pct"/>
            <w:vMerge/>
            <w:tcBorders>
              <w:right w:val="nil"/>
            </w:tcBorders>
            <w:shd w:val="clear" w:color="auto" w:fill="FFFFFF"/>
            <w:vAlign w:val="center"/>
          </w:tcPr>
          <w:p w14:paraId="19299C16" w14:textId="77777777" w:rsidR="00924C50" w:rsidRPr="00A243FA" w:rsidRDefault="00924C50" w:rsidP="00BB43C1">
            <w:pPr>
              <w:contextualSpacing/>
              <w:jc w:val="center"/>
              <w:rPr>
                <w:rFonts w:ascii="Century Gothic" w:hAnsi="Century Gothic" w:cs="Arial"/>
                <w:color w:val="000000"/>
                <w:sz w:val="16"/>
                <w:szCs w:val="16"/>
                <w:lang w:val="es-ES"/>
              </w:rPr>
            </w:pPr>
          </w:p>
        </w:tc>
      </w:tr>
      <w:tr w:rsidR="00924C50" w:rsidRPr="00A243FA" w14:paraId="0337C1B8" w14:textId="77777777" w:rsidTr="004A4FBD">
        <w:trPr>
          <w:cantSplit/>
          <w:trHeight w:val="357"/>
        </w:trPr>
        <w:tc>
          <w:tcPr>
            <w:tcW w:w="432" w:type="pct"/>
            <w:vMerge/>
            <w:tcBorders>
              <w:left w:val="nil"/>
            </w:tcBorders>
            <w:shd w:val="clear" w:color="auto" w:fill="auto"/>
            <w:textDirection w:val="btLr"/>
            <w:vAlign w:val="center"/>
          </w:tcPr>
          <w:p w14:paraId="2EC23F34"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vMerge/>
            <w:shd w:val="clear" w:color="auto" w:fill="auto"/>
            <w:vAlign w:val="center"/>
          </w:tcPr>
          <w:p w14:paraId="6CFF8D1F" w14:textId="77777777" w:rsidR="00924C50" w:rsidRPr="00A243FA" w:rsidRDefault="00924C50" w:rsidP="00BB43C1">
            <w:pPr>
              <w:contextualSpacing/>
              <w:jc w:val="center"/>
              <w:rPr>
                <w:rFonts w:ascii="Century Gothic" w:hAnsi="Century Gothic" w:cs="Arial"/>
                <w:color w:val="000000"/>
                <w:sz w:val="16"/>
                <w:szCs w:val="16"/>
                <w:lang w:val="es-ES"/>
              </w:rPr>
            </w:pPr>
          </w:p>
        </w:tc>
        <w:tc>
          <w:tcPr>
            <w:tcW w:w="2403" w:type="pct"/>
            <w:shd w:val="clear" w:color="auto" w:fill="FFFFFF"/>
            <w:vAlign w:val="center"/>
          </w:tcPr>
          <w:p w14:paraId="22D5D94C"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Se aplican algunos umbrales para la aplicación del método de estimación objetiva de IRPF.</w:t>
            </w:r>
          </w:p>
        </w:tc>
        <w:tc>
          <w:tcPr>
            <w:tcW w:w="731" w:type="pct"/>
            <w:shd w:val="clear" w:color="auto" w:fill="FFFFFF"/>
            <w:vAlign w:val="center"/>
          </w:tcPr>
          <w:p w14:paraId="00FDF5FB"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RD 1624/1992 (IVA)</w:t>
            </w:r>
          </w:p>
        </w:tc>
        <w:tc>
          <w:tcPr>
            <w:tcW w:w="739" w:type="pct"/>
            <w:tcBorders>
              <w:right w:val="nil"/>
            </w:tcBorders>
            <w:shd w:val="clear" w:color="auto" w:fill="FFFFFF"/>
            <w:vAlign w:val="center"/>
          </w:tcPr>
          <w:p w14:paraId="29D24898"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Jul. 2015 (IRPF)</w:t>
            </w:r>
          </w:p>
        </w:tc>
      </w:tr>
      <w:tr w:rsidR="00924C50" w:rsidRPr="00A243FA" w14:paraId="35AFDB40" w14:textId="77777777" w:rsidTr="004A4FBD">
        <w:trPr>
          <w:cantSplit/>
          <w:trHeight w:val="758"/>
        </w:trPr>
        <w:tc>
          <w:tcPr>
            <w:tcW w:w="432" w:type="pct"/>
            <w:vMerge/>
            <w:tcBorders>
              <w:left w:val="nil"/>
            </w:tcBorders>
            <w:shd w:val="clear" w:color="auto" w:fill="auto"/>
            <w:textDirection w:val="btLr"/>
            <w:vAlign w:val="center"/>
          </w:tcPr>
          <w:p w14:paraId="0D0F6E4D"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shd w:val="clear" w:color="auto" w:fill="auto"/>
            <w:vAlign w:val="center"/>
          </w:tcPr>
          <w:p w14:paraId="24072F85"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Volumen de negocio de 6 millones de EUR o más</w:t>
            </w:r>
          </w:p>
        </w:tc>
        <w:tc>
          <w:tcPr>
            <w:tcW w:w="2403" w:type="pct"/>
            <w:shd w:val="clear" w:color="auto" w:fill="FFFFFF"/>
            <w:vAlign w:val="center"/>
          </w:tcPr>
          <w:p w14:paraId="42B6C23C"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El pago de las cantidades retenidas o los ingresos a cuenta correspondientes al Impuesto sobre la Renta de las Personas Físicas se hace cada mes (y no cada tres meses) para las empresas con un volumen de negocio superior a 6 millones EUR.</w:t>
            </w:r>
          </w:p>
        </w:tc>
        <w:tc>
          <w:tcPr>
            <w:tcW w:w="731" w:type="pct"/>
            <w:shd w:val="clear" w:color="auto" w:fill="FFFFFF"/>
            <w:vAlign w:val="center"/>
          </w:tcPr>
          <w:p w14:paraId="78463E3A"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Orden Ministerial EHA/586/2011</w:t>
            </w:r>
          </w:p>
        </w:tc>
        <w:tc>
          <w:tcPr>
            <w:tcW w:w="739" w:type="pct"/>
            <w:tcBorders>
              <w:right w:val="nil"/>
            </w:tcBorders>
            <w:shd w:val="clear" w:color="auto" w:fill="FFFFFF"/>
            <w:vAlign w:val="center"/>
          </w:tcPr>
          <w:p w14:paraId="39CE2D62"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Jul. 2015 (IRPF)</w:t>
            </w:r>
          </w:p>
        </w:tc>
      </w:tr>
      <w:tr w:rsidR="00924C50" w:rsidRPr="00A243FA" w14:paraId="5AEBC652" w14:textId="77777777" w:rsidTr="004A4FBD">
        <w:trPr>
          <w:cantSplit/>
          <w:trHeight w:val="901"/>
        </w:trPr>
        <w:tc>
          <w:tcPr>
            <w:tcW w:w="432" w:type="pct"/>
            <w:vMerge/>
            <w:tcBorders>
              <w:left w:val="nil"/>
              <w:bottom w:val="single" w:sz="4" w:space="0" w:color="auto"/>
            </w:tcBorders>
            <w:shd w:val="clear" w:color="auto" w:fill="auto"/>
            <w:textDirection w:val="btLr"/>
            <w:vAlign w:val="center"/>
          </w:tcPr>
          <w:p w14:paraId="367AE724" w14:textId="77777777" w:rsidR="00924C50" w:rsidRPr="00A243FA" w:rsidRDefault="00924C50" w:rsidP="00BB43C1">
            <w:pPr>
              <w:ind w:left="113" w:right="113"/>
              <w:contextualSpacing/>
              <w:jc w:val="center"/>
              <w:rPr>
                <w:rFonts w:ascii="Century Gothic" w:hAnsi="Century Gothic" w:cs="Arial"/>
                <w:color w:val="000000"/>
                <w:sz w:val="16"/>
                <w:szCs w:val="16"/>
                <w:lang w:val="es-ES"/>
              </w:rPr>
            </w:pPr>
          </w:p>
        </w:tc>
        <w:tc>
          <w:tcPr>
            <w:tcW w:w="695" w:type="pct"/>
            <w:tcBorders>
              <w:bottom w:val="single" w:sz="12" w:space="0" w:color="000000" w:themeColor="text1"/>
            </w:tcBorders>
            <w:shd w:val="clear" w:color="auto" w:fill="auto"/>
            <w:vAlign w:val="center"/>
          </w:tcPr>
          <w:p w14:paraId="24020F18"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Volumen de negocio de hasta 10 millones de EUR</w:t>
            </w:r>
          </w:p>
        </w:tc>
        <w:tc>
          <w:tcPr>
            <w:tcW w:w="2403" w:type="pct"/>
            <w:tcBorders>
              <w:bottom w:val="single" w:sz="12" w:space="0" w:color="000000" w:themeColor="text1"/>
            </w:tcBorders>
            <w:shd w:val="clear" w:color="auto" w:fill="FFFFFF"/>
            <w:vAlign w:val="center"/>
          </w:tcPr>
          <w:p w14:paraId="7E09DC57"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Impuesto de sociedades: se aplican normas específicas para la amortización, las reducciones de la renta imponible y otras cuestiones a las empresas con un volumen de negocio inferior a 10 millones EUR.</w:t>
            </w:r>
          </w:p>
        </w:tc>
        <w:tc>
          <w:tcPr>
            <w:tcW w:w="731" w:type="pct"/>
            <w:tcBorders>
              <w:bottom w:val="single" w:sz="12" w:space="0" w:color="000000" w:themeColor="text1"/>
            </w:tcBorders>
            <w:shd w:val="clear" w:color="auto" w:fill="FFFFFF"/>
            <w:vAlign w:val="center"/>
          </w:tcPr>
          <w:p w14:paraId="5B56E087"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Ley 24/2014</w:t>
            </w:r>
          </w:p>
        </w:tc>
        <w:tc>
          <w:tcPr>
            <w:tcW w:w="739" w:type="pct"/>
            <w:tcBorders>
              <w:bottom w:val="single" w:sz="12" w:space="0" w:color="000000" w:themeColor="text1"/>
              <w:right w:val="nil"/>
            </w:tcBorders>
            <w:shd w:val="clear" w:color="auto" w:fill="FFFFFF"/>
            <w:vAlign w:val="center"/>
          </w:tcPr>
          <w:p w14:paraId="2EF07CAD" w14:textId="77777777" w:rsidR="00924C50" w:rsidRPr="00A243FA" w:rsidRDefault="00924C50" w:rsidP="00BB43C1">
            <w:pPr>
              <w:contextualSpacing/>
              <w:jc w:val="center"/>
              <w:rPr>
                <w:rFonts w:ascii="Century Gothic" w:hAnsi="Century Gothic" w:cs="Arial"/>
                <w:color w:val="000000"/>
                <w:sz w:val="16"/>
                <w:szCs w:val="16"/>
                <w:lang w:val="es-ES"/>
              </w:rPr>
            </w:pPr>
            <w:r w:rsidRPr="00A243FA">
              <w:rPr>
                <w:rFonts w:ascii="Century Gothic" w:hAnsi="Century Gothic" w:cs="Arial"/>
                <w:color w:val="000000"/>
                <w:sz w:val="16"/>
                <w:szCs w:val="16"/>
                <w:lang w:val="es-ES"/>
              </w:rPr>
              <w:t>Nov. 14</w:t>
            </w:r>
          </w:p>
        </w:tc>
      </w:tr>
      <w:tr w:rsidR="00924C50" w:rsidRPr="00BB5008" w14:paraId="6176A91A" w14:textId="77777777" w:rsidTr="00BB43C1">
        <w:trPr>
          <w:cantSplit/>
          <w:trHeight w:val="133"/>
        </w:trPr>
        <w:tc>
          <w:tcPr>
            <w:tcW w:w="5000" w:type="pct"/>
            <w:gridSpan w:val="5"/>
            <w:tcBorders>
              <w:top w:val="single" w:sz="12" w:space="0" w:color="000000" w:themeColor="text1"/>
              <w:left w:val="nil"/>
              <w:bottom w:val="nil"/>
              <w:right w:val="nil"/>
            </w:tcBorders>
            <w:shd w:val="clear" w:color="auto" w:fill="auto"/>
            <w:vAlign w:val="center"/>
          </w:tcPr>
          <w:p w14:paraId="222430F3" w14:textId="54879268" w:rsidR="00924C50" w:rsidRPr="00737413" w:rsidRDefault="00924C50" w:rsidP="00BB43C1">
            <w:pPr>
              <w:contextualSpacing/>
              <w:jc w:val="left"/>
              <w:rPr>
                <w:rFonts w:ascii="Century Gothic" w:hAnsi="Century Gothic" w:cs="Arial"/>
                <w:i/>
                <w:color w:val="000000"/>
                <w:sz w:val="16"/>
                <w:szCs w:val="16"/>
                <w:lang w:val="es-ES"/>
              </w:rPr>
            </w:pPr>
            <w:r w:rsidRPr="00A243FA">
              <w:rPr>
                <w:rFonts w:ascii="Century Gothic" w:hAnsi="Century Gothic" w:cs="Arial"/>
                <w:i/>
                <w:color w:val="000000"/>
                <w:sz w:val="16"/>
                <w:szCs w:val="16"/>
                <w:lang w:val="es-ES"/>
              </w:rPr>
              <w:t>Fuente: Comisión Europea</w:t>
            </w:r>
            <w:r w:rsidR="00737413">
              <w:rPr>
                <w:rFonts w:ascii="Century Gothic" w:hAnsi="Century Gothic" w:cs="Arial"/>
                <w:i/>
                <w:color w:val="000000"/>
                <w:sz w:val="16"/>
                <w:szCs w:val="16"/>
                <w:lang w:val="es-ES"/>
              </w:rPr>
              <w:t xml:space="preserve"> </w:t>
            </w:r>
            <w:r w:rsidR="00737413" w:rsidRPr="00737413">
              <w:rPr>
                <w:rFonts w:ascii="Century Gothic" w:hAnsi="Century Gothic" w:cs="Arial"/>
                <w:i/>
                <w:color w:val="000000"/>
                <w:sz w:val="16"/>
                <w:szCs w:val="16"/>
                <w:lang w:val="es-ES"/>
              </w:rPr>
              <w:t>SWD(2016) 78 final</w:t>
            </w:r>
          </w:p>
        </w:tc>
      </w:tr>
    </w:tbl>
    <w:p w14:paraId="0F08BC3F" w14:textId="5C6BCCC4" w:rsidR="002262A9" w:rsidRDefault="002262A9" w:rsidP="00DB0F5A">
      <w:pPr>
        <w:pStyle w:val="Ttulo1"/>
        <w:pageBreakBefore/>
        <w:numPr>
          <w:ilvl w:val="0"/>
          <w:numId w:val="28"/>
        </w:numPr>
        <w:tabs>
          <w:tab w:val="num" w:pos="432"/>
        </w:tabs>
        <w:spacing w:before="0" w:line="276" w:lineRule="auto"/>
        <w:ind w:left="431" w:hanging="431"/>
        <w:rPr>
          <w:rFonts w:cs="Arial"/>
          <w:color w:val="003399"/>
          <w:sz w:val="28"/>
          <w:szCs w:val="22"/>
          <w:lang w:val="es-ES"/>
        </w:rPr>
      </w:pPr>
      <w:bookmarkStart w:id="30" w:name="_Toc525300098"/>
      <w:bookmarkStart w:id="31" w:name="_Toc526423230"/>
      <w:bookmarkStart w:id="32" w:name="_Toc523847359"/>
      <w:r>
        <w:rPr>
          <w:rFonts w:cs="Arial"/>
          <w:color w:val="003399"/>
          <w:sz w:val="28"/>
          <w:szCs w:val="22"/>
          <w:lang w:val="es-ES"/>
        </w:rPr>
        <w:lastRenderedPageBreak/>
        <w:t>Indicadores de seguimiento</w:t>
      </w:r>
      <w:bookmarkEnd w:id="30"/>
      <w:bookmarkEnd w:id="31"/>
    </w:p>
    <w:tbl>
      <w:tblPr>
        <w:tblStyle w:val="DocumentTable1"/>
        <w:tblW w:w="9747" w:type="dxa"/>
        <w:tblLayout w:type="fixed"/>
        <w:tblLook w:val="04A0" w:firstRow="1" w:lastRow="0" w:firstColumn="1" w:lastColumn="0" w:noHBand="0" w:noVBand="1"/>
      </w:tblPr>
      <w:tblGrid>
        <w:gridCol w:w="3227"/>
        <w:gridCol w:w="6520"/>
      </w:tblGrid>
      <w:tr w:rsidR="002262A9" w:rsidRPr="009A48C1" w14:paraId="0A35171F" w14:textId="77777777" w:rsidTr="003E4EC5">
        <w:trPr>
          <w:trHeight w:val="122"/>
          <w:tblHeader/>
        </w:trPr>
        <w:tc>
          <w:tcPr>
            <w:tcW w:w="3227" w:type="dxa"/>
            <w:vAlign w:val="center"/>
            <w:hideMark/>
          </w:tcPr>
          <w:p w14:paraId="16C1ACF7" w14:textId="77777777" w:rsidR="002262A9" w:rsidRPr="009A48C1" w:rsidRDefault="002262A9" w:rsidP="003E4EC5">
            <w:pPr>
              <w:spacing w:beforeLines="40" w:before="96" w:afterLines="40" w:after="96"/>
              <w:jc w:val="center"/>
              <w:rPr>
                <w:rFonts w:ascii="Century Gothic" w:hAnsi="Century Gothic"/>
                <w:b/>
                <w:bCs/>
                <w:sz w:val="18"/>
                <w:szCs w:val="18"/>
                <w:lang w:val="es-ES"/>
              </w:rPr>
            </w:pPr>
            <w:r>
              <w:rPr>
                <w:rFonts w:ascii="Century Gothic" w:hAnsi="Century Gothic"/>
                <w:b/>
                <w:bCs/>
                <w:sz w:val="18"/>
                <w:szCs w:val="18"/>
                <w:lang w:val="es-ES"/>
              </w:rPr>
              <w:t>PALANCA</w:t>
            </w:r>
          </w:p>
        </w:tc>
        <w:tc>
          <w:tcPr>
            <w:tcW w:w="6520" w:type="dxa"/>
            <w:vAlign w:val="center"/>
            <w:hideMark/>
          </w:tcPr>
          <w:p w14:paraId="1F152B91" w14:textId="77777777" w:rsidR="002262A9" w:rsidRPr="009A48C1" w:rsidRDefault="002262A9" w:rsidP="003E4EC5">
            <w:pPr>
              <w:spacing w:beforeLines="40" w:before="96" w:afterLines="40" w:after="96"/>
              <w:jc w:val="center"/>
              <w:rPr>
                <w:rFonts w:ascii="Century Gothic" w:hAnsi="Century Gothic"/>
                <w:b/>
                <w:sz w:val="18"/>
                <w:szCs w:val="18"/>
                <w:lang w:val="es-ES"/>
              </w:rPr>
            </w:pPr>
            <w:r w:rsidRPr="009A48C1">
              <w:rPr>
                <w:rFonts w:ascii="Century Gothic" w:hAnsi="Century Gothic"/>
                <w:b/>
                <w:sz w:val="18"/>
                <w:szCs w:val="18"/>
                <w:lang w:val="es-ES"/>
              </w:rPr>
              <w:t>INDICADOR</w:t>
            </w:r>
          </w:p>
        </w:tc>
      </w:tr>
      <w:tr w:rsidR="002262A9" w:rsidRPr="00562F1F" w14:paraId="2E35B56C" w14:textId="77777777" w:rsidTr="003E4EC5">
        <w:trPr>
          <w:trHeight w:val="8350"/>
        </w:trPr>
        <w:tc>
          <w:tcPr>
            <w:tcW w:w="3227" w:type="dxa"/>
            <w:vAlign w:val="center"/>
          </w:tcPr>
          <w:p w14:paraId="31C4B1A4" w14:textId="77777777" w:rsidR="002262A9" w:rsidRPr="009A48C1" w:rsidRDefault="002262A9" w:rsidP="003E4EC5">
            <w:pPr>
              <w:spacing w:beforeLines="40" w:before="96" w:afterLines="40" w:after="96"/>
              <w:jc w:val="center"/>
              <w:rPr>
                <w:rFonts w:ascii="Century Gothic" w:hAnsi="Century Gothic"/>
                <w:bCs/>
                <w:sz w:val="18"/>
                <w:szCs w:val="18"/>
                <w:lang w:val="es-ES"/>
              </w:rPr>
            </w:pPr>
            <w:r w:rsidRPr="003E3820">
              <w:rPr>
                <w:rFonts w:ascii="Century Gothic" w:hAnsi="Century Gothic"/>
                <w:b/>
                <w:bCs/>
                <w:sz w:val="18"/>
                <w:szCs w:val="18"/>
                <w:lang w:val="es-ES"/>
              </w:rPr>
              <w:t>EMPRENDIMIENTO</w:t>
            </w:r>
          </w:p>
        </w:tc>
        <w:tc>
          <w:tcPr>
            <w:tcW w:w="6520" w:type="dxa"/>
            <w:noWrap/>
            <w:hideMark/>
          </w:tcPr>
          <w:p w14:paraId="61DFAEF4" w14:textId="77777777" w:rsidR="002262A9" w:rsidRDefault="002262A9" w:rsidP="002262A9">
            <w:pPr>
              <w:pStyle w:val="Prrafodelista"/>
              <w:numPr>
                <w:ilvl w:val="0"/>
                <w:numId w:val="45"/>
              </w:numPr>
              <w:spacing w:beforeLines="40" w:before="96" w:afterLines="40" w:after="96"/>
              <w:rPr>
                <w:rFonts w:ascii="Century Gothic" w:hAnsi="Century Gothic"/>
                <w:sz w:val="18"/>
                <w:szCs w:val="18"/>
                <w:lang w:val="es-ES"/>
              </w:rPr>
            </w:pPr>
            <w:r w:rsidRPr="00127C65">
              <w:rPr>
                <w:rFonts w:ascii="Century Gothic" w:hAnsi="Century Gothic"/>
                <w:sz w:val="18"/>
                <w:szCs w:val="18"/>
                <w:lang w:val="es-ES"/>
              </w:rPr>
              <w:t xml:space="preserve">Desarrollo de la iniciativa emprendedora GEM (Fuente: </w:t>
            </w:r>
            <w:r w:rsidRPr="009A48C1">
              <w:rPr>
                <w:rFonts w:ascii="Century Gothic" w:hAnsi="Century Gothic"/>
                <w:sz w:val="18"/>
                <w:szCs w:val="18"/>
                <w:lang w:val="es-ES"/>
              </w:rPr>
              <w:t>http://gemconsortium.org/report)</w:t>
            </w:r>
            <w:r>
              <w:rPr>
                <w:rFonts w:ascii="Century Gothic" w:hAnsi="Century Gothic"/>
                <w:sz w:val="18"/>
                <w:szCs w:val="18"/>
                <w:lang w:val="es-ES"/>
              </w:rPr>
              <w:t xml:space="preserve"> </w:t>
            </w:r>
          </w:p>
          <w:p w14:paraId="5D47A054" w14:textId="77777777" w:rsidR="002262A9" w:rsidRDefault="002262A9" w:rsidP="002262A9">
            <w:pPr>
              <w:pStyle w:val="Prrafodelista"/>
              <w:numPr>
                <w:ilvl w:val="0"/>
                <w:numId w:val="45"/>
              </w:numPr>
              <w:spacing w:beforeLines="40" w:before="96" w:afterLines="40" w:after="96"/>
              <w:rPr>
                <w:rFonts w:ascii="Century Gothic" w:hAnsi="Century Gothic"/>
                <w:bCs/>
                <w:sz w:val="18"/>
                <w:szCs w:val="18"/>
                <w:lang w:val="es-ES"/>
              </w:rPr>
            </w:pPr>
            <w:r>
              <w:rPr>
                <w:rFonts w:ascii="Century Gothic" w:hAnsi="Century Gothic"/>
                <w:sz w:val="18"/>
                <w:szCs w:val="18"/>
                <w:lang w:val="es-ES"/>
              </w:rPr>
              <w:t xml:space="preserve">Número de emprendedores y empresas atendidos por las redes de apoyo a emprendedores existentes. </w:t>
            </w:r>
            <w:r>
              <w:rPr>
                <w:rFonts w:ascii="Century Gothic" w:hAnsi="Century Gothic"/>
                <w:bCs/>
                <w:sz w:val="18"/>
                <w:szCs w:val="18"/>
                <w:lang w:val="es-ES"/>
              </w:rPr>
              <w:t>Fuente. Vocales del Consejo Estatal.</w:t>
            </w:r>
            <w:r w:rsidRPr="008F650D">
              <w:rPr>
                <w:rFonts w:ascii="Century Gothic" w:hAnsi="Century Gothic"/>
                <w:bCs/>
                <w:sz w:val="18"/>
                <w:szCs w:val="18"/>
                <w:lang w:val="es-ES"/>
              </w:rPr>
              <w:t xml:space="preserve"> </w:t>
            </w:r>
          </w:p>
          <w:p w14:paraId="1FDEA09E" w14:textId="77777777" w:rsidR="002262A9" w:rsidRPr="008F650D" w:rsidRDefault="002262A9" w:rsidP="002262A9">
            <w:pPr>
              <w:pStyle w:val="Prrafodelista"/>
              <w:numPr>
                <w:ilvl w:val="0"/>
                <w:numId w:val="45"/>
              </w:numPr>
              <w:spacing w:beforeLines="40" w:before="96" w:afterLines="40" w:after="96"/>
              <w:rPr>
                <w:rFonts w:ascii="Century Gothic" w:hAnsi="Century Gothic"/>
                <w:bCs/>
                <w:sz w:val="18"/>
                <w:szCs w:val="18"/>
                <w:lang w:val="es-ES"/>
              </w:rPr>
            </w:pPr>
            <w:r w:rsidRPr="008F650D">
              <w:rPr>
                <w:rFonts w:ascii="Century Gothic" w:hAnsi="Century Gothic"/>
                <w:bCs/>
                <w:sz w:val="18"/>
                <w:szCs w:val="18"/>
                <w:lang w:val="es-ES"/>
              </w:rPr>
              <w:t>Evolución del indicador de creación de empresas del Doing Business</w:t>
            </w:r>
            <w:r>
              <w:rPr>
                <w:rFonts w:ascii="Century Gothic" w:hAnsi="Century Gothic"/>
                <w:bCs/>
                <w:sz w:val="18"/>
                <w:szCs w:val="18"/>
                <w:lang w:val="es-ES"/>
              </w:rPr>
              <w:t xml:space="preserve"> (DB):</w:t>
            </w:r>
          </w:p>
          <w:p w14:paraId="3AC488AB" w14:textId="77777777" w:rsidR="002262A9" w:rsidRPr="008F650D"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8F650D">
              <w:rPr>
                <w:rFonts w:ascii="Century Gothic" w:hAnsi="Century Gothic"/>
                <w:sz w:val="18"/>
                <w:szCs w:val="18"/>
                <w:lang w:val="es-ES"/>
              </w:rPr>
              <w:t>Ranking</w:t>
            </w:r>
          </w:p>
          <w:p w14:paraId="20BBD599" w14:textId="77777777" w:rsidR="002262A9" w:rsidRPr="008F650D"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8F650D">
              <w:rPr>
                <w:rFonts w:ascii="Century Gothic" w:hAnsi="Century Gothic"/>
                <w:sz w:val="18"/>
                <w:szCs w:val="18"/>
                <w:lang w:val="es-ES"/>
              </w:rPr>
              <w:t>Distancia a la frontera</w:t>
            </w:r>
          </w:p>
          <w:p w14:paraId="60FE2160" w14:textId="77777777" w:rsidR="002262A9" w:rsidRPr="008F650D"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8F650D">
              <w:rPr>
                <w:rFonts w:ascii="Century Gothic" w:hAnsi="Century Gothic"/>
                <w:sz w:val="18"/>
                <w:szCs w:val="18"/>
                <w:lang w:val="es-ES"/>
              </w:rPr>
              <w:t>Procedimientos</w:t>
            </w:r>
          </w:p>
          <w:p w14:paraId="10535511" w14:textId="77777777" w:rsidR="002262A9" w:rsidRPr="008F650D"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8F650D">
              <w:rPr>
                <w:rFonts w:ascii="Century Gothic" w:hAnsi="Century Gothic"/>
                <w:sz w:val="18"/>
                <w:szCs w:val="18"/>
                <w:lang w:val="es-ES"/>
              </w:rPr>
              <w:t>Tiempos</w:t>
            </w:r>
          </w:p>
          <w:p w14:paraId="67F323F2" w14:textId="77777777" w:rsidR="002262A9" w:rsidRPr="008F650D"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8F650D">
              <w:rPr>
                <w:rFonts w:ascii="Century Gothic" w:hAnsi="Century Gothic"/>
                <w:sz w:val="18"/>
                <w:szCs w:val="18"/>
                <w:lang w:val="es-ES"/>
              </w:rPr>
              <w:t>Costo</w:t>
            </w:r>
          </w:p>
          <w:p w14:paraId="75B6F2A6" w14:textId="77777777" w:rsidR="002262A9" w:rsidRPr="008F650D"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8F650D">
              <w:rPr>
                <w:rFonts w:ascii="Century Gothic" w:hAnsi="Century Gothic"/>
                <w:sz w:val="18"/>
                <w:szCs w:val="18"/>
                <w:lang w:val="es-ES"/>
              </w:rPr>
              <w:t>CIRCE-Nº de PAEs activos</w:t>
            </w:r>
          </w:p>
          <w:p w14:paraId="0687AE30" w14:textId="77777777" w:rsidR="002262A9" w:rsidRPr="00127C65"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8F650D">
              <w:rPr>
                <w:rFonts w:ascii="Century Gothic" w:hAnsi="Century Gothic"/>
                <w:sz w:val="18"/>
                <w:szCs w:val="18"/>
                <w:lang w:val="es-ES"/>
              </w:rPr>
              <w:t xml:space="preserve">CIRCE-Tramitación </w:t>
            </w:r>
          </w:p>
          <w:p w14:paraId="1E321FDC" w14:textId="77777777" w:rsidR="002262A9" w:rsidRPr="00127C65" w:rsidRDefault="002262A9" w:rsidP="003E4EC5">
            <w:pPr>
              <w:spacing w:beforeLines="40" w:before="96" w:afterLines="40" w:after="96"/>
              <w:rPr>
                <w:rFonts w:ascii="Century Gothic" w:hAnsi="Century Gothic"/>
                <w:sz w:val="18"/>
                <w:szCs w:val="18"/>
                <w:lang w:val="es-ES"/>
              </w:rPr>
            </w:pPr>
            <w:r w:rsidRPr="00127C65">
              <w:rPr>
                <w:rFonts w:ascii="Century Gothic" w:hAnsi="Century Gothic"/>
                <w:sz w:val="18"/>
                <w:szCs w:val="18"/>
                <w:lang w:val="es-ES"/>
              </w:rPr>
              <w:t xml:space="preserve">Fuentes: </w:t>
            </w:r>
          </w:p>
          <w:p w14:paraId="03FD0C26" w14:textId="77777777" w:rsidR="002262A9" w:rsidRDefault="003A71CF" w:rsidP="002262A9">
            <w:pPr>
              <w:pStyle w:val="Prrafodelista"/>
              <w:numPr>
                <w:ilvl w:val="1"/>
                <w:numId w:val="45"/>
              </w:numPr>
              <w:spacing w:beforeLines="40" w:before="96" w:afterLines="40" w:after="96"/>
              <w:ind w:left="601"/>
              <w:rPr>
                <w:rFonts w:ascii="Century Gothic" w:hAnsi="Century Gothic"/>
                <w:sz w:val="18"/>
                <w:szCs w:val="18"/>
                <w:lang w:val="es-ES"/>
              </w:rPr>
            </w:pPr>
            <w:hyperlink r:id="rId27" w:history="1">
              <w:r w:rsidR="002262A9" w:rsidRPr="002233BF">
                <w:rPr>
                  <w:rStyle w:val="Hipervnculo"/>
                  <w:rFonts w:ascii="Century Gothic" w:hAnsi="Century Gothic"/>
                  <w:sz w:val="18"/>
                  <w:szCs w:val="18"/>
                  <w:lang w:val="es-ES"/>
                </w:rPr>
                <w:t>http://espanol.doingbusiness.org/data/exploreeconomies/spain</w:t>
              </w:r>
            </w:hyperlink>
          </w:p>
          <w:p w14:paraId="1DC7BD63" w14:textId="77777777" w:rsidR="002262A9" w:rsidRPr="00562F1F" w:rsidRDefault="002262A9" w:rsidP="002262A9">
            <w:pPr>
              <w:pStyle w:val="Prrafodelista"/>
              <w:numPr>
                <w:ilvl w:val="1"/>
                <w:numId w:val="45"/>
              </w:numPr>
              <w:spacing w:beforeLines="40" w:before="96" w:afterLines="40" w:after="96"/>
              <w:ind w:left="601"/>
              <w:rPr>
                <w:rFonts w:ascii="Century Gothic" w:hAnsi="Century Gothic"/>
                <w:sz w:val="18"/>
                <w:szCs w:val="18"/>
                <w:lang w:val="es-ES"/>
              </w:rPr>
            </w:pPr>
            <w:r>
              <w:rPr>
                <w:rFonts w:ascii="Century Gothic" w:hAnsi="Century Gothic"/>
                <w:sz w:val="18"/>
                <w:szCs w:val="18"/>
                <w:lang w:val="es-ES"/>
              </w:rPr>
              <w:t>Sistema CIRCE</w:t>
            </w:r>
          </w:p>
          <w:p w14:paraId="12B93F8E" w14:textId="77777777" w:rsidR="002262A9" w:rsidRDefault="002262A9" w:rsidP="002262A9">
            <w:pPr>
              <w:pStyle w:val="Prrafodelista"/>
              <w:numPr>
                <w:ilvl w:val="0"/>
                <w:numId w:val="45"/>
              </w:numPr>
              <w:spacing w:beforeLines="40" w:before="96" w:afterLines="40" w:after="96"/>
              <w:rPr>
                <w:rFonts w:ascii="Century Gothic" w:hAnsi="Century Gothic"/>
                <w:sz w:val="18"/>
                <w:szCs w:val="18"/>
                <w:lang w:val="es-ES"/>
              </w:rPr>
            </w:pPr>
            <w:r>
              <w:rPr>
                <w:rFonts w:ascii="Century Gothic" w:hAnsi="Century Gothic"/>
                <w:sz w:val="18"/>
                <w:szCs w:val="18"/>
                <w:lang w:val="es-ES"/>
              </w:rPr>
              <w:t>Desarrollo del programa de transmisión de empresas de la DGIPYME:</w:t>
            </w:r>
          </w:p>
          <w:p w14:paraId="67C7F417" w14:textId="77777777" w:rsidR="002262A9"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792BBF">
              <w:rPr>
                <w:rFonts w:ascii="Century Gothic" w:hAnsi="Century Gothic"/>
                <w:sz w:val="18"/>
                <w:szCs w:val="18"/>
                <w:lang w:val="es-ES"/>
              </w:rPr>
              <w:t>Nº de Puntos de Atención</w:t>
            </w:r>
            <w:r>
              <w:rPr>
                <w:rFonts w:ascii="Century Gothic" w:hAnsi="Century Gothic"/>
                <w:sz w:val="18"/>
                <w:szCs w:val="18"/>
                <w:lang w:val="es-ES"/>
              </w:rPr>
              <w:t>.</w:t>
            </w:r>
          </w:p>
          <w:p w14:paraId="7CEBF776" w14:textId="77777777" w:rsidR="002262A9" w:rsidRDefault="002262A9" w:rsidP="002262A9">
            <w:pPr>
              <w:pStyle w:val="Prrafodelista"/>
              <w:numPr>
                <w:ilvl w:val="1"/>
                <w:numId w:val="45"/>
              </w:numPr>
              <w:spacing w:beforeLines="40" w:before="96" w:afterLines="40" w:after="96"/>
              <w:rPr>
                <w:rFonts w:ascii="Century Gothic" w:hAnsi="Century Gothic"/>
                <w:sz w:val="18"/>
                <w:szCs w:val="18"/>
                <w:lang w:val="es-ES"/>
              </w:rPr>
            </w:pPr>
            <w:r w:rsidRPr="00792BBF">
              <w:rPr>
                <w:rFonts w:ascii="Century Gothic" w:hAnsi="Century Gothic"/>
                <w:sz w:val="18"/>
                <w:szCs w:val="18"/>
                <w:lang w:val="es-ES"/>
              </w:rPr>
              <w:t>Número de transmisiones registradas</w:t>
            </w:r>
            <w:r>
              <w:rPr>
                <w:rFonts w:ascii="Century Gothic" w:hAnsi="Century Gothic"/>
                <w:sz w:val="18"/>
                <w:szCs w:val="18"/>
                <w:lang w:val="es-ES"/>
              </w:rPr>
              <w:t>, número de vendedores y compradores atendidos.</w:t>
            </w:r>
          </w:p>
          <w:p w14:paraId="0381534C" w14:textId="77777777" w:rsidR="002262A9" w:rsidRPr="005E7AC5" w:rsidRDefault="002262A9" w:rsidP="003E4EC5">
            <w:pPr>
              <w:spacing w:beforeLines="40" w:before="96" w:afterLines="40" w:after="96"/>
              <w:ind w:left="360"/>
              <w:rPr>
                <w:rFonts w:ascii="Century Gothic" w:hAnsi="Century Gothic"/>
                <w:sz w:val="18"/>
                <w:szCs w:val="18"/>
                <w:lang w:val="es-ES"/>
              </w:rPr>
            </w:pPr>
            <w:r>
              <w:rPr>
                <w:rFonts w:ascii="Century Gothic" w:hAnsi="Century Gothic"/>
                <w:sz w:val="18"/>
                <w:szCs w:val="18"/>
                <w:lang w:val="es-ES"/>
              </w:rPr>
              <w:t>Fuente: programa de transmisión empresas de DGIPYME.</w:t>
            </w:r>
          </w:p>
          <w:p w14:paraId="13652D9B" w14:textId="77777777" w:rsidR="002262A9" w:rsidRPr="003E3820" w:rsidRDefault="002262A9" w:rsidP="002262A9">
            <w:pPr>
              <w:pStyle w:val="Prrafodelista"/>
              <w:numPr>
                <w:ilvl w:val="0"/>
                <w:numId w:val="46"/>
              </w:numPr>
              <w:spacing w:beforeLines="40" w:before="96" w:afterLines="40" w:after="96"/>
              <w:rPr>
                <w:rFonts w:ascii="Century Gothic" w:hAnsi="Century Gothic"/>
                <w:bCs/>
                <w:sz w:val="18"/>
                <w:szCs w:val="18"/>
                <w:lang w:val="es-ES"/>
              </w:rPr>
            </w:pPr>
            <w:r w:rsidRPr="003E3820">
              <w:rPr>
                <w:rFonts w:ascii="Century Gothic" w:hAnsi="Century Gothic"/>
                <w:bCs/>
                <w:sz w:val="18"/>
                <w:szCs w:val="18"/>
                <w:lang w:val="es-ES"/>
              </w:rPr>
              <w:t>Nº de solicitudes de exoneración del pasivo insatisfecho. Artículo 178 bis Ley Concursal.</w:t>
            </w:r>
          </w:p>
          <w:p w14:paraId="2B93401E" w14:textId="77777777" w:rsidR="002262A9" w:rsidRDefault="002262A9" w:rsidP="003E4EC5">
            <w:pPr>
              <w:spacing w:beforeLines="40" w:before="96" w:afterLines="40" w:after="96"/>
              <w:ind w:left="360"/>
              <w:rPr>
                <w:rFonts w:ascii="Century Gothic" w:hAnsi="Century Gothic"/>
                <w:sz w:val="18"/>
                <w:szCs w:val="18"/>
                <w:lang w:val="es-ES"/>
              </w:rPr>
            </w:pPr>
            <w:r w:rsidRPr="009A48C1">
              <w:rPr>
                <w:rFonts w:ascii="Century Gothic" w:hAnsi="Century Gothic"/>
                <w:sz w:val="18"/>
                <w:szCs w:val="18"/>
                <w:lang w:val="es-ES"/>
              </w:rPr>
              <w:t>Fuente: poder judicial</w:t>
            </w:r>
          </w:p>
          <w:p w14:paraId="4B0F8A33" w14:textId="77777777" w:rsidR="002262A9" w:rsidRPr="00562F1F" w:rsidRDefault="002262A9" w:rsidP="003E4EC5">
            <w:pPr>
              <w:spacing w:beforeLines="40" w:before="96" w:afterLines="40" w:after="96"/>
              <w:rPr>
                <w:rFonts w:ascii="Century Gothic" w:hAnsi="Century Gothic"/>
                <w:sz w:val="18"/>
                <w:szCs w:val="18"/>
                <w:lang w:val="es-ES"/>
              </w:rPr>
            </w:pPr>
          </w:p>
        </w:tc>
      </w:tr>
      <w:tr w:rsidR="002262A9" w:rsidRPr="00127C65" w14:paraId="5CE9E4BD" w14:textId="77777777" w:rsidTr="003E4EC5">
        <w:trPr>
          <w:trHeight w:val="1402"/>
        </w:trPr>
        <w:tc>
          <w:tcPr>
            <w:tcW w:w="3227" w:type="dxa"/>
            <w:vAlign w:val="center"/>
          </w:tcPr>
          <w:p w14:paraId="5D7DC37A" w14:textId="77777777" w:rsidR="002262A9" w:rsidRPr="009A48C1" w:rsidRDefault="002262A9" w:rsidP="003E4EC5">
            <w:pPr>
              <w:spacing w:beforeLines="40" w:before="96" w:afterLines="40" w:after="96"/>
              <w:jc w:val="center"/>
              <w:rPr>
                <w:rFonts w:ascii="Century Gothic" w:hAnsi="Century Gothic"/>
                <w:bCs/>
                <w:sz w:val="18"/>
                <w:szCs w:val="18"/>
                <w:lang w:val="es-ES"/>
              </w:rPr>
            </w:pPr>
            <w:r w:rsidRPr="005247B9">
              <w:rPr>
                <w:lang w:val="es-ES"/>
              </w:rPr>
              <w:br w:type="page"/>
            </w:r>
            <w:r w:rsidRPr="002C092B">
              <w:rPr>
                <w:rFonts w:ascii="Century Gothic" w:hAnsi="Century Gothic"/>
                <w:b/>
                <w:bCs/>
                <w:sz w:val="18"/>
                <w:szCs w:val="18"/>
                <w:lang w:val="es-ES"/>
              </w:rPr>
              <w:t>GESTIÓN EMPRESARIAL Y TALENTO</w:t>
            </w:r>
          </w:p>
        </w:tc>
        <w:tc>
          <w:tcPr>
            <w:tcW w:w="6520" w:type="dxa"/>
            <w:hideMark/>
          </w:tcPr>
          <w:p w14:paraId="3CC117F5" w14:textId="77777777" w:rsidR="002262A9" w:rsidRDefault="002262A9" w:rsidP="002262A9">
            <w:pPr>
              <w:pStyle w:val="Prrafodelista"/>
              <w:numPr>
                <w:ilvl w:val="0"/>
                <w:numId w:val="47"/>
              </w:numPr>
              <w:spacing w:beforeLines="40" w:before="96" w:afterLines="40" w:after="96"/>
              <w:rPr>
                <w:rFonts w:ascii="Century Gothic" w:hAnsi="Century Gothic"/>
                <w:sz w:val="18"/>
                <w:szCs w:val="18"/>
                <w:lang w:val="es-ES"/>
              </w:rPr>
            </w:pPr>
            <w:r>
              <w:rPr>
                <w:rFonts w:ascii="Century Gothic" w:hAnsi="Century Gothic"/>
                <w:sz w:val="18"/>
                <w:szCs w:val="18"/>
                <w:lang w:val="es-ES"/>
              </w:rPr>
              <w:t>Número de contratos indefinidos realizados por PYME / año.</w:t>
            </w:r>
          </w:p>
          <w:p w14:paraId="56C0D66A" w14:textId="77777777" w:rsidR="002262A9" w:rsidRDefault="002262A9" w:rsidP="002262A9">
            <w:pPr>
              <w:pStyle w:val="Prrafodelista"/>
              <w:numPr>
                <w:ilvl w:val="0"/>
                <w:numId w:val="47"/>
              </w:numPr>
              <w:spacing w:beforeLines="40" w:before="96" w:afterLines="40" w:after="96"/>
              <w:rPr>
                <w:rFonts w:ascii="Century Gothic" w:hAnsi="Century Gothic"/>
                <w:sz w:val="18"/>
                <w:szCs w:val="18"/>
                <w:lang w:val="es-ES"/>
              </w:rPr>
            </w:pPr>
            <w:r>
              <w:rPr>
                <w:rFonts w:ascii="Century Gothic" w:hAnsi="Century Gothic"/>
                <w:sz w:val="18"/>
                <w:szCs w:val="18"/>
                <w:lang w:val="es-ES"/>
              </w:rPr>
              <w:t>Número de cursos de formación profesional realizados por empleados de PYME.</w:t>
            </w:r>
          </w:p>
          <w:p w14:paraId="3EEE7421" w14:textId="77777777" w:rsidR="002262A9" w:rsidRPr="00127C65" w:rsidRDefault="002262A9" w:rsidP="003E4EC5">
            <w:pPr>
              <w:spacing w:beforeLines="40" w:before="96" w:afterLines="40" w:after="96"/>
              <w:ind w:left="360"/>
              <w:rPr>
                <w:rFonts w:ascii="Century Gothic" w:hAnsi="Century Gothic"/>
                <w:sz w:val="18"/>
                <w:szCs w:val="18"/>
                <w:lang w:val="es-ES"/>
              </w:rPr>
            </w:pPr>
            <w:r>
              <w:rPr>
                <w:rFonts w:ascii="Century Gothic" w:hAnsi="Century Gothic"/>
                <w:sz w:val="18"/>
                <w:szCs w:val="18"/>
                <w:lang w:val="es-ES"/>
              </w:rPr>
              <w:t>Fuente: FUNDAE / SEPE.</w:t>
            </w:r>
          </w:p>
        </w:tc>
      </w:tr>
      <w:tr w:rsidR="002262A9" w:rsidRPr="002C092B" w14:paraId="52082682" w14:textId="77777777" w:rsidTr="003E4EC5">
        <w:trPr>
          <w:trHeight w:val="300"/>
        </w:trPr>
        <w:tc>
          <w:tcPr>
            <w:tcW w:w="9747" w:type="dxa"/>
            <w:gridSpan w:val="2"/>
            <w:hideMark/>
          </w:tcPr>
          <w:p w14:paraId="13F8FCD5" w14:textId="77777777" w:rsidR="002262A9" w:rsidRPr="002C092B" w:rsidRDefault="002262A9" w:rsidP="003E4EC5">
            <w:pPr>
              <w:spacing w:beforeLines="40" w:before="96" w:afterLines="40" w:after="96"/>
              <w:jc w:val="left"/>
              <w:rPr>
                <w:rFonts w:ascii="Century Gothic" w:hAnsi="Century Gothic"/>
                <w:b/>
                <w:sz w:val="18"/>
                <w:szCs w:val="18"/>
                <w:lang w:val="es-ES"/>
              </w:rPr>
            </w:pPr>
            <w:r w:rsidRPr="002C092B">
              <w:rPr>
                <w:rFonts w:ascii="Century Gothic" w:hAnsi="Century Gothic"/>
                <w:b/>
                <w:bCs/>
                <w:sz w:val="18"/>
                <w:szCs w:val="18"/>
                <w:lang w:val="es-ES"/>
              </w:rPr>
              <w:t xml:space="preserve">MARCO REGULATORIO </w:t>
            </w:r>
          </w:p>
        </w:tc>
      </w:tr>
      <w:tr w:rsidR="002262A9" w:rsidRPr="009A48C1" w14:paraId="2907FE1E" w14:textId="77777777" w:rsidTr="003E4EC5">
        <w:trPr>
          <w:trHeight w:val="300"/>
        </w:trPr>
        <w:tc>
          <w:tcPr>
            <w:tcW w:w="3227" w:type="dxa"/>
            <w:hideMark/>
          </w:tcPr>
          <w:p w14:paraId="1DBA2CBC" w14:textId="77777777" w:rsidR="002262A9" w:rsidRPr="009A48C1" w:rsidRDefault="002262A9" w:rsidP="003E4EC5">
            <w:pPr>
              <w:spacing w:beforeLines="40" w:before="96" w:afterLines="40" w:after="96"/>
              <w:rPr>
                <w:rFonts w:ascii="Century Gothic" w:hAnsi="Century Gothic"/>
                <w:bCs/>
                <w:sz w:val="18"/>
                <w:szCs w:val="18"/>
                <w:lang w:val="es-ES"/>
              </w:rPr>
            </w:pPr>
            <w:r w:rsidRPr="009A48C1">
              <w:rPr>
                <w:rFonts w:ascii="Century Gothic" w:hAnsi="Century Gothic"/>
                <w:bCs/>
                <w:sz w:val="18"/>
                <w:szCs w:val="18"/>
                <w:lang w:val="es-ES"/>
              </w:rPr>
              <w:t>FAVORECER EL CRECIMIENTO EMPRESARIAL</w:t>
            </w:r>
          </w:p>
        </w:tc>
        <w:tc>
          <w:tcPr>
            <w:tcW w:w="6520" w:type="dxa"/>
            <w:hideMark/>
          </w:tcPr>
          <w:p w14:paraId="0A52E42B" w14:textId="77777777" w:rsidR="002262A9" w:rsidRPr="009A48C1" w:rsidRDefault="002262A9" w:rsidP="003E4EC5">
            <w:pPr>
              <w:spacing w:beforeLines="40" w:before="96" w:afterLines="40" w:after="96"/>
              <w:rPr>
                <w:rFonts w:ascii="Century Gothic" w:hAnsi="Century Gothic"/>
                <w:sz w:val="18"/>
                <w:szCs w:val="18"/>
                <w:lang w:val="es-ES"/>
              </w:rPr>
            </w:pPr>
            <w:r>
              <w:rPr>
                <w:rFonts w:ascii="Century Gothic" w:hAnsi="Century Gothic"/>
                <w:sz w:val="18"/>
                <w:szCs w:val="18"/>
                <w:lang w:val="es-ES"/>
              </w:rPr>
              <w:t>Evolución del tamaño de la PYME. Fuente INE; Seguridad Social</w:t>
            </w:r>
          </w:p>
        </w:tc>
      </w:tr>
      <w:tr w:rsidR="002262A9" w:rsidRPr="00BB5008" w14:paraId="6010954E" w14:textId="77777777" w:rsidTr="003E4EC5">
        <w:trPr>
          <w:trHeight w:val="2560"/>
        </w:trPr>
        <w:tc>
          <w:tcPr>
            <w:tcW w:w="3227" w:type="dxa"/>
            <w:hideMark/>
          </w:tcPr>
          <w:p w14:paraId="32AC9D17" w14:textId="77777777" w:rsidR="002262A9" w:rsidRPr="009A48C1" w:rsidRDefault="002262A9" w:rsidP="003E4EC5">
            <w:pPr>
              <w:spacing w:beforeLines="40" w:before="96" w:afterLines="40" w:after="96"/>
              <w:rPr>
                <w:rFonts w:ascii="Century Gothic" w:hAnsi="Century Gothic"/>
                <w:bCs/>
                <w:sz w:val="18"/>
                <w:szCs w:val="18"/>
                <w:lang w:val="es-ES"/>
              </w:rPr>
            </w:pPr>
            <w:r w:rsidRPr="009A48C1">
              <w:rPr>
                <w:rFonts w:ascii="Century Gothic" w:hAnsi="Century Gothic"/>
                <w:bCs/>
                <w:sz w:val="18"/>
                <w:szCs w:val="18"/>
                <w:lang w:val="es-ES"/>
              </w:rPr>
              <w:lastRenderedPageBreak/>
              <w:t>CREAR UN MARCO NORMATIVO QUE FAVOREZCA LA ACTIVIDAD DE LA PYME</w:t>
            </w:r>
          </w:p>
        </w:tc>
        <w:tc>
          <w:tcPr>
            <w:tcW w:w="6520" w:type="dxa"/>
            <w:hideMark/>
          </w:tcPr>
          <w:p w14:paraId="23134D2E" w14:textId="77777777" w:rsidR="002262A9" w:rsidRPr="00AC4A93" w:rsidRDefault="002262A9" w:rsidP="002262A9">
            <w:pPr>
              <w:pStyle w:val="Prrafodelista"/>
              <w:numPr>
                <w:ilvl w:val="0"/>
                <w:numId w:val="48"/>
              </w:numPr>
              <w:spacing w:beforeLines="40" w:before="96" w:afterLines="40" w:after="96"/>
              <w:rPr>
                <w:rFonts w:ascii="Century Gothic" w:hAnsi="Century Gothic"/>
                <w:bCs/>
                <w:sz w:val="18"/>
                <w:szCs w:val="18"/>
                <w:lang w:val="es-ES"/>
              </w:rPr>
            </w:pPr>
            <w:r w:rsidRPr="00AC4A93">
              <w:rPr>
                <w:rFonts w:ascii="Century Gothic" w:hAnsi="Century Gothic"/>
                <w:bCs/>
                <w:sz w:val="18"/>
                <w:szCs w:val="18"/>
                <w:lang w:val="es-ES"/>
              </w:rPr>
              <w:t>Implantación efectiva del Test PYME:</w:t>
            </w:r>
          </w:p>
          <w:p w14:paraId="36849EAD" w14:textId="77777777" w:rsidR="002262A9" w:rsidRDefault="002262A9" w:rsidP="002262A9">
            <w:pPr>
              <w:pStyle w:val="Prrafodelista"/>
              <w:numPr>
                <w:ilvl w:val="1"/>
                <w:numId w:val="48"/>
              </w:numPr>
              <w:spacing w:beforeLines="40" w:before="96" w:afterLines="40" w:after="96"/>
              <w:rPr>
                <w:rFonts w:ascii="Century Gothic" w:hAnsi="Century Gothic"/>
                <w:bCs/>
                <w:sz w:val="18"/>
                <w:szCs w:val="18"/>
                <w:lang w:val="es-ES"/>
              </w:rPr>
            </w:pPr>
            <w:r>
              <w:rPr>
                <w:rFonts w:ascii="Century Gothic" w:hAnsi="Century Gothic"/>
                <w:bCs/>
                <w:sz w:val="18"/>
                <w:szCs w:val="18"/>
                <w:lang w:val="es-ES"/>
              </w:rPr>
              <w:t>Número de test implementados.</w:t>
            </w:r>
          </w:p>
          <w:p w14:paraId="18C818D5" w14:textId="77777777" w:rsidR="002262A9" w:rsidRPr="00AC4A93" w:rsidRDefault="002262A9" w:rsidP="002262A9">
            <w:pPr>
              <w:pStyle w:val="Prrafodelista"/>
              <w:numPr>
                <w:ilvl w:val="1"/>
                <w:numId w:val="48"/>
              </w:numPr>
              <w:spacing w:beforeLines="40" w:before="96" w:afterLines="40" w:after="96"/>
              <w:rPr>
                <w:rFonts w:ascii="Century Gothic" w:hAnsi="Century Gothic"/>
                <w:bCs/>
                <w:sz w:val="18"/>
                <w:szCs w:val="18"/>
                <w:lang w:val="es-ES"/>
              </w:rPr>
            </w:pPr>
            <w:r>
              <w:rPr>
                <w:rFonts w:ascii="Century Gothic" w:hAnsi="Century Gothic"/>
                <w:bCs/>
                <w:sz w:val="18"/>
                <w:szCs w:val="18"/>
                <w:lang w:val="es-ES"/>
              </w:rPr>
              <w:t>Número de medidas complementarias o sustitutorias realizadas.</w:t>
            </w:r>
          </w:p>
          <w:p w14:paraId="4F6D6FE1" w14:textId="77777777" w:rsidR="002262A9" w:rsidRPr="00D05802" w:rsidRDefault="002262A9" w:rsidP="002262A9">
            <w:pPr>
              <w:pStyle w:val="Prrafodelista"/>
              <w:numPr>
                <w:ilvl w:val="0"/>
                <w:numId w:val="49"/>
              </w:numPr>
              <w:spacing w:beforeLines="40" w:before="96" w:afterLines="40" w:after="96"/>
              <w:rPr>
                <w:rFonts w:ascii="Century Gothic" w:hAnsi="Century Gothic"/>
                <w:sz w:val="18"/>
                <w:szCs w:val="18"/>
                <w:lang w:val="es-ES"/>
              </w:rPr>
            </w:pPr>
            <w:r>
              <w:rPr>
                <w:rFonts w:ascii="Century Gothic" w:hAnsi="Century Gothic"/>
                <w:bCs/>
                <w:sz w:val="18"/>
                <w:szCs w:val="18"/>
                <w:lang w:val="es-ES"/>
              </w:rPr>
              <w:t>Número de normas afectadas por el principio One in -  one out. Número de organismos que lo han aplicado. Fuente. Vocales del Consejo Estatal.</w:t>
            </w:r>
          </w:p>
          <w:p w14:paraId="3469F609" w14:textId="77777777" w:rsidR="002262A9" w:rsidRPr="00D05802" w:rsidRDefault="002262A9" w:rsidP="003E4EC5">
            <w:pPr>
              <w:spacing w:beforeLines="40" w:before="96" w:afterLines="40" w:after="96"/>
              <w:rPr>
                <w:rFonts w:ascii="Century Gothic" w:hAnsi="Century Gothic"/>
                <w:sz w:val="18"/>
                <w:szCs w:val="18"/>
                <w:lang w:val="es-ES"/>
              </w:rPr>
            </w:pPr>
            <w:r>
              <w:rPr>
                <w:rFonts w:ascii="Century Gothic" w:hAnsi="Century Gothic"/>
                <w:bCs/>
                <w:sz w:val="18"/>
                <w:szCs w:val="18"/>
                <w:lang w:val="es-ES"/>
              </w:rPr>
              <w:t>Fuente. Oficina Coordinación y calidad normativa</w:t>
            </w:r>
          </w:p>
        </w:tc>
      </w:tr>
      <w:tr w:rsidR="002262A9" w:rsidRPr="00DB7B96" w14:paraId="1500B6BA" w14:textId="77777777" w:rsidTr="003E4EC5">
        <w:trPr>
          <w:trHeight w:val="1715"/>
        </w:trPr>
        <w:tc>
          <w:tcPr>
            <w:tcW w:w="3227" w:type="dxa"/>
            <w:hideMark/>
          </w:tcPr>
          <w:p w14:paraId="773CA999" w14:textId="77777777" w:rsidR="002262A9" w:rsidRPr="009A48C1" w:rsidRDefault="002262A9" w:rsidP="003E4EC5">
            <w:pPr>
              <w:spacing w:beforeLines="40" w:before="96" w:afterLines="40" w:after="96"/>
              <w:rPr>
                <w:rFonts w:ascii="Century Gothic" w:hAnsi="Century Gothic"/>
                <w:bCs/>
                <w:sz w:val="18"/>
                <w:szCs w:val="18"/>
                <w:lang w:val="es-ES"/>
              </w:rPr>
            </w:pPr>
            <w:r w:rsidRPr="009A48C1">
              <w:rPr>
                <w:rFonts w:ascii="Century Gothic" w:hAnsi="Century Gothic"/>
                <w:bCs/>
                <w:sz w:val="18"/>
                <w:szCs w:val="18"/>
                <w:lang w:val="es-ES"/>
              </w:rPr>
              <w:t>MEJORAR ACCESO DE LA PYME A LA CONTRATACIÓN PÚBLICA</w:t>
            </w:r>
          </w:p>
        </w:tc>
        <w:tc>
          <w:tcPr>
            <w:tcW w:w="6520" w:type="dxa"/>
            <w:hideMark/>
          </w:tcPr>
          <w:p w14:paraId="6D4351BC" w14:textId="77777777" w:rsidR="002262A9" w:rsidRDefault="002262A9" w:rsidP="002262A9">
            <w:pPr>
              <w:pStyle w:val="Prrafodelista"/>
              <w:numPr>
                <w:ilvl w:val="0"/>
                <w:numId w:val="50"/>
              </w:numPr>
              <w:spacing w:beforeLines="40" w:before="96" w:afterLines="40" w:after="96"/>
              <w:rPr>
                <w:rFonts w:ascii="Century Gothic" w:hAnsi="Century Gothic"/>
                <w:bCs/>
                <w:sz w:val="18"/>
                <w:szCs w:val="18"/>
                <w:lang w:val="es-ES"/>
              </w:rPr>
            </w:pPr>
            <w:r>
              <w:rPr>
                <w:rFonts w:ascii="Century Gothic" w:hAnsi="Century Gothic"/>
                <w:bCs/>
                <w:sz w:val="18"/>
                <w:szCs w:val="18"/>
                <w:lang w:val="es-ES"/>
              </w:rPr>
              <w:t>Desarrollo de la contratación pública:</w:t>
            </w:r>
          </w:p>
          <w:p w14:paraId="4AA37C94" w14:textId="77777777" w:rsidR="002262A9" w:rsidRDefault="002262A9" w:rsidP="002262A9">
            <w:pPr>
              <w:pStyle w:val="Prrafodelista"/>
              <w:numPr>
                <w:ilvl w:val="1"/>
                <w:numId w:val="50"/>
              </w:numPr>
              <w:spacing w:beforeLines="40" w:before="96" w:afterLines="40" w:after="96"/>
              <w:rPr>
                <w:rFonts w:ascii="Century Gothic" w:hAnsi="Century Gothic"/>
                <w:bCs/>
                <w:sz w:val="18"/>
                <w:szCs w:val="18"/>
                <w:lang w:val="es-ES"/>
              </w:rPr>
            </w:pPr>
            <w:r w:rsidRPr="004C6843">
              <w:rPr>
                <w:rFonts w:ascii="Century Gothic" w:hAnsi="Century Gothic"/>
                <w:bCs/>
                <w:sz w:val="18"/>
                <w:szCs w:val="18"/>
                <w:lang w:val="es-ES"/>
              </w:rPr>
              <w:t>% volumen de contratación adjudicado a PYME</w:t>
            </w:r>
          </w:p>
          <w:p w14:paraId="7CEF072A" w14:textId="77777777" w:rsidR="002262A9" w:rsidRPr="00D05802" w:rsidRDefault="002262A9" w:rsidP="002262A9">
            <w:pPr>
              <w:pStyle w:val="Prrafodelista"/>
              <w:numPr>
                <w:ilvl w:val="1"/>
                <w:numId w:val="50"/>
              </w:numPr>
              <w:spacing w:beforeLines="40" w:before="96" w:afterLines="40" w:after="96"/>
              <w:rPr>
                <w:rFonts w:ascii="Century Gothic" w:hAnsi="Century Gothic"/>
                <w:bCs/>
                <w:sz w:val="18"/>
                <w:szCs w:val="18"/>
                <w:lang w:val="es-ES"/>
              </w:rPr>
            </w:pPr>
            <w:r>
              <w:rPr>
                <w:rFonts w:ascii="Century Gothic" w:hAnsi="Century Gothic"/>
                <w:bCs/>
                <w:sz w:val="18"/>
                <w:szCs w:val="18"/>
                <w:lang w:val="es-ES"/>
              </w:rPr>
              <w:t>% PYME que se presentan a procesos de licitación.</w:t>
            </w:r>
          </w:p>
          <w:p w14:paraId="78F2C872" w14:textId="77777777" w:rsidR="002262A9" w:rsidRPr="00DB7B96" w:rsidRDefault="002262A9" w:rsidP="003E4EC5">
            <w:pPr>
              <w:spacing w:beforeLines="40" w:before="96" w:afterLines="40" w:after="96"/>
              <w:ind w:left="360"/>
              <w:rPr>
                <w:rFonts w:ascii="Century Gothic" w:hAnsi="Century Gothic"/>
                <w:bCs/>
                <w:sz w:val="18"/>
                <w:szCs w:val="18"/>
                <w:lang w:val="es-ES"/>
              </w:rPr>
            </w:pPr>
            <w:r>
              <w:rPr>
                <w:rFonts w:ascii="Century Gothic" w:hAnsi="Century Gothic"/>
                <w:bCs/>
                <w:sz w:val="18"/>
                <w:szCs w:val="18"/>
                <w:lang w:val="es-ES"/>
              </w:rPr>
              <w:t>Fuente: DG Patrimonio</w:t>
            </w:r>
          </w:p>
        </w:tc>
      </w:tr>
      <w:tr w:rsidR="002262A9" w:rsidRPr="002C092B" w14:paraId="4CFDE5DC" w14:textId="77777777" w:rsidTr="003E4EC5">
        <w:trPr>
          <w:trHeight w:val="300"/>
        </w:trPr>
        <w:tc>
          <w:tcPr>
            <w:tcW w:w="9747" w:type="dxa"/>
            <w:gridSpan w:val="2"/>
            <w:hideMark/>
          </w:tcPr>
          <w:p w14:paraId="576EB40B" w14:textId="77777777" w:rsidR="002262A9" w:rsidRPr="002C092B" w:rsidRDefault="002262A9" w:rsidP="003E4EC5">
            <w:pPr>
              <w:spacing w:beforeLines="40" w:before="96" w:afterLines="40" w:after="96"/>
              <w:jc w:val="left"/>
              <w:rPr>
                <w:rFonts w:ascii="Century Gothic" w:hAnsi="Century Gothic"/>
                <w:b/>
                <w:sz w:val="18"/>
                <w:szCs w:val="18"/>
                <w:lang w:val="es-ES"/>
              </w:rPr>
            </w:pPr>
            <w:r w:rsidRPr="002C092B">
              <w:rPr>
                <w:rFonts w:ascii="Century Gothic" w:hAnsi="Century Gothic"/>
                <w:b/>
                <w:bCs/>
                <w:sz w:val="18"/>
                <w:szCs w:val="18"/>
                <w:lang w:val="es-ES"/>
              </w:rPr>
              <w:t>FINANCIACIÓN</w:t>
            </w:r>
          </w:p>
        </w:tc>
      </w:tr>
      <w:tr w:rsidR="002262A9" w:rsidRPr="009A48C1" w14:paraId="1E3E3502" w14:textId="77777777" w:rsidTr="003E4EC5">
        <w:trPr>
          <w:trHeight w:val="600"/>
        </w:trPr>
        <w:tc>
          <w:tcPr>
            <w:tcW w:w="3227" w:type="dxa"/>
            <w:hideMark/>
          </w:tcPr>
          <w:p w14:paraId="4367F6EC" w14:textId="77777777" w:rsidR="002262A9" w:rsidRPr="009A48C1" w:rsidRDefault="002262A9" w:rsidP="003E4EC5">
            <w:pPr>
              <w:spacing w:beforeLines="40" w:before="96" w:afterLines="40" w:after="96"/>
              <w:rPr>
                <w:rFonts w:ascii="Century Gothic" w:hAnsi="Century Gothic"/>
                <w:bCs/>
                <w:sz w:val="18"/>
                <w:szCs w:val="18"/>
                <w:lang w:val="es-ES"/>
              </w:rPr>
            </w:pPr>
            <w:r>
              <w:rPr>
                <w:rFonts w:ascii="Century Gothic" w:hAnsi="Century Gothic"/>
                <w:bCs/>
                <w:sz w:val="18"/>
                <w:szCs w:val="18"/>
                <w:lang w:val="es-ES"/>
              </w:rPr>
              <w:t>FINANCIACIÓN</w:t>
            </w:r>
          </w:p>
        </w:tc>
        <w:tc>
          <w:tcPr>
            <w:tcW w:w="6520" w:type="dxa"/>
            <w:hideMark/>
          </w:tcPr>
          <w:p w14:paraId="067898F3" w14:textId="1C79C4CF" w:rsidR="002262A9" w:rsidRDefault="002262A9" w:rsidP="002262A9">
            <w:pPr>
              <w:pStyle w:val="Prrafodelista"/>
              <w:numPr>
                <w:ilvl w:val="0"/>
                <w:numId w:val="51"/>
              </w:numPr>
              <w:spacing w:beforeLines="40" w:before="96" w:afterLines="40" w:after="96"/>
              <w:rPr>
                <w:rFonts w:ascii="Century Gothic" w:hAnsi="Century Gothic"/>
                <w:sz w:val="18"/>
                <w:szCs w:val="18"/>
                <w:lang w:val="es-ES"/>
              </w:rPr>
            </w:pPr>
            <w:r w:rsidRPr="008629A0">
              <w:rPr>
                <w:rFonts w:ascii="Century Gothic" w:hAnsi="Century Gothic"/>
                <w:sz w:val="18"/>
                <w:szCs w:val="18"/>
                <w:lang w:val="es-ES"/>
              </w:rPr>
              <w:t xml:space="preserve">Volumen </w:t>
            </w:r>
            <w:r>
              <w:rPr>
                <w:rFonts w:ascii="Century Gothic" w:hAnsi="Century Gothic"/>
                <w:sz w:val="18"/>
                <w:szCs w:val="18"/>
                <w:lang w:val="es-ES"/>
              </w:rPr>
              <w:t xml:space="preserve">de </w:t>
            </w:r>
            <w:r w:rsidR="008A73B1">
              <w:rPr>
                <w:rFonts w:ascii="Century Gothic" w:hAnsi="Century Gothic"/>
                <w:sz w:val="18"/>
                <w:szCs w:val="18"/>
                <w:lang w:val="es-ES"/>
              </w:rPr>
              <w:t>ayudas e</w:t>
            </w:r>
            <w:r>
              <w:rPr>
                <w:rFonts w:ascii="Century Gothic" w:hAnsi="Century Gothic"/>
                <w:sz w:val="18"/>
                <w:szCs w:val="18"/>
                <w:lang w:val="es-ES"/>
              </w:rPr>
              <w:t xml:space="preserve"> instrumentos financieros. Presupuesto.</w:t>
            </w:r>
          </w:p>
          <w:p w14:paraId="5B905441" w14:textId="77777777" w:rsidR="002262A9" w:rsidRPr="00DB7B96" w:rsidRDefault="002262A9" w:rsidP="002262A9">
            <w:pPr>
              <w:pStyle w:val="Prrafodelista"/>
              <w:numPr>
                <w:ilvl w:val="0"/>
                <w:numId w:val="51"/>
              </w:numPr>
              <w:spacing w:beforeLines="40" w:before="96" w:afterLines="40" w:after="96"/>
              <w:rPr>
                <w:rFonts w:ascii="Century Gothic" w:hAnsi="Century Gothic"/>
                <w:sz w:val="18"/>
                <w:szCs w:val="18"/>
                <w:lang w:val="es-ES"/>
              </w:rPr>
            </w:pPr>
            <w:r>
              <w:rPr>
                <w:rFonts w:ascii="Century Gothic" w:hAnsi="Century Gothic"/>
                <w:sz w:val="18"/>
                <w:szCs w:val="18"/>
                <w:lang w:val="es-ES"/>
              </w:rPr>
              <w:t>Número de consultas realizadas BD financiación.</w:t>
            </w:r>
          </w:p>
          <w:p w14:paraId="4AFD215F" w14:textId="77777777" w:rsidR="002262A9" w:rsidRDefault="002262A9" w:rsidP="003E4EC5">
            <w:pPr>
              <w:spacing w:beforeLines="40" w:before="96" w:afterLines="40" w:after="96"/>
              <w:rPr>
                <w:rFonts w:ascii="Century Gothic" w:hAnsi="Century Gothic"/>
                <w:sz w:val="18"/>
                <w:szCs w:val="18"/>
                <w:lang w:val="es-ES"/>
              </w:rPr>
            </w:pPr>
            <w:r>
              <w:rPr>
                <w:rFonts w:ascii="Century Gothic" w:hAnsi="Century Gothic"/>
                <w:sz w:val="18"/>
                <w:szCs w:val="18"/>
                <w:lang w:val="es-ES"/>
              </w:rPr>
              <w:t>Fuente. BD financiación DGIPYME.</w:t>
            </w:r>
          </w:p>
          <w:p w14:paraId="6BF61898" w14:textId="77777777" w:rsidR="002262A9" w:rsidRDefault="002262A9" w:rsidP="002262A9">
            <w:pPr>
              <w:pStyle w:val="Prrafodelista"/>
              <w:numPr>
                <w:ilvl w:val="0"/>
                <w:numId w:val="52"/>
              </w:numPr>
              <w:spacing w:beforeLines="40" w:before="96" w:afterLines="40" w:after="96"/>
              <w:rPr>
                <w:rFonts w:ascii="Century Gothic" w:hAnsi="Century Gothic"/>
                <w:sz w:val="18"/>
                <w:szCs w:val="18"/>
                <w:lang w:val="es-ES"/>
              </w:rPr>
            </w:pPr>
            <w:r>
              <w:rPr>
                <w:rFonts w:ascii="Century Gothic" w:hAnsi="Century Gothic"/>
                <w:sz w:val="18"/>
                <w:szCs w:val="18"/>
                <w:lang w:val="es-ES"/>
              </w:rPr>
              <w:t>Presupuesto CERSA.</w:t>
            </w:r>
          </w:p>
          <w:p w14:paraId="5B1A6C50" w14:textId="77777777" w:rsidR="002262A9" w:rsidRDefault="002262A9" w:rsidP="002262A9">
            <w:pPr>
              <w:pStyle w:val="Prrafodelista"/>
              <w:numPr>
                <w:ilvl w:val="0"/>
                <w:numId w:val="52"/>
              </w:numPr>
              <w:spacing w:beforeLines="40" w:before="96" w:afterLines="40" w:after="96"/>
              <w:rPr>
                <w:rFonts w:ascii="Century Gothic" w:hAnsi="Century Gothic"/>
                <w:sz w:val="18"/>
                <w:szCs w:val="18"/>
                <w:lang w:val="es-ES"/>
              </w:rPr>
            </w:pPr>
            <w:r>
              <w:rPr>
                <w:rFonts w:ascii="Century Gothic" w:hAnsi="Century Gothic"/>
                <w:sz w:val="18"/>
                <w:szCs w:val="18"/>
                <w:lang w:val="es-ES"/>
              </w:rPr>
              <w:t>Uso de la plataforma con Aval Sí.</w:t>
            </w:r>
          </w:p>
          <w:p w14:paraId="1FBA24E3" w14:textId="77777777" w:rsidR="002262A9" w:rsidRDefault="002262A9" w:rsidP="002262A9">
            <w:pPr>
              <w:pStyle w:val="Prrafodelista"/>
              <w:numPr>
                <w:ilvl w:val="0"/>
                <w:numId w:val="52"/>
              </w:numPr>
              <w:spacing w:beforeLines="40" w:before="96" w:afterLines="40" w:after="96"/>
              <w:rPr>
                <w:rFonts w:ascii="Century Gothic" w:hAnsi="Century Gothic"/>
                <w:sz w:val="18"/>
                <w:szCs w:val="18"/>
                <w:lang w:val="es-ES"/>
              </w:rPr>
            </w:pPr>
            <w:r>
              <w:rPr>
                <w:rFonts w:ascii="Century Gothic" w:hAnsi="Century Gothic"/>
                <w:sz w:val="18"/>
                <w:szCs w:val="18"/>
                <w:lang w:val="es-ES"/>
              </w:rPr>
              <w:t>Número de operaciones de las SGR/CERSA.</w:t>
            </w:r>
          </w:p>
          <w:p w14:paraId="4325DA8D" w14:textId="77777777" w:rsidR="002262A9" w:rsidRPr="009A48C1" w:rsidRDefault="002262A9" w:rsidP="003E4EC5">
            <w:pPr>
              <w:spacing w:beforeLines="40" w:before="96" w:afterLines="40" w:after="96"/>
              <w:rPr>
                <w:rFonts w:ascii="Century Gothic" w:hAnsi="Century Gothic"/>
                <w:sz w:val="18"/>
                <w:szCs w:val="18"/>
                <w:lang w:val="es-ES"/>
              </w:rPr>
            </w:pPr>
            <w:r>
              <w:rPr>
                <w:rFonts w:ascii="Century Gothic" w:hAnsi="Century Gothic"/>
                <w:sz w:val="18"/>
                <w:szCs w:val="18"/>
                <w:lang w:val="es-ES"/>
              </w:rPr>
              <w:t>Fuente: CERSA/CESGAR.</w:t>
            </w:r>
          </w:p>
        </w:tc>
      </w:tr>
      <w:tr w:rsidR="002262A9" w:rsidRPr="00A03B0F" w14:paraId="3DD1B5E0" w14:textId="77777777" w:rsidTr="003E4EC5">
        <w:trPr>
          <w:trHeight w:val="300"/>
        </w:trPr>
        <w:tc>
          <w:tcPr>
            <w:tcW w:w="3227" w:type="dxa"/>
            <w:hideMark/>
          </w:tcPr>
          <w:p w14:paraId="538442C6" w14:textId="77777777" w:rsidR="002262A9" w:rsidRPr="009A48C1" w:rsidRDefault="002262A9" w:rsidP="003E4EC5">
            <w:pPr>
              <w:spacing w:beforeLines="40" w:before="96" w:afterLines="40" w:after="96"/>
              <w:rPr>
                <w:rFonts w:ascii="Century Gothic" w:hAnsi="Century Gothic"/>
                <w:bCs/>
                <w:sz w:val="18"/>
                <w:szCs w:val="18"/>
                <w:lang w:val="es-ES"/>
              </w:rPr>
            </w:pPr>
            <w:r w:rsidRPr="009A48C1">
              <w:rPr>
                <w:rFonts w:ascii="Century Gothic" w:hAnsi="Century Gothic"/>
                <w:bCs/>
                <w:sz w:val="18"/>
                <w:szCs w:val="18"/>
                <w:lang w:val="es-ES"/>
              </w:rPr>
              <w:t>SEGUIMIENTO DE LA MOROSIDAD</w:t>
            </w:r>
          </w:p>
        </w:tc>
        <w:tc>
          <w:tcPr>
            <w:tcW w:w="6520" w:type="dxa"/>
            <w:hideMark/>
          </w:tcPr>
          <w:p w14:paraId="140296DA" w14:textId="77777777" w:rsidR="002262A9" w:rsidRPr="008629A0" w:rsidRDefault="002262A9" w:rsidP="002262A9">
            <w:pPr>
              <w:pStyle w:val="Prrafodelista"/>
              <w:numPr>
                <w:ilvl w:val="0"/>
                <w:numId w:val="52"/>
              </w:numPr>
              <w:spacing w:beforeLines="40" w:before="96" w:afterLines="40" w:after="96"/>
              <w:rPr>
                <w:rFonts w:ascii="Century Gothic" w:hAnsi="Century Gothic"/>
                <w:bCs/>
                <w:sz w:val="18"/>
                <w:szCs w:val="18"/>
                <w:lang w:val="es-ES"/>
              </w:rPr>
            </w:pPr>
            <w:r>
              <w:rPr>
                <w:rFonts w:ascii="Century Gothic" w:hAnsi="Century Gothic"/>
                <w:bCs/>
                <w:sz w:val="18"/>
                <w:szCs w:val="18"/>
                <w:lang w:val="es-ES"/>
              </w:rPr>
              <w:t>Evolución del PMP.</w:t>
            </w:r>
          </w:p>
          <w:p w14:paraId="4261D268" w14:textId="512B8819" w:rsidR="002262A9" w:rsidRPr="009A48C1" w:rsidRDefault="002262A9" w:rsidP="008A73B1">
            <w:pPr>
              <w:spacing w:beforeLines="40" w:before="96" w:afterLines="40" w:after="96"/>
              <w:rPr>
                <w:rFonts w:ascii="Century Gothic" w:hAnsi="Century Gothic"/>
                <w:sz w:val="18"/>
                <w:szCs w:val="18"/>
                <w:lang w:val="es-ES"/>
              </w:rPr>
            </w:pPr>
            <w:r w:rsidRPr="009A48C1">
              <w:rPr>
                <w:rFonts w:ascii="Century Gothic" w:hAnsi="Century Gothic"/>
                <w:sz w:val="18"/>
                <w:szCs w:val="18"/>
                <w:lang w:val="es-ES"/>
              </w:rPr>
              <w:t>Fuente: MINHAFP, CEPYME, Intrum</w:t>
            </w:r>
            <w:r>
              <w:rPr>
                <w:rFonts w:ascii="Century Gothic" w:hAnsi="Century Gothic"/>
                <w:sz w:val="18"/>
                <w:szCs w:val="18"/>
                <w:lang w:val="es-ES"/>
              </w:rPr>
              <w:t xml:space="preserve"> </w:t>
            </w:r>
            <w:r w:rsidR="008A73B1">
              <w:rPr>
                <w:rFonts w:ascii="Century Gothic" w:hAnsi="Century Gothic"/>
                <w:sz w:val="18"/>
                <w:szCs w:val="18"/>
                <w:lang w:val="es-ES"/>
              </w:rPr>
              <w:t>Justitia</w:t>
            </w:r>
          </w:p>
        </w:tc>
      </w:tr>
      <w:tr w:rsidR="002262A9" w:rsidRPr="005420C9" w14:paraId="7E55E7D6" w14:textId="77777777" w:rsidTr="003E4EC5">
        <w:trPr>
          <w:trHeight w:val="2503"/>
        </w:trPr>
        <w:tc>
          <w:tcPr>
            <w:tcW w:w="3227" w:type="dxa"/>
            <w:vAlign w:val="center"/>
          </w:tcPr>
          <w:p w14:paraId="313B20E7" w14:textId="77777777" w:rsidR="002262A9" w:rsidRPr="009A48C1" w:rsidRDefault="002262A9" w:rsidP="003E4EC5">
            <w:pPr>
              <w:spacing w:beforeLines="40" w:before="96" w:afterLines="40" w:after="96"/>
              <w:jc w:val="center"/>
              <w:rPr>
                <w:rFonts w:ascii="Century Gothic" w:hAnsi="Century Gothic"/>
                <w:bCs/>
                <w:sz w:val="18"/>
                <w:szCs w:val="18"/>
                <w:lang w:val="es-ES"/>
              </w:rPr>
            </w:pPr>
            <w:r w:rsidRPr="002C092B">
              <w:rPr>
                <w:rFonts w:ascii="Century Gothic" w:hAnsi="Century Gothic"/>
                <w:b/>
                <w:bCs/>
                <w:sz w:val="18"/>
                <w:szCs w:val="18"/>
                <w:lang w:val="es-ES"/>
              </w:rPr>
              <w:t>INNOVACIÓN Y DIGITALIZACIÓN</w:t>
            </w:r>
          </w:p>
        </w:tc>
        <w:tc>
          <w:tcPr>
            <w:tcW w:w="6520" w:type="dxa"/>
            <w:hideMark/>
          </w:tcPr>
          <w:p w14:paraId="4469FF2E" w14:textId="77777777" w:rsidR="002262A9" w:rsidRDefault="002262A9" w:rsidP="002262A9">
            <w:pPr>
              <w:pStyle w:val="Prrafodelista"/>
              <w:numPr>
                <w:ilvl w:val="0"/>
                <w:numId w:val="53"/>
              </w:numPr>
              <w:spacing w:beforeLines="40" w:before="96" w:afterLines="40" w:after="96"/>
              <w:rPr>
                <w:rFonts w:ascii="Century Gothic" w:hAnsi="Century Gothic"/>
                <w:sz w:val="18"/>
                <w:szCs w:val="18"/>
                <w:lang w:val="es-ES"/>
              </w:rPr>
            </w:pPr>
            <w:r>
              <w:rPr>
                <w:rFonts w:ascii="Century Gothic" w:hAnsi="Century Gothic"/>
                <w:sz w:val="18"/>
                <w:szCs w:val="18"/>
                <w:lang w:val="es-ES"/>
              </w:rPr>
              <w:t>Número de clusters empresariales (AEIs).</w:t>
            </w:r>
          </w:p>
          <w:p w14:paraId="316F6992" w14:textId="77777777" w:rsidR="002262A9" w:rsidRDefault="002262A9" w:rsidP="002262A9">
            <w:pPr>
              <w:pStyle w:val="Prrafodelista"/>
              <w:numPr>
                <w:ilvl w:val="0"/>
                <w:numId w:val="53"/>
              </w:numPr>
              <w:spacing w:beforeLines="40" w:before="96" w:afterLines="40" w:after="96"/>
              <w:rPr>
                <w:rFonts w:ascii="Century Gothic" w:hAnsi="Century Gothic"/>
                <w:sz w:val="18"/>
                <w:szCs w:val="18"/>
                <w:lang w:val="es-ES"/>
              </w:rPr>
            </w:pPr>
            <w:r>
              <w:rPr>
                <w:rFonts w:ascii="Century Gothic" w:hAnsi="Century Gothic"/>
                <w:sz w:val="18"/>
                <w:szCs w:val="18"/>
                <w:lang w:val="es-ES"/>
              </w:rPr>
              <w:t>Número de proyectos presentados a convocatorias de AEI.</w:t>
            </w:r>
          </w:p>
          <w:p w14:paraId="1A31C20F" w14:textId="77777777" w:rsidR="002262A9" w:rsidRDefault="002262A9" w:rsidP="002262A9">
            <w:pPr>
              <w:pStyle w:val="Prrafodelista"/>
              <w:numPr>
                <w:ilvl w:val="0"/>
                <w:numId w:val="53"/>
              </w:numPr>
              <w:spacing w:beforeLines="40" w:before="96" w:afterLines="40" w:after="96"/>
              <w:rPr>
                <w:rFonts w:ascii="Century Gothic" w:hAnsi="Century Gothic"/>
                <w:sz w:val="18"/>
                <w:szCs w:val="18"/>
                <w:lang w:val="es-ES"/>
              </w:rPr>
            </w:pPr>
            <w:r>
              <w:rPr>
                <w:rFonts w:ascii="Century Gothic" w:hAnsi="Century Gothic"/>
                <w:sz w:val="18"/>
                <w:szCs w:val="18"/>
                <w:lang w:val="es-ES"/>
              </w:rPr>
              <w:t>Presupuesto invertido (público y privado).</w:t>
            </w:r>
          </w:p>
          <w:p w14:paraId="01EE7FE3" w14:textId="77777777" w:rsidR="002262A9" w:rsidRDefault="002262A9" w:rsidP="002262A9">
            <w:pPr>
              <w:pStyle w:val="Prrafodelista"/>
              <w:numPr>
                <w:ilvl w:val="0"/>
                <w:numId w:val="54"/>
              </w:numPr>
              <w:spacing w:beforeLines="40" w:before="96" w:afterLines="40" w:after="96"/>
              <w:rPr>
                <w:rFonts w:ascii="Century Gothic" w:hAnsi="Century Gothic"/>
                <w:bCs/>
                <w:sz w:val="18"/>
                <w:szCs w:val="18"/>
                <w:lang w:val="es-ES"/>
              </w:rPr>
            </w:pPr>
            <w:r w:rsidRPr="00CD5446">
              <w:rPr>
                <w:rFonts w:ascii="Century Gothic" w:hAnsi="Century Gothic"/>
                <w:bCs/>
                <w:sz w:val="18"/>
                <w:szCs w:val="18"/>
                <w:lang w:val="es-ES"/>
              </w:rPr>
              <w:t>PYMEs participantes en IC4</w:t>
            </w:r>
            <w:r>
              <w:rPr>
                <w:rFonts w:ascii="Century Gothic" w:hAnsi="Century Gothic"/>
                <w:bCs/>
                <w:sz w:val="18"/>
                <w:szCs w:val="18"/>
                <w:lang w:val="es-ES"/>
              </w:rPr>
              <w:t>0</w:t>
            </w:r>
          </w:p>
          <w:p w14:paraId="35ACD10D" w14:textId="77777777" w:rsidR="002262A9" w:rsidRPr="00D05802" w:rsidRDefault="002262A9" w:rsidP="003E4EC5">
            <w:pPr>
              <w:spacing w:beforeLines="40" w:before="96" w:afterLines="40" w:after="96"/>
              <w:rPr>
                <w:rFonts w:ascii="Century Gothic" w:hAnsi="Century Gothic"/>
                <w:bCs/>
                <w:sz w:val="18"/>
                <w:szCs w:val="18"/>
                <w:lang w:val="es-ES"/>
              </w:rPr>
            </w:pPr>
            <w:r>
              <w:rPr>
                <w:rFonts w:ascii="Century Gothic" w:hAnsi="Century Gothic"/>
                <w:sz w:val="18"/>
                <w:szCs w:val="18"/>
                <w:lang w:val="es-ES"/>
              </w:rPr>
              <w:t>Fuente. DGIPYME</w:t>
            </w:r>
          </w:p>
          <w:p w14:paraId="41DCB24C" w14:textId="77777777" w:rsidR="002262A9" w:rsidRPr="00CD5446" w:rsidRDefault="002262A9" w:rsidP="002262A9">
            <w:pPr>
              <w:pStyle w:val="Prrafodelista"/>
              <w:numPr>
                <w:ilvl w:val="0"/>
                <w:numId w:val="54"/>
              </w:numPr>
              <w:spacing w:beforeLines="40" w:before="96" w:afterLines="40" w:after="96"/>
              <w:rPr>
                <w:rFonts w:ascii="Century Gothic" w:hAnsi="Century Gothic"/>
                <w:bCs/>
                <w:sz w:val="18"/>
                <w:szCs w:val="18"/>
                <w:lang w:val="es-ES"/>
              </w:rPr>
            </w:pPr>
            <w:r w:rsidRPr="00CD5446">
              <w:rPr>
                <w:rFonts w:ascii="Century Gothic" w:hAnsi="Century Gothic"/>
                <w:bCs/>
                <w:sz w:val="18"/>
                <w:szCs w:val="18"/>
                <w:lang w:val="es-ES"/>
              </w:rPr>
              <w:t>Solicitudes de patente presentadas por PYME</w:t>
            </w:r>
          </w:p>
          <w:p w14:paraId="4AB0DE88" w14:textId="77777777" w:rsidR="002262A9" w:rsidRPr="005420C9" w:rsidRDefault="002262A9" w:rsidP="003E4EC5">
            <w:pPr>
              <w:spacing w:beforeLines="40" w:before="96" w:afterLines="40" w:after="96"/>
              <w:rPr>
                <w:rFonts w:ascii="Century Gothic" w:hAnsi="Century Gothic"/>
                <w:sz w:val="18"/>
                <w:szCs w:val="18"/>
                <w:lang w:val="es-ES"/>
              </w:rPr>
            </w:pPr>
            <w:r w:rsidRPr="009A48C1">
              <w:rPr>
                <w:rFonts w:ascii="Century Gothic" w:hAnsi="Century Gothic"/>
                <w:sz w:val="18"/>
                <w:szCs w:val="18"/>
                <w:lang w:val="es-ES"/>
              </w:rPr>
              <w:t>Fuente: OEPM</w:t>
            </w:r>
          </w:p>
        </w:tc>
      </w:tr>
      <w:tr w:rsidR="002262A9" w:rsidRPr="00D05802" w14:paraId="521644FD" w14:textId="77777777" w:rsidTr="003E4EC5">
        <w:trPr>
          <w:trHeight w:val="2046"/>
        </w:trPr>
        <w:tc>
          <w:tcPr>
            <w:tcW w:w="3227" w:type="dxa"/>
            <w:vAlign w:val="center"/>
          </w:tcPr>
          <w:p w14:paraId="40ABF42E" w14:textId="77777777" w:rsidR="002262A9" w:rsidRPr="009A48C1" w:rsidRDefault="002262A9" w:rsidP="003E4EC5">
            <w:pPr>
              <w:spacing w:beforeLines="40" w:before="96" w:afterLines="40" w:after="96"/>
              <w:jc w:val="center"/>
              <w:rPr>
                <w:rFonts w:ascii="Century Gothic" w:hAnsi="Century Gothic"/>
                <w:bCs/>
                <w:sz w:val="18"/>
                <w:szCs w:val="18"/>
                <w:lang w:val="es-ES"/>
              </w:rPr>
            </w:pPr>
            <w:r w:rsidRPr="002C092B">
              <w:rPr>
                <w:rFonts w:ascii="Century Gothic" w:hAnsi="Century Gothic"/>
                <w:b/>
                <w:bCs/>
                <w:sz w:val="18"/>
                <w:szCs w:val="18"/>
                <w:lang w:val="es-ES"/>
              </w:rPr>
              <w:t>SOSTENIBILIDAD</w:t>
            </w:r>
          </w:p>
        </w:tc>
        <w:tc>
          <w:tcPr>
            <w:tcW w:w="6520" w:type="dxa"/>
            <w:hideMark/>
          </w:tcPr>
          <w:p w14:paraId="1FC350B8" w14:textId="77777777" w:rsidR="002262A9" w:rsidRDefault="002262A9" w:rsidP="002262A9">
            <w:pPr>
              <w:pStyle w:val="Prrafodelista"/>
              <w:numPr>
                <w:ilvl w:val="0"/>
                <w:numId w:val="54"/>
              </w:numPr>
              <w:spacing w:beforeLines="40" w:before="96" w:afterLines="40" w:after="96"/>
              <w:rPr>
                <w:rFonts w:ascii="Century Gothic" w:hAnsi="Century Gothic"/>
                <w:sz w:val="18"/>
                <w:szCs w:val="18"/>
                <w:lang w:val="es-ES"/>
              </w:rPr>
            </w:pPr>
            <w:r>
              <w:rPr>
                <w:rFonts w:ascii="Century Gothic" w:hAnsi="Century Gothic"/>
                <w:sz w:val="18"/>
                <w:szCs w:val="18"/>
                <w:lang w:val="es-ES"/>
              </w:rPr>
              <w:t>Recopilación y publicidad de buenas prácticas. Datos de la EEN en este ámbito.</w:t>
            </w:r>
          </w:p>
          <w:p w14:paraId="22FC6BAD" w14:textId="77777777" w:rsidR="002262A9" w:rsidRDefault="002262A9" w:rsidP="002262A9">
            <w:pPr>
              <w:pStyle w:val="Prrafodelista"/>
              <w:numPr>
                <w:ilvl w:val="0"/>
                <w:numId w:val="54"/>
              </w:numPr>
              <w:spacing w:beforeLines="40" w:before="96" w:afterLines="40" w:after="96"/>
              <w:rPr>
                <w:rFonts w:ascii="Century Gothic" w:hAnsi="Century Gothic"/>
                <w:sz w:val="18"/>
                <w:szCs w:val="18"/>
                <w:lang w:val="es-ES"/>
              </w:rPr>
            </w:pPr>
            <w:r>
              <w:rPr>
                <w:rFonts w:ascii="Century Gothic" w:hAnsi="Century Gothic"/>
                <w:sz w:val="18"/>
                <w:szCs w:val="18"/>
                <w:lang w:val="es-ES"/>
              </w:rPr>
              <w:t xml:space="preserve">Seguimiento del </w:t>
            </w:r>
            <w:r w:rsidRPr="009A48C1">
              <w:rPr>
                <w:rFonts w:ascii="Century Gothic" w:hAnsi="Century Gothic"/>
                <w:sz w:val="18"/>
                <w:szCs w:val="18"/>
                <w:lang w:val="es-ES"/>
              </w:rPr>
              <w:t>Plan de Acción de la UE para la Economía Circular</w:t>
            </w:r>
            <w:r>
              <w:rPr>
                <w:rFonts w:ascii="Century Gothic" w:hAnsi="Century Gothic"/>
                <w:sz w:val="18"/>
                <w:szCs w:val="18"/>
                <w:lang w:val="es-ES"/>
              </w:rPr>
              <w:t>.</w:t>
            </w:r>
          </w:p>
          <w:p w14:paraId="48BB949A" w14:textId="77777777" w:rsidR="002262A9" w:rsidRDefault="002262A9" w:rsidP="002262A9">
            <w:pPr>
              <w:pStyle w:val="Prrafodelista"/>
              <w:numPr>
                <w:ilvl w:val="0"/>
                <w:numId w:val="54"/>
              </w:numPr>
              <w:spacing w:beforeLines="40" w:before="96" w:afterLines="40" w:after="96"/>
              <w:rPr>
                <w:rFonts w:ascii="Century Gothic" w:hAnsi="Century Gothic"/>
                <w:sz w:val="18"/>
                <w:szCs w:val="18"/>
                <w:lang w:val="es-ES"/>
              </w:rPr>
            </w:pPr>
            <w:r>
              <w:rPr>
                <w:rFonts w:ascii="Century Gothic" w:hAnsi="Century Gothic"/>
                <w:sz w:val="18"/>
                <w:szCs w:val="18"/>
                <w:lang w:val="es-ES"/>
              </w:rPr>
              <w:t xml:space="preserve">Seguimiento de la </w:t>
            </w:r>
            <w:r w:rsidRPr="00351A87">
              <w:rPr>
                <w:rFonts w:ascii="Century Gothic" w:hAnsi="Century Gothic"/>
                <w:sz w:val="18"/>
                <w:szCs w:val="18"/>
                <w:lang w:val="es-ES"/>
              </w:rPr>
              <w:t xml:space="preserve">Estrategia </w:t>
            </w:r>
            <w:r>
              <w:rPr>
                <w:rFonts w:ascii="Century Gothic" w:hAnsi="Century Gothic"/>
                <w:sz w:val="18"/>
                <w:szCs w:val="18"/>
                <w:lang w:val="es-ES"/>
              </w:rPr>
              <w:t xml:space="preserve">Española </w:t>
            </w:r>
            <w:r w:rsidRPr="00351A87">
              <w:rPr>
                <w:rFonts w:ascii="Century Gothic" w:hAnsi="Century Gothic"/>
                <w:sz w:val="18"/>
                <w:szCs w:val="18"/>
                <w:lang w:val="es-ES"/>
              </w:rPr>
              <w:t>de Economía Circular</w:t>
            </w:r>
            <w:r>
              <w:rPr>
                <w:rFonts w:ascii="Century Gothic" w:hAnsi="Century Gothic"/>
                <w:sz w:val="18"/>
                <w:szCs w:val="18"/>
                <w:lang w:val="es-ES"/>
              </w:rPr>
              <w:t>.</w:t>
            </w:r>
          </w:p>
          <w:p w14:paraId="5F40C018" w14:textId="77777777" w:rsidR="002262A9" w:rsidRPr="00D05802" w:rsidRDefault="002262A9" w:rsidP="003E4EC5">
            <w:pPr>
              <w:spacing w:beforeLines="40" w:before="96" w:afterLines="40" w:after="96"/>
              <w:rPr>
                <w:rFonts w:ascii="Century Gothic" w:hAnsi="Century Gothic"/>
                <w:sz w:val="18"/>
                <w:szCs w:val="18"/>
                <w:lang w:val="es-ES"/>
              </w:rPr>
            </w:pPr>
            <w:r>
              <w:rPr>
                <w:rFonts w:ascii="Century Gothic" w:hAnsi="Century Gothic"/>
                <w:sz w:val="18"/>
                <w:szCs w:val="18"/>
                <w:lang w:val="es-ES"/>
              </w:rPr>
              <w:t>Fuente. Vocal del MAPAMA.</w:t>
            </w:r>
          </w:p>
        </w:tc>
      </w:tr>
      <w:tr w:rsidR="002262A9" w:rsidRPr="00BB5008" w14:paraId="690E2F90" w14:textId="77777777" w:rsidTr="003E4EC5">
        <w:trPr>
          <w:trHeight w:val="3971"/>
        </w:trPr>
        <w:tc>
          <w:tcPr>
            <w:tcW w:w="3227" w:type="dxa"/>
            <w:vAlign w:val="center"/>
          </w:tcPr>
          <w:p w14:paraId="3B6189CF" w14:textId="77777777" w:rsidR="002262A9" w:rsidRPr="009A48C1" w:rsidRDefault="002262A9" w:rsidP="003E4EC5">
            <w:pPr>
              <w:spacing w:beforeLines="40" w:before="96" w:afterLines="40" w:after="96"/>
              <w:jc w:val="center"/>
              <w:rPr>
                <w:rFonts w:ascii="Century Gothic" w:hAnsi="Century Gothic"/>
                <w:bCs/>
                <w:sz w:val="18"/>
                <w:szCs w:val="18"/>
                <w:lang w:val="es-ES"/>
              </w:rPr>
            </w:pPr>
            <w:r w:rsidRPr="0030365B">
              <w:rPr>
                <w:rFonts w:ascii="Century Gothic" w:hAnsi="Century Gothic"/>
                <w:b/>
                <w:bCs/>
                <w:sz w:val="18"/>
                <w:szCs w:val="18"/>
                <w:lang w:val="es-ES"/>
              </w:rPr>
              <w:lastRenderedPageBreak/>
              <w:t>INTERNACIONALIZACION</w:t>
            </w:r>
          </w:p>
        </w:tc>
        <w:tc>
          <w:tcPr>
            <w:tcW w:w="6520" w:type="dxa"/>
            <w:noWrap/>
            <w:hideMark/>
          </w:tcPr>
          <w:p w14:paraId="27F09342" w14:textId="77777777" w:rsidR="002262A9" w:rsidRDefault="002262A9" w:rsidP="002262A9">
            <w:pPr>
              <w:pStyle w:val="Prrafodelista"/>
              <w:numPr>
                <w:ilvl w:val="0"/>
                <w:numId w:val="55"/>
              </w:numPr>
              <w:spacing w:beforeLines="40" w:before="96" w:afterLines="40" w:after="96"/>
              <w:rPr>
                <w:rFonts w:ascii="Century Gothic" w:hAnsi="Century Gothic"/>
                <w:sz w:val="18"/>
                <w:szCs w:val="18"/>
                <w:lang w:val="es-ES"/>
              </w:rPr>
            </w:pPr>
            <w:r>
              <w:rPr>
                <w:rFonts w:ascii="Century Gothic" w:hAnsi="Century Gothic"/>
                <w:sz w:val="18"/>
                <w:szCs w:val="18"/>
                <w:lang w:val="es-ES"/>
              </w:rPr>
              <w:t>Seguimiento del programa ICEX Dinamiza.</w:t>
            </w:r>
          </w:p>
          <w:p w14:paraId="534E0246" w14:textId="77777777" w:rsidR="002262A9" w:rsidRDefault="002262A9" w:rsidP="002262A9">
            <w:pPr>
              <w:pStyle w:val="Prrafodelista"/>
              <w:numPr>
                <w:ilvl w:val="0"/>
                <w:numId w:val="55"/>
              </w:numPr>
              <w:spacing w:beforeLines="40" w:before="96" w:afterLines="40" w:after="96"/>
              <w:rPr>
                <w:rFonts w:ascii="Century Gothic" w:hAnsi="Century Gothic"/>
                <w:sz w:val="18"/>
                <w:szCs w:val="18"/>
                <w:lang w:val="es-ES"/>
              </w:rPr>
            </w:pPr>
            <w:r w:rsidRPr="001251E8">
              <w:rPr>
                <w:rFonts w:ascii="Century Gothic" w:hAnsi="Century Gothic"/>
                <w:sz w:val="18"/>
                <w:szCs w:val="18"/>
                <w:lang w:val="es-ES"/>
              </w:rPr>
              <w:t>Nº de PYMEs que exportan</w:t>
            </w:r>
          </w:p>
          <w:p w14:paraId="72BA1337" w14:textId="77777777" w:rsidR="002262A9" w:rsidRPr="001251E8" w:rsidRDefault="002262A9" w:rsidP="002262A9">
            <w:pPr>
              <w:pStyle w:val="Prrafodelista"/>
              <w:numPr>
                <w:ilvl w:val="0"/>
                <w:numId w:val="55"/>
              </w:numPr>
              <w:spacing w:beforeLines="40" w:before="96" w:afterLines="40" w:after="96"/>
              <w:rPr>
                <w:rFonts w:ascii="Century Gothic" w:hAnsi="Century Gothic"/>
                <w:sz w:val="18"/>
                <w:szCs w:val="18"/>
                <w:lang w:val="es-ES"/>
              </w:rPr>
            </w:pPr>
            <w:r w:rsidRPr="009A48C1">
              <w:rPr>
                <w:rFonts w:ascii="Century Gothic" w:hAnsi="Century Gothic"/>
                <w:sz w:val="18"/>
                <w:szCs w:val="18"/>
                <w:lang w:val="es-ES"/>
              </w:rPr>
              <w:t>% volumen de exportaciones por PYME</w:t>
            </w:r>
          </w:p>
          <w:p w14:paraId="67801260" w14:textId="77777777" w:rsidR="002262A9" w:rsidRPr="001251E8" w:rsidRDefault="002262A9" w:rsidP="002262A9">
            <w:pPr>
              <w:numPr>
                <w:ilvl w:val="0"/>
                <w:numId w:val="55"/>
              </w:numPr>
              <w:spacing w:beforeLines="40" w:before="96" w:afterLines="40" w:after="96"/>
              <w:rPr>
                <w:rFonts w:ascii="Century Gothic" w:hAnsi="Century Gothic"/>
                <w:sz w:val="18"/>
                <w:szCs w:val="18"/>
                <w:lang w:val="es-ES"/>
              </w:rPr>
            </w:pPr>
            <w:r w:rsidRPr="001251E8">
              <w:rPr>
                <w:rFonts w:ascii="Century Gothic" w:hAnsi="Century Gothic"/>
                <w:sz w:val="18"/>
                <w:szCs w:val="18"/>
                <w:lang w:val="es-ES"/>
              </w:rPr>
              <w:t>Nº de PYMEs que exportan</w:t>
            </w:r>
            <w:r>
              <w:rPr>
                <w:rFonts w:ascii="Century Gothic" w:hAnsi="Century Gothic"/>
                <w:sz w:val="18"/>
                <w:szCs w:val="18"/>
                <w:lang w:val="es-ES"/>
              </w:rPr>
              <w:t xml:space="preserve"> por primera vez y si lo hacen en años sucesivos.</w:t>
            </w:r>
          </w:p>
          <w:p w14:paraId="374DCE35" w14:textId="77777777" w:rsidR="002262A9" w:rsidRDefault="002262A9" w:rsidP="002262A9">
            <w:pPr>
              <w:pStyle w:val="Prrafodelista"/>
              <w:numPr>
                <w:ilvl w:val="0"/>
                <w:numId w:val="55"/>
              </w:numPr>
              <w:spacing w:beforeLines="40" w:before="96" w:afterLines="40" w:after="96"/>
              <w:rPr>
                <w:rFonts w:ascii="Century Gothic" w:hAnsi="Century Gothic"/>
                <w:sz w:val="18"/>
                <w:szCs w:val="18"/>
                <w:lang w:val="es-ES"/>
              </w:rPr>
            </w:pPr>
            <w:r>
              <w:rPr>
                <w:rFonts w:ascii="Century Gothic" w:hAnsi="Century Gothic"/>
                <w:sz w:val="18"/>
                <w:szCs w:val="18"/>
                <w:lang w:val="es-ES"/>
              </w:rPr>
              <w:t>Número de préstamos y cuantías a PYME del FIEM.</w:t>
            </w:r>
          </w:p>
          <w:p w14:paraId="3EEC9F38" w14:textId="77777777" w:rsidR="002262A9" w:rsidRDefault="002262A9" w:rsidP="002262A9">
            <w:pPr>
              <w:pStyle w:val="Prrafodelista"/>
              <w:numPr>
                <w:ilvl w:val="0"/>
                <w:numId w:val="55"/>
              </w:numPr>
              <w:spacing w:beforeLines="40" w:before="96" w:afterLines="40" w:after="96"/>
              <w:rPr>
                <w:rFonts w:ascii="Century Gothic" w:hAnsi="Century Gothic"/>
                <w:sz w:val="18"/>
                <w:szCs w:val="18"/>
                <w:lang w:val="es-ES"/>
              </w:rPr>
            </w:pPr>
            <w:r>
              <w:rPr>
                <w:rFonts w:ascii="Century Gothic" w:hAnsi="Century Gothic"/>
                <w:sz w:val="18"/>
                <w:szCs w:val="18"/>
                <w:lang w:val="es-ES"/>
              </w:rPr>
              <w:t xml:space="preserve">Datos </w:t>
            </w:r>
            <w:r w:rsidRPr="008373E7">
              <w:rPr>
                <w:rFonts w:ascii="Century Gothic" w:hAnsi="Century Gothic"/>
                <w:sz w:val="18"/>
                <w:szCs w:val="18"/>
                <w:lang w:val="es-ES"/>
              </w:rPr>
              <w:t xml:space="preserve">COFIDES </w:t>
            </w:r>
            <w:r>
              <w:rPr>
                <w:rFonts w:ascii="Century Gothic" w:hAnsi="Century Gothic"/>
                <w:sz w:val="18"/>
                <w:szCs w:val="18"/>
                <w:lang w:val="es-ES"/>
              </w:rPr>
              <w:t>sobre su nuevo</w:t>
            </w:r>
            <w:r w:rsidRPr="008373E7">
              <w:rPr>
                <w:rFonts w:ascii="Century Gothic" w:hAnsi="Century Gothic"/>
                <w:sz w:val="18"/>
                <w:szCs w:val="18"/>
                <w:lang w:val="es-ES"/>
              </w:rPr>
              <w:t xml:space="preserve"> producto de capital y quasi capital orientado a PYME</w:t>
            </w:r>
            <w:r>
              <w:rPr>
                <w:rFonts w:ascii="Century Gothic" w:hAnsi="Century Gothic"/>
                <w:sz w:val="18"/>
                <w:szCs w:val="18"/>
                <w:lang w:val="es-ES"/>
              </w:rPr>
              <w:t>.</w:t>
            </w:r>
          </w:p>
          <w:p w14:paraId="16A50AA0" w14:textId="77777777" w:rsidR="002262A9" w:rsidRDefault="002262A9" w:rsidP="002262A9">
            <w:pPr>
              <w:pStyle w:val="Prrafodelista"/>
              <w:numPr>
                <w:ilvl w:val="0"/>
                <w:numId w:val="55"/>
              </w:numPr>
              <w:spacing w:beforeLines="40" w:before="96" w:afterLines="40" w:after="96"/>
              <w:rPr>
                <w:rFonts w:ascii="Century Gothic" w:hAnsi="Century Gothic"/>
                <w:sz w:val="18"/>
                <w:szCs w:val="18"/>
                <w:lang w:val="es-ES"/>
              </w:rPr>
            </w:pPr>
            <w:r>
              <w:rPr>
                <w:rFonts w:ascii="Century Gothic" w:hAnsi="Century Gothic"/>
                <w:sz w:val="18"/>
                <w:szCs w:val="18"/>
                <w:lang w:val="es-ES"/>
              </w:rPr>
              <w:t>Datos uso CARI.</w:t>
            </w:r>
          </w:p>
          <w:p w14:paraId="54956973" w14:textId="77777777" w:rsidR="002262A9" w:rsidRDefault="002262A9" w:rsidP="002262A9">
            <w:pPr>
              <w:pStyle w:val="Prrafodelista"/>
              <w:numPr>
                <w:ilvl w:val="0"/>
                <w:numId w:val="55"/>
              </w:numPr>
              <w:spacing w:beforeLines="40" w:before="96" w:afterLines="40" w:after="96"/>
              <w:rPr>
                <w:rFonts w:ascii="Century Gothic" w:hAnsi="Century Gothic"/>
                <w:sz w:val="18"/>
                <w:szCs w:val="18"/>
                <w:lang w:val="es-ES"/>
              </w:rPr>
            </w:pPr>
            <w:r>
              <w:rPr>
                <w:rFonts w:ascii="Century Gothic" w:hAnsi="Century Gothic"/>
                <w:sz w:val="18"/>
                <w:szCs w:val="18"/>
                <w:lang w:val="es-ES"/>
              </w:rPr>
              <w:t>Datos del programa AFIN de ICEX.</w:t>
            </w:r>
          </w:p>
          <w:p w14:paraId="02FB4C01" w14:textId="77777777" w:rsidR="002262A9" w:rsidRDefault="002262A9" w:rsidP="002262A9">
            <w:pPr>
              <w:pStyle w:val="Prrafodelista"/>
              <w:numPr>
                <w:ilvl w:val="0"/>
                <w:numId w:val="55"/>
              </w:numPr>
              <w:spacing w:beforeLines="40" w:before="96" w:afterLines="40" w:after="96"/>
              <w:rPr>
                <w:rFonts w:ascii="Century Gothic" w:hAnsi="Century Gothic"/>
                <w:sz w:val="18"/>
                <w:szCs w:val="18"/>
                <w:lang w:val="es-ES"/>
              </w:rPr>
            </w:pPr>
            <w:r>
              <w:rPr>
                <w:rFonts w:ascii="Century Gothic" w:hAnsi="Century Gothic"/>
                <w:sz w:val="18"/>
                <w:szCs w:val="18"/>
                <w:lang w:val="es-ES"/>
              </w:rPr>
              <w:t>Datos de CERSA y ENISA sobre internacionalización.</w:t>
            </w:r>
          </w:p>
          <w:p w14:paraId="7D9F7310" w14:textId="77777777" w:rsidR="002262A9" w:rsidRPr="00D05802" w:rsidRDefault="002262A9" w:rsidP="003E4EC5">
            <w:pPr>
              <w:spacing w:beforeLines="40" w:before="96" w:afterLines="40" w:after="96"/>
              <w:rPr>
                <w:rFonts w:ascii="Century Gothic" w:hAnsi="Century Gothic"/>
                <w:sz w:val="18"/>
                <w:szCs w:val="18"/>
                <w:lang w:val="es-ES"/>
              </w:rPr>
            </w:pPr>
            <w:r>
              <w:rPr>
                <w:rFonts w:ascii="Century Gothic" w:hAnsi="Century Gothic"/>
                <w:sz w:val="18"/>
                <w:szCs w:val="18"/>
                <w:lang w:val="es-ES"/>
              </w:rPr>
              <w:t>Fuente. Vocal ICEX/CERSA/ENISA/COFIDES</w:t>
            </w:r>
          </w:p>
        </w:tc>
      </w:tr>
    </w:tbl>
    <w:p w14:paraId="0FB46635" w14:textId="77777777" w:rsidR="002262A9" w:rsidRPr="002262A9" w:rsidRDefault="002262A9" w:rsidP="002262A9">
      <w:pPr>
        <w:pStyle w:val="Body"/>
      </w:pPr>
    </w:p>
    <w:p w14:paraId="29726553" w14:textId="22110891" w:rsidR="006C4B6B" w:rsidRPr="00DB0F5A" w:rsidRDefault="006C4B6B" w:rsidP="00DB0F5A">
      <w:pPr>
        <w:pStyle w:val="Ttulo1"/>
        <w:pageBreakBefore/>
        <w:numPr>
          <w:ilvl w:val="0"/>
          <w:numId w:val="28"/>
        </w:numPr>
        <w:tabs>
          <w:tab w:val="num" w:pos="432"/>
        </w:tabs>
        <w:spacing w:before="0" w:line="276" w:lineRule="auto"/>
        <w:ind w:left="431" w:hanging="431"/>
        <w:rPr>
          <w:rFonts w:cs="Arial"/>
          <w:color w:val="003399"/>
          <w:sz w:val="28"/>
          <w:szCs w:val="22"/>
          <w:lang w:val="es-ES"/>
        </w:rPr>
      </w:pPr>
      <w:bookmarkStart w:id="33" w:name="_Toc525300099"/>
      <w:bookmarkStart w:id="34" w:name="_Toc526423231"/>
      <w:r w:rsidRPr="00DB0F5A">
        <w:rPr>
          <w:rFonts w:cs="Arial"/>
          <w:color w:val="003399"/>
          <w:sz w:val="28"/>
          <w:szCs w:val="22"/>
          <w:lang w:val="es-ES"/>
        </w:rPr>
        <w:lastRenderedPageBreak/>
        <w:t>Referencias para la elaboración del marco estratégico</w:t>
      </w:r>
      <w:bookmarkEnd w:id="32"/>
      <w:bookmarkEnd w:id="33"/>
      <w:bookmarkEnd w:id="34"/>
    </w:p>
    <w:p w14:paraId="24A5DD8C" w14:textId="77777777" w:rsidR="006C4B6B" w:rsidRPr="006C4B6B" w:rsidRDefault="006C4B6B" w:rsidP="006C4B6B">
      <w:pPr>
        <w:pBdr>
          <w:bottom w:val="single" w:sz="4" w:space="1" w:color="auto"/>
        </w:pBdr>
        <w:rPr>
          <w:rFonts w:ascii="Century Gothic" w:hAnsi="Century Gothic"/>
        </w:rPr>
      </w:pPr>
      <w:r w:rsidRPr="006C4B6B">
        <w:rPr>
          <w:rFonts w:ascii="Century Gothic" w:hAnsi="Century Gothic"/>
        </w:rPr>
        <w:t>COMISIÓN EUROPEA</w:t>
      </w:r>
    </w:p>
    <w:p w14:paraId="0A3106C6"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967E4F">
        <w:rPr>
          <w:rFonts w:ascii="Century Gothic" w:hAnsi="Century Gothic"/>
          <w:sz w:val="18"/>
          <w:szCs w:val="20"/>
          <w:lang w:val="en-US"/>
        </w:rPr>
        <w:t>Comisión Europea (2016), SBA Fact Sheet for Spain</w:t>
      </w:r>
    </w:p>
    <w:p w14:paraId="15DD9547"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967E4F">
        <w:rPr>
          <w:rFonts w:ascii="Century Gothic" w:hAnsi="Century Gothic"/>
          <w:sz w:val="18"/>
          <w:szCs w:val="20"/>
          <w:lang w:val="en-US"/>
        </w:rPr>
        <w:t>Comisión Europea (2016), SBA Fact Sheet for Germany</w:t>
      </w:r>
    </w:p>
    <w:p w14:paraId="70B472DF"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967E4F">
        <w:rPr>
          <w:rFonts w:ascii="Century Gothic" w:hAnsi="Century Gothic"/>
          <w:sz w:val="18"/>
          <w:szCs w:val="20"/>
          <w:lang w:val="en-US"/>
        </w:rPr>
        <w:t>Comisión Europea (2016), SBA Fact Sheet for France</w:t>
      </w:r>
    </w:p>
    <w:p w14:paraId="55A7CA0C"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967E4F">
        <w:rPr>
          <w:rFonts w:ascii="Century Gothic" w:hAnsi="Century Gothic"/>
          <w:sz w:val="18"/>
          <w:szCs w:val="20"/>
          <w:lang w:val="en-US"/>
        </w:rPr>
        <w:t>Comisión Europea (2016), SBA Fact Sheet for Italy</w:t>
      </w:r>
    </w:p>
    <w:p w14:paraId="20FF2413"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967E4F">
        <w:rPr>
          <w:rFonts w:ascii="Century Gothic" w:hAnsi="Century Gothic"/>
          <w:sz w:val="18"/>
          <w:szCs w:val="20"/>
          <w:lang w:val="en-US"/>
        </w:rPr>
        <w:t>Comisión Europea (2016), SBA Fact Sheet for United Kingdom</w:t>
      </w:r>
    </w:p>
    <w:p w14:paraId="7717AE16"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s-ES"/>
        </w:rPr>
      </w:pPr>
      <w:r w:rsidRPr="00967E4F">
        <w:rPr>
          <w:rFonts w:ascii="Century Gothic" w:hAnsi="Century Gothic"/>
          <w:sz w:val="18"/>
          <w:szCs w:val="20"/>
          <w:lang w:val="es-ES"/>
        </w:rPr>
        <w:t>Comisión Europea (2016), Semestre Europeo - Informe sobre España 2016</w:t>
      </w:r>
    </w:p>
    <w:p w14:paraId="627E833E"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s-ES"/>
        </w:rPr>
      </w:pPr>
      <w:r w:rsidRPr="00967E4F">
        <w:rPr>
          <w:rFonts w:ascii="Century Gothic" w:hAnsi="Century Gothic"/>
          <w:sz w:val="18"/>
          <w:szCs w:val="20"/>
          <w:lang w:val="es-ES"/>
        </w:rPr>
        <w:t>Comisión Europea (2017), Semestre Europeo - Informe sobre España 2017</w:t>
      </w:r>
    </w:p>
    <w:p w14:paraId="2A7DC81A"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967E4F">
        <w:rPr>
          <w:rFonts w:ascii="Century Gothic" w:hAnsi="Century Gothic"/>
          <w:sz w:val="18"/>
          <w:szCs w:val="20"/>
        </w:rPr>
        <w:t>Comisión Europea (2017),</w:t>
      </w:r>
      <w:r w:rsidRPr="00967E4F">
        <w:rPr>
          <w:rFonts w:ascii="Century Gothic" w:hAnsi="Century Gothic"/>
          <w:sz w:val="18"/>
          <w:szCs w:val="20"/>
          <w:lang w:val="en-US"/>
        </w:rPr>
        <w:t xml:space="preserve"> European and Regional Innovation Scoreboard</w:t>
      </w:r>
    </w:p>
    <w:p w14:paraId="36725A79"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s-ES"/>
        </w:rPr>
      </w:pPr>
      <w:r w:rsidRPr="00967E4F">
        <w:rPr>
          <w:rFonts w:ascii="Century Gothic" w:hAnsi="Century Gothic"/>
          <w:sz w:val="18"/>
          <w:szCs w:val="20"/>
          <w:lang w:val="es-ES"/>
        </w:rPr>
        <w:t>Comisión Europea (2017), Informe sobre el progreso digital en Europa (EDPR): Perfil de España</w:t>
      </w:r>
    </w:p>
    <w:p w14:paraId="5C05A34E"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rPr>
      </w:pPr>
      <w:r w:rsidRPr="00967E4F">
        <w:rPr>
          <w:rFonts w:ascii="Century Gothic" w:hAnsi="Century Gothic"/>
          <w:sz w:val="18"/>
          <w:szCs w:val="20"/>
        </w:rPr>
        <w:t>Comisión Europea (2017), Annual report on European SMEs 2015/2016</w:t>
      </w:r>
    </w:p>
    <w:p w14:paraId="5F56CEE3"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967E4F">
        <w:rPr>
          <w:rFonts w:ascii="Century Gothic" w:hAnsi="Century Gothic"/>
          <w:sz w:val="18"/>
          <w:szCs w:val="20"/>
          <w:lang w:val="en-US"/>
        </w:rPr>
        <w:t>Comisión Europea, The Digital Economy and Society Index (DESI)</w:t>
      </w:r>
    </w:p>
    <w:p w14:paraId="204BB55B" w14:textId="77777777" w:rsidR="006C4B6B" w:rsidRPr="00967E4F" w:rsidRDefault="006C4B6B" w:rsidP="00DB0F5A">
      <w:pPr>
        <w:pStyle w:val="Prrafodelista"/>
        <w:numPr>
          <w:ilvl w:val="0"/>
          <w:numId w:val="40"/>
        </w:numPr>
        <w:spacing w:after="160" w:line="240" w:lineRule="auto"/>
        <w:ind w:left="714" w:hanging="357"/>
        <w:jc w:val="left"/>
        <w:rPr>
          <w:rFonts w:ascii="Century Gothic" w:hAnsi="Century Gothic"/>
          <w:sz w:val="18"/>
          <w:szCs w:val="20"/>
        </w:rPr>
      </w:pPr>
      <w:r w:rsidRPr="00967E4F">
        <w:rPr>
          <w:rFonts w:ascii="Century Gothic" w:hAnsi="Century Gothic"/>
          <w:sz w:val="18"/>
          <w:szCs w:val="20"/>
        </w:rPr>
        <w:t>EUROSTAT, Business demography statistics.</w:t>
      </w:r>
    </w:p>
    <w:p w14:paraId="13792433" w14:textId="6F321FA3" w:rsidR="006C4B6B" w:rsidRDefault="006C4B6B"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967E4F">
        <w:rPr>
          <w:rFonts w:ascii="Century Gothic" w:hAnsi="Century Gothic"/>
          <w:sz w:val="18"/>
          <w:szCs w:val="20"/>
          <w:lang w:val="en-US"/>
        </w:rPr>
        <w:t>EUROSTAT, Structural business statistics &amp; global business activities</w:t>
      </w:r>
    </w:p>
    <w:p w14:paraId="70F493CB" w14:textId="1F9E3B1C" w:rsidR="00666E58" w:rsidRPr="00967E4F" w:rsidRDefault="00666E58" w:rsidP="00DB0F5A">
      <w:pPr>
        <w:pStyle w:val="Prrafodelista"/>
        <w:numPr>
          <w:ilvl w:val="0"/>
          <w:numId w:val="40"/>
        </w:numPr>
        <w:spacing w:after="160" w:line="240" w:lineRule="auto"/>
        <w:ind w:left="714" w:hanging="357"/>
        <w:jc w:val="left"/>
        <w:rPr>
          <w:rFonts w:ascii="Century Gothic" w:hAnsi="Century Gothic"/>
          <w:sz w:val="18"/>
          <w:szCs w:val="20"/>
          <w:lang w:val="en-US"/>
        </w:rPr>
      </w:pPr>
      <w:r w:rsidRPr="00666E58">
        <w:rPr>
          <w:rFonts w:ascii="Century Gothic" w:hAnsi="Century Gothic"/>
          <w:sz w:val="18"/>
          <w:szCs w:val="20"/>
        </w:rPr>
        <w:t>Comunicación de la Comisión Europea sobre IA (COM(2018) 237 final</w:t>
      </w:r>
    </w:p>
    <w:p w14:paraId="0EFB13F7" w14:textId="77777777" w:rsidR="006C4B6B" w:rsidRPr="006C4B6B" w:rsidRDefault="006C4B6B" w:rsidP="006C4B6B">
      <w:pPr>
        <w:pBdr>
          <w:bottom w:val="single" w:sz="4" w:space="1" w:color="auto"/>
        </w:pBdr>
        <w:rPr>
          <w:rFonts w:ascii="Century Gothic" w:hAnsi="Century Gothic"/>
          <w:lang w:val="en-US"/>
        </w:rPr>
      </w:pPr>
      <w:r w:rsidRPr="006C4B6B">
        <w:rPr>
          <w:rFonts w:ascii="Century Gothic" w:hAnsi="Century Gothic"/>
          <w:lang w:val="en-US"/>
        </w:rPr>
        <w:t>OCDE</w:t>
      </w:r>
    </w:p>
    <w:p w14:paraId="5139AB8B" w14:textId="77777777" w:rsidR="0061375B" w:rsidRPr="00967E4F" w:rsidRDefault="0061375B" w:rsidP="00DB0F5A">
      <w:pPr>
        <w:pStyle w:val="Prrafodelista"/>
        <w:numPr>
          <w:ilvl w:val="0"/>
          <w:numId w:val="42"/>
        </w:numPr>
        <w:spacing w:after="160" w:line="240" w:lineRule="auto"/>
        <w:jc w:val="left"/>
        <w:rPr>
          <w:rFonts w:ascii="Century Gothic" w:hAnsi="Century Gothic"/>
          <w:sz w:val="18"/>
          <w:szCs w:val="18"/>
          <w:lang w:val="en-US"/>
        </w:rPr>
      </w:pPr>
      <w:r w:rsidRPr="00967E4F">
        <w:rPr>
          <w:rFonts w:ascii="Century Gothic" w:hAnsi="Century Gothic"/>
          <w:sz w:val="18"/>
          <w:szCs w:val="18"/>
          <w:lang w:val="en-US"/>
        </w:rPr>
        <w:t>OCDE (2014), Education Policy Outlook for Spain</w:t>
      </w:r>
    </w:p>
    <w:p w14:paraId="2C76D1E8" w14:textId="77777777" w:rsidR="006C4B6B" w:rsidRPr="00967E4F" w:rsidRDefault="006C4B6B" w:rsidP="00DB0F5A">
      <w:pPr>
        <w:pStyle w:val="Prrafodelista"/>
        <w:numPr>
          <w:ilvl w:val="0"/>
          <w:numId w:val="42"/>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lang w:val="en-US"/>
        </w:rPr>
        <w:t>OCDE (2015), Entrepreneurship at glance</w:t>
      </w:r>
    </w:p>
    <w:p w14:paraId="655F8606" w14:textId="77777777" w:rsidR="006C4B6B" w:rsidRPr="00967E4F" w:rsidRDefault="006C4B6B" w:rsidP="00DB0F5A">
      <w:pPr>
        <w:pStyle w:val="Prrafodelista"/>
        <w:numPr>
          <w:ilvl w:val="0"/>
          <w:numId w:val="42"/>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lang w:val="en-US"/>
        </w:rPr>
        <w:t>OCDE (2015), OECD Skills Strategy Diagnostic Report, Spain 2015.</w:t>
      </w:r>
    </w:p>
    <w:p w14:paraId="1CA57EBB" w14:textId="77777777" w:rsidR="006C4B6B" w:rsidRPr="00967E4F" w:rsidRDefault="006C4B6B" w:rsidP="00DB0F5A">
      <w:pPr>
        <w:pStyle w:val="Prrafodelista"/>
        <w:numPr>
          <w:ilvl w:val="0"/>
          <w:numId w:val="42"/>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lang w:val="en-US"/>
        </w:rPr>
        <w:t>OCDE (2016), Entrepreneurship at glance</w:t>
      </w:r>
    </w:p>
    <w:p w14:paraId="13FB8AA7" w14:textId="77777777" w:rsidR="006C4B6B" w:rsidRPr="00967E4F" w:rsidRDefault="006C4B6B" w:rsidP="00DB0F5A">
      <w:pPr>
        <w:pStyle w:val="Prrafodelista"/>
        <w:numPr>
          <w:ilvl w:val="0"/>
          <w:numId w:val="42"/>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lang w:val="en-US"/>
        </w:rPr>
        <w:t>OCDE (2017), Small, Medium, Strong. Trends in SME Performance and Business Conditions</w:t>
      </w:r>
    </w:p>
    <w:p w14:paraId="3402DD6B" w14:textId="01133A0A" w:rsidR="006C4B6B" w:rsidRDefault="006C4B6B" w:rsidP="00DB0F5A">
      <w:pPr>
        <w:pStyle w:val="Prrafodelista"/>
        <w:numPr>
          <w:ilvl w:val="0"/>
          <w:numId w:val="42"/>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lang w:val="en-US"/>
        </w:rPr>
        <w:t>OCDE, Structural and Demographic Business Statistics</w:t>
      </w:r>
    </w:p>
    <w:p w14:paraId="13E2BF12" w14:textId="77777777" w:rsidR="006C4B6B" w:rsidRPr="006C4B6B" w:rsidRDefault="006C4B6B" w:rsidP="006C4B6B">
      <w:pPr>
        <w:pBdr>
          <w:bottom w:val="single" w:sz="4" w:space="1" w:color="auto"/>
        </w:pBdr>
        <w:rPr>
          <w:rFonts w:ascii="Century Gothic" w:hAnsi="Century Gothic"/>
        </w:rPr>
      </w:pPr>
      <w:r w:rsidRPr="006C4B6B">
        <w:rPr>
          <w:rFonts w:ascii="Century Gothic" w:hAnsi="Century Gothic"/>
        </w:rPr>
        <w:t>OTROS INDICADORES INTERNACIONALES</w:t>
      </w:r>
    </w:p>
    <w:p w14:paraId="7CC8C3EB" w14:textId="77777777" w:rsidR="006C4B6B" w:rsidRPr="00967E4F" w:rsidRDefault="006C4B6B" w:rsidP="00DB0F5A">
      <w:pPr>
        <w:pStyle w:val="Prrafodelista"/>
        <w:numPr>
          <w:ilvl w:val="0"/>
          <w:numId w:val="43"/>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rPr>
        <w:t>Banco</w:t>
      </w:r>
      <w:r w:rsidRPr="00967E4F">
        <w:rPr>
          <w:rFonts w:ascii="Century Gothic" w:hAnsi="Century Gothic"/>
          <w:sz w:val="18"/>
          <w:szCs w:val="18"/>
          <w:lang w:val="en-US"/>
        </w:rPr>
        <w:t xml:space="preserve"> Mundial (2017), Doing Business 2017</w:t>
      </w:r>
    </w:p>
    <w:p w14:paraId="3D10F8EB" w14:textId="77777777" w:rsidR="006C4B6B" w:rsidRPr="00967E4F" w:rsidRDefault="006C4B6B" w:rsidP="00DB0F5A">
      <w:pPr>
        <w:pStyle w:val="Prrafodelista"/>
        <w:numPr>
          <w:ilvl w:val="0"/>
          <w:numId w:val="43"/>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lang w:val="en-US"/>
        </w:rPr>
        <w:t>GEM Consortium (2017), Global Entrepreneurship Monitor.</w:t>
      </w:r>
    </w:p>
    <w:p w14:paraId="6C9C8C90" w14:textId="77777777" w:rsidR="00FC1372" w:rsidRDefault="00FC1372">
      <w:pPr>
        <w:spacing w:after="0"/>
        <w:jc w:val="left"/>
        <w:rPr>
          <w:rFonts w:ascii="Century Gothic" w:hAnsi="Century Gothic"/>
        </w:rPr>
      </w:pPr>
      <w:r>
        <w:rPr>
          <w:rFonts w:ascii="Century Gothic" w:hAnsi="Century Gothic"/>
        </w:rPr>
        <w:br w:type="page"/>
      </w:r>
    </w:p>
    <w:p w14:paraId="2130BAA2" w14:textId="26E2F9F9" w:rsidR="006C4B6B" w:rsidRPr="006C4B6B" w:rsidRDefault="006C4B6B" w:rsidP="006C4B6B">
      <w:pPr>
        <w:pBdr>
          <w:bottom w:val="single" w:sz="4" w:space="1" w:color="auto"/>
        </w:pBdr>
        <w:rPr>
          <w:rFonts w:ascii="Century Gothic" w:hAnsi="Century Gothic"/>
        </w:rPr>
      </w:pPr>
      <w:r w:rsidRPr="006C4B6B">
        <w:rPr>
          <w:rFonts w:ascii="Century Gothic" w:hAnsi="Century Gothic"/>
        </w:rPr>
        <w:t>GOBIERNO DE ESPAÑA</w:t>
      </w:r>
    </w:p>
    <w:p w14:paraId="6574A5A7" w14:textId="77777777" w:rsidR="006C4B6B" w:rsidRPr="00967E4F" w:rsidRDefault="006C4B6B" w:rsidP="00DB0F5A">
      <w:pPr>
        <w:pStyle w:val="Prrafodelista"/>
        <w:numPr>
          <w:ilvl w:val="0"/>
          <w:numId w:val="41"/>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Consejo Económico y Social (2016), La creación de empresas en España y su impacto en el empleo</w:t>
      </w:r>
    </w:p>
    <w:p w14:paraId="4703D87A" w14:textId="77777777" w:rsidR="006C4B6B" w:rsidRPr="00967E4F" w:rsidRDefault="006C4B6B" w:rsidP="00DB0F5A">
      <w:pPr>
        <w:pStyle w:val="Prrafodelista"/>
        <w:numPr>
          <w:ilvl w:val="0"/>
          <w:numId w:val="41"/>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INE (2017), Sector Empresas. Resultados en I+D, principales indicadores y nº empleados</w:t>
      </w:r>
    </w:p>
    <w:p w14:paraId="79948DDE" w14:textId="77777777" w:rsidR="006C4B6B" w:rsidRPr="00967E4F" w:rsidRDefault="006C4B6B" w:rsidP="00DB0F5A">
      <w:pPr>
        <w:pStyle w:val="Prrafodelista"/>
        <w:numPr>
          <w:ilvl w:val="0"/>
          <w:numId w:val="41"/>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INE, Directorio Central de Empresas (DIRCE)</w:t>
      </w:r>
    </w:p>
    <w:p w14:paraId="53137DC6" w14:textId="493749B8" w:rsidR="006C4B6B" w:rsidRPr="00967E4F" w:rsidRDefault="006C4B6B" w:rsidP="00DB0F5A">
      <w:pPr>
        <w:pStyle w:val="Prrafodelista"/>
        <w:numPr>
          <w:ilvl w:val="0"/>
          <w:numId w:val="41"/>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 xml:space="preserve">Ministerio de Economía, Industria y Competitividad (2016), Informe Mensual de Comercio Exterior </w:t>
      </w:r>
      <w:r w:rsidR="0063574E" w:rsidRPr="00967E4F">
        <w:rPr>
          <w:rFonts w:ascii="Century Gothic" w:hAnsi="Century Gothic"/>
          <w:sz w:val="18"/>
          <w:szCs w:val="18"/>
          <w:lang w:val="es-ES"/>
        </w:rPr>
        <w:t>noviembre</w:t>
      </w:r>
      <w:r w:rsidRPr="00967E4F">
        <w:rPr>
          <w:rFonts w:ascii="Century Gothic" w:hAnsi="Century Gothic"/>
          <w:sz w:val="18"/>
          <w:szCs w:val="18"/>
          <w:lang w:val="es-ES"/>
        </w:rPr>
        <w:t xml:space="preserve"> 2016</w:t>
      </w:r>
    </w:p>
    <w:p w14:paraId="2DCD0626" w14:textId="77777777" w:rsidR="006C4B6B" w:rsidRPr="00967E4F" w:rsidRDefault="006C4B6B" w:rsidP="00DB0F5A">
      <w:pPr>
        <w:pStyle w:val="Prrafodelista"/>
        <w:numPr>
          <w:ilvl w:val="0"/>
          <w:numId w:val="41"/>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Ministerio de Economía, Industria y Competitividad (2017), Informe de la PYME 2016</w:t>
      </w:r>
    </w:p>
    <w:p w14:paraId="2D71A4E4" w14:textId="77777777" w:rsidR="006C4B6B" w:rsidRPr="00967E4F" w:rsidRDefault="006C4B6B" w:rsidP="00DB0F5A">
      <w:pPr>
        <w:pStyle w:val="Prrafodelista"/>
        <w:numPr>
          <w:ilvl w:val="0"/>
          <w:numId w:val="41"/>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 xml:space="preserve">Ministerio de Economía, Industria y Competitividad (2017), Cifras PYME </w:t>
      </w:r>
    </w:p>
    <w:p w14:paraId="7BCF846F" w14:textId="77777777" w:rsidR="006C4B6B" w:rsidRPr="00967E4F" w:rsidRDefault="006C4B6B" w:rsidP="00DB0F5A">
      <w:pPr>
        <w:pStyle w:val="Prrafodelista"/>
        <w:numPr>
          <w:ilvl w:val="0"/>
          <w:numId w:val="41"/>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Ministerio de Empleo y Seguridad Social, Empresas Inscritas en la Seguridad Social (EMP)</w:t>
      </w:r>
    </w:p>
    <w:p w14:paraId="63188CB6" w14:textId="77777777" w:rsidR="006C4B6B" w:rsidRPr="00967E4F" w:rsidRDefault="006C4B6B" w:rsidP="00DB0F5A">
      <w:pPr>
        <w:pStyle w:val="Prrafodelista"/>
        <w:numPr>
          <w:ilvl w:val="0"/>
          <w:numId w:val="41"/>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Ministerio de Empleo y Seguridad Social, Encuesta Anual Laboral</w:t>
      </w:r>
    </w:p>
    <w:p w14:paraId="3FDAFBA8" w14:textId="77777777" w:rsidR="00967E4F" w:rsidRDefault="00967E4F" w:rsidP="00DB0F5A">
      <w:pPr>
        <w:pStyle w:val="Prrafodelista"/>
        <w:numPr>
          <w:ilvl w:val="0"/>
          <w:numId w:val="41"/>
        </w:numPr>
        <w:spacing w:after="160" w:line="240" w:lineRule="auto"/>
        <w:jc w:val="left"/>
        <w:rPr>
          <w:rFonts w:ascii="Century Gothic" w:hAnsi="Century Gothic"/>
          <w:sz w:val="18"/>
          <w:szCs w:val="18"/>
          <w:lang w:val="es-ES"/>
        </w:rPr>
      </w:pPr>
      <w:r w:rsidRPr="00967E4F">
        <w:rPr>
          <w:rFonts w:ascii="Century Gothic" w:hAnsi="Century Gothic"/>
          <w:sz w:val="18"/>
          <w:szCs w:val="18"/>
          <w:lang w:val="es-ES"/>
        </w:rPr>
        <w:t>Servicio Público de Empleo Estatal (2014), Estrategia Española de Activación para el Empleo</w:t>
      </w:r>
      <w:r w:rsidR="0015019E">
        <w:rPr>
          <w:rFonts w:ascii="Century Gothic" w:hAnsi="Century Gothic"/>
          <w:sz w:val="18"/>
          <w:szCs w:val="18"/>
          <w:lang w:val="es-ES"/>
        </w:rPr>
        <w:t xml:space="preserve"> </w:t>
      </w:r>
      <w:r w:rsidRPr="00967E4F">
        <w:rPr>
          <w:rFonts w:ascii="Century Gothic" w:hAnsi="Century Gothic"/>
          <w:sz w:val="18"/>
          <w:szCs w:val="18"/>
          <w:lang w:val="es-ES"/>
        </w:rPr>
        <w:t>2014-2016</w:t>
      </w:r>
    </w:p>
    <w:p w14:paraId="67E9E3CF" w14:textId="02A23F58" w:rsidR="00EF1D70" w:rsidRPr="00967E4F" w:rsidRDefault="00EF1D70" w:rsidP="00DB0F5A">
      <w:pPr>
        <w:pStyle w:val="Prrafodelista"/>
        <w:numPr>
          <w:ilvl w:val="0"/>
          <w:numId w:val="41"/>
        </w:numPr>
        <w:spacing w:after="160" w:line="240" w:lineRule="auto"/>
        <w:jc w:val="left"/>
        <w:rPr>
          <w:rFonts w:ascii="Century Gothic" w:hAnsi="Century Gothic"/>
          <w:sz w:val="18"/>
          <w:szCs w:val="18"/>
          <w:lang w:val="es-ES"/>
        </w:rPr>
      </w:pPr>
      <w:r>
        <w:rPr>
          <w:rFonts w:ascii="Century Gothic" w:hAnsi="Century Gothic"/>
          <w:sz w:val="18"/>
          <w:szCs w:val="18"/>
          <w:lang w:val="es-ES"/>
        </w:rPr>
        <w:t>Ministerio de Energía, Turismo y Agenda Digital. Agenda Digital para España (2018).</w:t>
      </w:r>
    </w:p>
    <w:p w14:paraId="307999AD" w14:textId="77777777" w:rsidR="006C4B6B" w:rsidRPr="006C4B6B" w:rsidRDefault="006C4B6B" w:rsidP="006C4B6B">
      <w:pPr>
        <w:pBdr>
          <w:bottom w:val="single" w:sz="4" w:space="1" w:color="auto"/>
        </w:pBdr>
        <w:rPr>
          <w:rFonts w:ascii="Century Gothic" w:hAnsi="Century Gothic"/>
          <w:lang w:val="en-US"/>
        </w:rPr>
      </w:pPr>
      <w:r w:rsidRPr="006C4B6B">
        <w:rPr>
          <w:rFonts w:ascii="Century Gothic" w:hAnsi="Century Gothic"/>
          <w:lang w:val="en-US"/>
        </w:rPr>
        <w:t>GOBIERNOS EUROPEOS</w:t>
      </w:r>
    </w:p>
    <w:p w14:paraId="44094E93"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Departamento de Empresas e Innovación del Reino Unido (2013), Small Business, Great Ambition</w:t>
      </w:r>
    </w:p>
    <w:p w14:paraId="3418373E"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 xml:space="preserve">Dirección General de Política Industrial, Competitividad y la PYME de Italia (2016), Small Business Act - Rapporto 2016 </w:t>
      </w:r>
    </w:p>
    <w:p w14:paraId="200C1733"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Ministerio Federal para Asuntos Económicos y Energía de Alemania (2016), “Future of the German Mittelstand” Action Programme</w:t>
      </w:r>
    </w:p>
    <w:p w14:paraId="0AE2B28F"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fr-FR"/>
        </w:rPr>
      </w:pPr>
      <w:r w:rsidRPr="00967E4F">
        <w:rPr>
          <w:rFonts w:ascii="Century Gothic" w:hAnsi="Century Gothic"/>
          <w:sz w:val="18"/>
          <w:szCs w:val="18"/>
          <w:lang w:val="fr-FR"/>
        </w:rPr>
        <w:t>Oficina del Primer Ministro de Francia (2015), Tout pour l’Emploi dans les TPE et PME</w:t>
      </w:r>
    </w:p>
    <w:p w14:paraId="3D135A51" w14:textId="77777777" w:rsidR="006C4B6B" w:rsidRPr="006C4B6B" w:rsidRDefault="006C4B6B" w:rsidP="006C4B6B">
      <w:pPr>
        <w:pBdr>
          <w:bottom w:val="single" w:sz="4" w:space="1" w:color="auto"/>
        </w:pBdr>
        <w:rPr>
          <w:rFonts w:ascii="Century Gothic" w:hAnsi="Century Gothic"/>
          <w:lang w:val="en-US"/>
        </w:rPr>
      </w:pPr>
      <w:r w:rsidRPr="006C4B6B">
        <w:rPr>
          <w:rFonts w:ascii="Century Gothic" w:hAnsi="Century Gothic"/>
          <w:lang w:val="en-US"/>
        </w:rPr>
        <w:t>OTROS INFORMES Y FUENTES</w:t>
      </w:r>
    </w:p>
    <w:p w14:paraId="2A7CA168"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lang w:val="es-ES"/>
        </w:rPr>
        <w:t xml:space="preserve">Almunia. M., López Rodríguez, D., (2014). </w:t>
      </w:r>
      <w:r w:rsidRPr="00967E4F">
        <w:rPr>
          <w:rFonts w:ascii="Century Gothic" w:hAnsi="Century Gothic"/>
          <w:sz w:val="18"/>
          <w:szCs w:val="18"/>
          <w:lang w:val="en-US"/>
        </w:rPr>
        <w:t xml:space="preserve">Heterogeneous responses to effective tax enforcement: evidence from Spanish firms. </w:t>
      </w:r>
    </w:p>
    <w:p w14:paraId="0A48CD4E"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rPr>
      </w:pPr>
      <w:r w:rsidRPr="00967E4F">
        <w:rPr>
          <w:rFonts w:ascii="Century Gothic" w:hAnsi="Century Gothic"/>
          <w:sz w:val="18"/>
          <w:szCs w:val="18"/>
          <w:lang w:val="es-ES"/>
        </w:rPr>
        <w:t xml:space="preserve">Centro Internacional Santander Emprendimiento (CISE) et al., Emprendimiento corporativo en España. </w:t>
      </w:r>
      <w:r w:rsidRPr="00967E4F">
        <w:rPr>
          <w:rFonts w:ascii="Century Gothic" w:hAnsi="Century Gothic"/>
          <w:sz w:val="18"/>
          <w:szCs w:val="18"/>
        </w:rPr>
        <w:t>Elefantes y gacelas bailan sin pisarse</w:t>
      </w:r>
    </w:p>
    <w:p w14:paraId="25F8D77E" w14:textId="77777777" w:rsidR="006C4B6B"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CESGAR (2017), IV Informe “La financiación de la PYME en España”</w:t>
      </w:r>
    </w:p>
    <w:p w14:paraId="2633A6EB" w14:textId="617D405C" w:rsidR="00C0734C" w:rsidRPr="00967E4F" w:rsidRDefault="00C0734C" w:rsidP="00C0734C">
      <w:pPr>
        <w:pStyle w:val="Prrafodelista"/>
        <w:numPr>
          <w:ilvl w:val="0"/>
          <w:numId w:val="44"/>
        </w:numPr>
        <w:spacing w:after="160" w:line="240" w:lineRule="auto"/>
        <w:jc w:val="left"/>
        <w:rPr>
          <w:rFonts w:ascii="Century Gothic" w:hAnsi="Century Gothic"/>
          <w:sz w:val="18"/>
          <w:szCs w:val="18"/>
          <w:lang w:val="es-ES"/>
        </w:rPr>
      </w:pPr>
      <w:r>
        <w:rPr>
          <w:rFonts w:ascii="Century Gothic" w:hAnsi="Century Gothic"/>
          <w:sz w:val="18"/>
          <w:szCs w:val="18"/>
          <w:lang w:val="es-ES"/>
        </w:rPr>
        <w:t xml:space="preserve">CESGAR (2018). VI </w:t>
      </w:r>
      <w:r w:rsidRPr="00C0734C">
        <w:rPr>
          <w:rFonts w:ascii="Century Gothic" w:hAnsi="Century Gothic"/>
          <w:sz w:val="18"/>
          <w:szCs w:val="18"/>
          <w:lang w:val="es-ES"/>
        </w:rPr>
        <w:t>Informe “La financiación de la PYME en España”</w:t>
      </w:r>
    </w:p>
    <w:p w14:paraId="566FD26A"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Círculo de Empresarios (2017), La imagen del empresario en los libros de texto</w:t>
      </w:r>
    </w:p>
    <w:p w14:paraId="1AE81DF4"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rPr>
      </w:pPr>
      <w:r w:rsidRPr="00967E4F">
        <w:rPr>
          <w:rFonts w:ascii="Century Gothic" w:hAnsi="Century Gothic"/>
          <w:sz w:val="18"/>
          <w:szCs w:val="18"/>
        </w:rPr>
        <w:t>COTEC (2016): Innovación en España</w:t>
      </w:r>
    </w:p>
    <w:p w14:paraId="55D1CD44"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n-US"/>
        </w:rPr>
      </w:pPr>
      <w:r w:rsidRPr="00967E4F">
        <w:rPr>
          <w:rFonts w:ascii="Century Gothic" w:hAnsi="Century Gothic"/>
          <w:sz w:val="18"/>
          <w:szCs w:val="18"/>
          <w:lang w:val="en-US"/>
        </w:rPr>
        <w:t xml:space="preserve">García Pérez, J.I., y J. Mestres Domenech (2016), The impact of the 2012 Spanish </w:t>
      </w:r>
      <w:r w:rsidRPr="00967E4F">
        <w:rPr>
          <w:rFonts w:ascii="Century Gothic" w:hAnsi="Century Gothic"/>
          <w:sz w:val="18"/>
          <w:szCs w:val="18"/>
        </w:rPr>
        <w:t xml:space="preserve">labour </w:t>
      </w:r>
      <w:r w:rsidRPr="00967E4F">
        <w:rPr>
          <w:rFonts w:ascii="Century Gothic" w:hAnsi="Century Gothic"/>
          <w:sz w:val="18"/>
          <w:szCs w:val="18"/>
          <w:lang w:val="en-US"/>
        </w:rPr>
        <w:t>market reform on unemployment inflows and outflows: a regression discontinuity analysis using duration models</w:t>
      </w:r>
    </w:p>
    <w:p w14:paraId="6CBC894F" w14:textId="77777777" w:rsidR="0061375B" w:rsidRPr="00967E4F" w:rsidRDefault="0061375B" w:rsidP="00DB0F5A">
      <w:pPr>
        <w:pStyle w:val="Prrafodelista"/>
        <w:numPr>
          <w:ilvl w:val="0"/>
          <w:numId w:val="44"/>
        </w:numPr>
        <w:spacing w:after="160" w:line="240" w:lineRule="auto"/>
        <w:jc w:val="left"/>
        <w:rPr>
          <w:rFonts w:ascii="Century Gothic" w:hAnsi="Century Gothic"/>
          <w:sz w:val="18"/>
          <w:szCs w:val="18"/>
          <w:lang w:val="es-ES"/>
        </w:rPr>
      </w:pPr>
      <w:r w:rsidRPr="00967E4F">
        <w:rPr>
          <w:rFonts w:ascii="Century Gothic" w:hAnsi="Century Gothic"/>
          <w:sz w:val="18"/>
          <w:szCs w:val="18"/>
          <w:lang w:val="es-ES"/>
        </w:rPr>
        <w:t>Instituto Valenciano de Investigaciones Económicas (2014), El abandono educativo temprano: análisis del caso español</w:t>
      </w:r>
    </w:p>
    <w:p w14:paraId="17EC9336"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Observatorio de Contratación Pública:</w:t>
      </w:r>
      <w:r w:rsidR="0015019E">
        <w:rPr>
          <w:rFonts w:ascii="Century Gothic" w:hAnsi="Century Gothic"/>
          <w:sz w:val="18"/>
          <w:szCs w:val="18"/>
          <w:lang w:val="es-ES"/>
        </w:rPr>
        <w:t xml:space="preserve"> </w:t>
      </w:r>
      <w:r w:rsidRPr="00967E4F">
        <w:rPr>
          <w:rFonts w:ascii="Century Gothic" w:hAnsi="Century Gothic"/>
          <w:sz w:val="18"/>
          <w:szCs w:val="18"/>
          <w:lang w:val="es-ES"/>
        </w:rPr>
        <w:t>Contratación pública y PYME: Hacia una nueva cultura</w:t>
      </w:r>
    </w:p>
    <w:p w14:paraId="69D84DAA" w14:textId="77777777" w:rsidR="006C4B6B" w:rsidRPr="00967E4F"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Observatorio de Contratación Pública: Medidas de fomento del acceso a PYME a la Contratación Pública</w:t>
      </w:r>
    </w:p>
    <w:p w14:paraId="2A2864CD" w14:textId="77777777" w:rsidR="006C4B6B" w:rsidRDefault="006C4B6B" w:rsidP="00DB0F5A">
      <w:pPr>
        <w:pStyle w:val="Prrafodelista"/>
        <w:numPr>
          <w:ilvl w:val="0"/>
          <w:numId w:val="44"/>
        </w:numPr>
        <w:spacing w:after="160" w:line="240" w:lineRule="auto"/>
        <w:ind w:left="714" w:hanging="357"/>
        <w:jc w:val="left"/>
        <w:rPr>
          <w:rFonts w:ascii="Century Gothic" w:hAnsi="Century Gothic"/>
          <w:sz w:val="18"/>
          <w:szCs w:val="18"/>
          <w:lang w:val="es-ES"/>
        </w:rPr>
      </w:pPr>
      <w:r w:rsidRPr="00967E4F">
        <w:rPr>
          <w:rFonts w:ascii="Century Gothic" w:hAnsi="Century Gothic"/>
          <w:sz w:val="18"/>
          <w:szCs w:val="18"/>
          <w:lang w:val="es-ES"/>
        </w:rPr>
        <w:t xml:space="preserve">WK Estrategia (2008), PYME y contratación pública: Informe de síntesis de la consulta pública sobre la «Ley de la pequeña empresa»; </w:t>
      </w:r>
    </w:p>
    <w:p w14:paraId="4CC9589D" w14:textId="05A75EAC" w:rsidR="00FC1372" w:rsidRDefault="00FC1372" w:rsidP="00DB0F5A">
      <w:pPr>
        <w:pStyle w:val="Prrafodelista"/>
        <w:numPr>
          <w:ilvl w:val="0"/>
          <w:numId w:val="44"/>
        </w:numPr>
        <w:spacing w:after="160" w:line="240" w:lineRule="auto"/>
        <w:jc w:val="left"/>
        <w:rPr>
          <w:rFonts w:ascii="Century Gothic" w:hAnsi="Century Gothic"/>
          <w:sz w:val="18"/>
          <w:szCs w:val="18"/>
          <w:lang w:val="es-ES"/>
        </w:rPr>
      </w:pPr>
      <w:r>
        <w:rPr>
          <w:rFonts w:ascii="Century Gothic" w:hAnsi="Century Gothic"/>
          <w:sz w:val="18"/>
          <w:szCs w:val="18"/>
          <w:lang w:val="es-ES"/>
        </w:rPr>
        <w:t xml:space="preserve">Blog de Juan Ruiz Alzola. </w:t>
      </w:r>
      <w:r w:rsidRPr="00FC1372">
        <w:rPr>
          <w:rFonts w:ascii="Century Gothic" w:hAnsi="Century Gothic"/>
          <w:sz w:val="18"/>
          <w:szCs w:val="18"/>
          <w:lang w:val="es-ES"/>
        </w:rPr>
        <w:t>¿Qué es una Estrategia de Especialización Inteligente (RIS3)?</w:t>
      </w:r>
      <w:r>
        <w:rPr>
          <w:rFonts w:ascii="Century Gothic" w:hAnsi="Century Gothic"/>
          <w:sz w:val="18"/>
          <w:szCs w:val="18"/>
          <w:lang w:val="es-ES"/>
        </w:rPr>
        <w:t xml:space="preserve">. </w:t>
      </w:r>
      <w:r w:rsidRPr="00FC1372">
        <w:rPr>
          <w:rFonts w:ascii="Century Gothic" w:hAnsi="Century Gothic"/>
          <w:sz w:val="18"/>
          <w:szCs w:val="18"/>
          <w:lang w:val="es-ES"/>
        </w:rPr>
        <w:t>https://.com/2014/03/23/que-es-una-estrategia-de-especializacion-inteligente-ris3/</w:t>
      </w:r>
      <w:r>
        <w:rPr>
          <w:rFonts w:ascii="Century Gothic" w:hAnsi="Century Gothic"/>
          <w:sz w:val="18"/>
          <w:szCs w:val="18"/>
          <w:lang w:val="es-ES"/>
        </w:rPr>
        <w:t xml:space="preserve"> </w:t>
      </w:r>
    </w:p>
    <w:p w14:paraId="40958DF4" w14:textId="2E1BFD36" w:rsidR="00C0461A" w:rsidRDefault="00903196" w:rsidP="00DB0F5A">
      <w:pPr>
        <w:pStyle w:val="Prrafodelista"/>
        <w:numPr>
          <w:ilvl w:val="0"/>
          <w:numId w:val="44"/>
        </w:numPr>
        <w:spacing w:after="160" w:line="240" w:lineRule="auto"/>
        <w:jc w:val="left"/>
        <w:rPr>
          <w:rFonts w:ascii="Century Gothic" w:hAnsi="Century Gothic"/>
          <w:sz w:val="18"/>
          <w:szCs w:val="18"/>
          <w:lang w:val="es-ES"/>
        </w:rPr>
      </w:pPr>
      <w:r w:rsidRPr="00903196">
        <w:rPr>
          <w:rFonts w:ascii="Century Gothic" w:hAnsi="Century Gothic"/>
          <w:sz w:val="18"/>
          <w:szCs w:val="18"/>
          <w:lang w:val="es-ES"/>
        </w:rPr>
        <w:t>Blog de F.Iniciativas</w:t>
      </w:r>
      <w:r w:rsidRPr="00903196">
        <w:rPr>
          <w:lang w:val="es-ES"/>
        </w:rPr>
        <w:t xml:space="preserve"> </w:t>
      </w:r>
      <w:r w:rsidRPr="00903196">
        <w:rPr>
          <w:rFonts w:ascii="Century Gothic" w:hAnsi="Century Gothic"/>
          <w:sz w:val="18"/>
          <w:szCs w:val="18"/>
          <w:lang w:val="es-ES"/>
        </w:rPr>
        <w:t>Plan Estatal de Investigación Científica y Técnica y de Innovación 2017-2020</w:t>
      </w:r>
      <w:r>
        <w:rPr>
          <w:rFonts w:ascii="Century Gothic" w:hAnsi="Century Gothic"/>
          <w:sz w:val="18"/>
          <w:szCs w:val="18"/>
          <w:lang w:val="es-ES"/>
        </w:rPr>
        <w:t>. Autor</w:t>
      </w:r>
      <w:r w:rsidRPr="00903196">
        <w:rPr>
          <w:rFonts w:ascii="Century Gothic" w:hAnsi="Century Gothic"/>
          <w:sz w:val="18"/>
          <w:szCs w:val="18"/>
          <w:lang w:val="es-ES"/>
        </w:rPr>
        <w:t xml:space="preserve"> Fernando Lens.</w:t>
      </w:r>
    </w:p>
    <w:p w14:paraId="312E9507" w14:textId="09652CA4" w:rsidR="003E4EC5" w:rsidRDefault="003E4EC5" w:rsidP="003E4EC5">
      <w:pPr>
        <w:pStyle w:val="Prrafodelista"/>
        <w:numPr>
          <w:ilvl w:val="0"/>
          <w:numId w:val="44"/>
        </w:numPr>
        <w:spacing w:after="160" w:line="240" w:lineRule="auto"/>
        <w:jc w:val="left"/>
        <w:rPr>
          <w:rFonts w:ascii="Century Gothic" w:hAnsi="Century Gothic"/>
          <w:sz w:val="18"/>
          <w:szCs w:val="18"/>
          <w:lang w:val="es-ES"/>
        </w:rPr>
      </w:pPr>
      <w:r w:rsidRPr="003E4EC5">
        <w:rPr>
          <w:rFonts w:ascii="Century Gothic" w:hAnsi="Century Gothic"/>
          <w:sz w:val="18"/>
          <w:szCs w:val="18"/>
          <w:lang w:val="es-ES"/>
        </w:rPr>
        <w:t>Global Competitiveness Report 2017-2018</w:t>
      </w:r>
      <w:r>
        <w:rPr>
          <w:rFonts w:ascii="Century Gothic" w:hAnsi="Century Gothic"/>
          <w:sz w:val="18"/>
          <w:szCs w:val="18"/>
          <w:lang w:val="es-ES"/>
        </w:rPr>
        <w:t>.</w:t>
      </w:r>
    </w:p>
    <w:p w14:paraId="25A06722" w14:textId="26C14519" w:rsidR="003E4EC5" w:rsidRDefault="003E4EC5" w:rsidP="003E4EC5">
      <w:pPr>
        <w:pStyle w:val="Prrafodelista"/>
        <w:numPr>
          <w:ilvl w:val="0"/>
          <w:numId w:val="44"/>
        </w:numPr>
        <w:spacing w:after="160" w:line="240" w:lineRule="auto"/>
        <w:jc w:val="left"/>
        <w:rPr>
          <w:rFonts w:ascii="Century Gothic" w:hAnsi="Century Gothic"/>
          <w:sz w:val="18"/>
          <w:szCs w:val="18"/>
          <w:lang w:val="es-ES"/>
        </w:rPr>
      </w:pPr>
      <w:r w:rsidRPr="003E4EC5">
        <w:rPr>
          <w:rFonts w:ascii="Century Gothic" w:hAnsi="Century Gothic"/>
          <w:sz w:val="18"/>
          <w:szCs w:val="18"/>
          <w:lang w:val="es-ES"/>
        </w:rPr>
        <w:t>Instituto Empresa Familiar (2017). La dimensión empresarial como factor de competitividad</w:t>
      </w:r>
      <w:r>
        <w:rPr>
          <w:rFonts w:ascii="Century Gothic" w:hAnsi="Century Gothic"/>
          <w:sz w:val="18"/>
          <w:szCs w:val="18"/>
          <w:lang w:val="es-ES"/>
        </w:rPr>
        <w:t>.</w:t>
      </w:r>
    </w:p>
    <w:p w14:paraId="22853474" w14:textId="3C110004" w:rsidR="003E4EC5" w:rsidRDefault="003E4EC5" w:rsidP="003E4EC5">
      <w:pPr>
        <w:pStyle w:val="Prrafodelista"/>
        <w:numPr>
          <w:ilvl w:val="0"/>
          <w:numId w:val="44"/>
        </w:numPr>
        <w:spacing w:after="160" w:line="240" w:lineRule="auto"/>
        <w:jc w:val="left"/>
        <w:rPr>
          <w:rFonts w:ascii="Century Gothic" w:hAnsi="Century Gothic"/>
          <w:sz w:val="18"/>
          <w:szCs w:val="18"/>
          <w:lang w:val="es-ES"/>
        </w:rPr>
      </w:pPr>
      <w:r w:rsidRPr="003E4EC5">
        <w:rPr>
          <w:rFonts w:ascii="Century Gothic" w:hAnsi="Century Gothic"/>
          <w:sz w:val="18"/>
          <w:szCs w:val="18"/>
          <w:lang w:val="es-ES"/>
        </w:rPr>
        <w:t>CEOE (2018). La producción normativa en 2017</w:t>
      </w:r>
    </w:p>
    <w:p w14:paraId="733A7816" w14:textId="6F287F3C" w:rsidR="00A03B0F" w:rsidRDefault="00A03B0F" w:rsidP="00537F3A">
      <w:pPr>
        <w:pStyle w:val="Prrafodelista"/>
        <w:numPr>
          <w:ilvl w:val="0"/>
          <w:numId w:val="44"/>
        </w:numPr>
        <w:spacing w:after="160" w:line="240" w:lineRule="auto"/>
        <w:jc w:val="left"/>
        <w:rPr>
          <w:rFonts w:ascii="Century Gothic" w:hAnsi="Century Gothic"/>
          <w:sz w:val="18"/>
          <w:szCs w:val="18"/>
          <w:lang w:val="es-ES"/>
        </w:rPr>
      </w:pPr>
      <w:r w:rsidRPr="00A03B0F">
        <w:rPr>
          <w:rFonts w:ascii="Century Gothic" w:hAnsi="Century Gothic"/>
          <w:sz w:val="18"/>
          <w:szCs w:val="18"/>
          <w:lang w:val="es-ES"/>
        </w:rPr>
        <w:t>Productividad. Autores: Jeannethe Jiménez, Adrián Castro y Cristian Brenes</w:t>
      </w:r>
      <w:r w:rsidR="00241FD1">
        <w:rPr>
          <w:rFonts w:ascii="Century Gothic" w:hAnsi="Century Gothic"/>
          <w:sz w:val="18"/>
          <w:szCs w:val="18"/>
          <w:lang w:val="es-ES"/>
        </w:rPr>
        <w:t>.</w:t>
      </w:r>
    </w:p>
    <w:p w14:paraId="7FA61169" w14:textId="29066362" w:rsidR="00241FD1" w:rsidRDefault="00241FD1" w:rsidP="00241FD1">
      <w:pPr>
        <w:pStyle w:val="Prrafodelista"/>
        <w:numPr>
          <w:ilvl w:val="0"/>
          <w:numId w:val="44"/>
        </w:numPr>
        <w:spacing w:after="160" w:line="240" w:lineRule="auto"/>
        <w:jc w:val="left"/>
        <w:rPr>
          <w:rFonts w:ascii="Century Gothic" w:hAnsi="Century Gothic"/>
          <w:sz w:val="18"/>
          <w:szCs w:val="18"/>
        </w:rPr>
      </w:pPr>
      <w:r>
        <w:rPr>
          <w:rFonts w:ascii="Century Gothic" w:hAnsi="Century Gothic"/>
          <w:sz w:val="18"/>
          <w:szCs w:val="18"/>
          <w:lang w:val="es-ES"/>
        </w:rPr>
        <w:t>L</w:t>
      </w:r>
      <w:r w:rsidRPr="00241FD1">
        <w:rPr>
          <w:rFonts w:ascii="Century Gothic" w:hAnsi="Century Gothic"/>
          <w:sz w:val="18"/>
          <w:szCs w:val="18"/>
          <w:lang w:val="es-ES"/>
        </w:rPr>
        <w:t>a gestión del talento en las pymes</w:t>
      </w:r>
      <w:r>
        <w:rPr>
          <w:rFonts w:ascii="Century Gothic" w:hAnsi="Century Gothic"/>
          <w:sz w:val="18"/>
          <w:szCs w:val="18"/>
          <w:lang w:val="es-ES"/>
        </w:rPr>
        <w:t xml:space="preserve">. </w:t>
      </w:r>
      <w:r w:rsidRPr="00241FD1">
        <w:rPr>
          <w:rFonts w:ascii="Century Gothic" w:hAnsi="Century Gothic"/>
          <w:sz w:val="18"/>
          <w:szCs w:val="18"/>
        </w:rPr>
        <w:t xml:space="preserve">Randstad. </w:t>
      </w:r>
      <w:hyperlink r:id="rId28" w:history="1">
        <w:r w:rsidR="0063574E" w:rsidRPr="00E4350C">
          <w:rPr>
            <w:rStyle w:val="Hipervnculo"/>
            <w:rFonts w:ascii="Century Gothic" w:hAnsi="Century Gothic"/>
            <w:sz w:val="18"/>
            <w:szCs w:val="18"/>
          </w:rPr>
          <w:t>https://www.randstad.es/tendencias360/la-gestion-del-talento-en-las-pymes/</w:t>
        </w:r>
      </w:hyperlink>
      <w:r>
        <w:rPr>
          <w:rFonts w:ascii="Century Gothic" w:hAnsi="Century Gothic"/>
          <w:sz w:val="18"/>
          <w:szCs w:val="18"/>
        </w:rPr>
        <w:t>.</w:t>
      </w:r>
    </w:p>
    <w:p w14:paraId="4E527E33" w14:textId="08146B59" w:rsidR="0063574E" w:rsidRPr="0061080A" w:rsidRDefault="0063574E" w:rsidP="0063574E">
      <w:pPr>
        <w:pStyle w:val="Prrafodelista"/>
        <w:numPr>
          <w:ilvl w:val="0"/>
          <w:numId w:val="44"/>
        </w:numPr>
        <w:spacing w:after="160" w:line="240" w:lineRule="auto"/>
        <w:jc w:val="left"/>
        <w:rPr>
          <w:rFonts w:ascii="Century Gothic" w:hAnsi="Century Gothic"/>
          <w:sz w:val="18"/>
          <w:szCs w:val="18"/>
          <w:lang w:val="es-ES"/>
        </w:rPr>
      </w:pPr>
      <w:r w:rsidRPr="0061080A">
        <w:rPr>
          <w:rFonts w:ascii="Century Gothic" w:hAnsi="Century Gothic"/>
          <w:sz w:val="18"/>
          <w:szCs w:val="18"/>
          <w:lang w:val="es-ES"/>
        </w:rPr>
        <w:t>Emprendimiento corporativo en España. Gacelas y elefantes bailan sin pisarse.</w:t>
      </w:r>
    </w:p>
    <w:p w14:paraId="1266E9EF" w14:textId="77A58999" w:rsidR="0061080A" w:rsidRDefault="0061080A" w:rsidP="00FC104A">
      <w:pPr>
        <w:pStyle w:val="Prrafodelista"/>
        <w:numPr>
          <w:ilvl w:val="0"/>
          <w:numId w:val="44"/>
        </w:numPr>
        <w:spacing w:after="160" w:line="240" w:lineRule="auto"/>
        <w:jc w:val="left"/>
        <w:rPr>
          <w:rFonts w:ascii="Century Gothic" w:hAnsi="Century Gothic"/>
          <w:sz w:val="18"/>
          <w:szCs w:val="18"/>
          <w:lang w:val="es-ES"/>
        </w:rPr>
      </w:pPr>
      <w:r w:rsidRPr="0061080A">
        <w:rPr>
          <w:rFonts w:ascii="Century Gothic" w:hAnsi="Century Gothic"/>
          <w:sz w:val="18"/>
          <w:szCs w:val="18"/>
          <w:lang w:val="es-ES"/>
        </w:rPr>
        <w:t xml:space="preserve">“Palanca de emprendimiento” para la Estrategia Pyme de España Informe de la RED GEM ESPAÑA </w:t>
      </w:r>
      <w:r w:rsidR="00B200EB">
        <w:rPr>
          <w:rFonts w:ascii="Century Gothic" w:hAnsi="Century Gothic"/>
          <w:sz w:val="18"/>
          <w:szCs w:val="18"/>
          <w:lang w:val="es-ES"/>
        </w:rPr>
        <w:t>–</w:t>
      </w:r>
      <w:r w:rsidRPr="0061080A">
        <w:rPr>
          <w:rFonts w:ascii="Century Gothic" w:hAnsi="Century Gothic"/>
          <w:sz w:val="18"/>
          <w:szCs w:val="18"/>
          <w:lang w:val="es-ES"/>
        </w:rPr>
        <w:t xml:space="preserve"> ENISA</w:t>
      </w:r>
    </w:p>
    <w:p w14:paraId="7F51C0AA" w14:textId="04BA2C42" w:rsidR="00B200EB" w:rsidRDefault="00B200EB" w:rsidP="00B200EB">
      <w:pPr>
        <w:pStyle w:val="Prrafodelista"/>
        <w:numPr>
          <w:ilvl w:val="0"/>
          <w:numId w:val="44"/>
        </w:numPr>
        <w:spacing w:after="160"/>
        <w:jc w:val="left"/>
        <w:rPr>
          <w:rFonts w:ascii="Century Gothic" w:hAnsi="Century Gothic"/>
          <w:sz w:val="18"/>
          <w:szCs w:val="18"/>
          <w:lang w:val="es-ES"/>
        </w:rPr>
      </w:pPr>
      <w:r w:rsidRPr="00B200EB">
        <w:rPr>
          <w:rFonts w:ascii="Century Gothic" w:hAnsi="Century Gothic"/>
          <w:sz w:val="18"/>
          <w:szCs w:val="18"/>
          <w:lang w:val="es-ES"/>
        </w:rPr>
        <w:t>La educación para el</w:t>
      </w:r>
      <w:r>
        <w:rPr>
          <w:rFonts w:ascii="Century Gothic" w:hAnsi="Century Gothic"/>
          <w:sz w:val="18"/>
          <w:szCs w:val="18"/>
          <w:lang w:val="es-ES"/>
        </w:rPr>
        <w:t xml:space="preserve"> </w:t>
      </w:r>
      <w:r w:rsidRPr="00B200EB">
        <w:rPr>
          <w:rFonts w:ascii="Century Gothic" w:hAnsi="Century Gothic"/>
          <w:sz w:val="18"/>
          <w:szCs w:val="18"/>
          <w:lang w:val="es-ES"/>
        </w:rPr>
        <w:t>Emprendimiento en los centros educativos en Europa</w:t>
      </w:r>
      <w:r>
        <w:rPr>
          <w:rFonts w:ascii="Century Gothic" w:hAnsi="Century Gothic"/>
          <w:sz w:val="18"/>
          <w:szCs w:val="18"/>
          <w:lang w:val="es-ES"/>
        </w:rPr>
        <w:t>.</w:t>
      </w:r>
      <w:r w:rsidRPr="00B200EB">
        <w:rPr>
          <w:rFonts w:ascii="Century Gothic" w:hAnsi="Century Gothic"/>
          <w:sz w:val="18"/>
          <w:szCs w:val="18"/>
          <w:lang w:val="es-ES"/>
        </w:rPr>
        <w:t xml:space="preserve"> Informe de Eurydice</w:t>
      </w:r>
      <w:r>
        <w:rPr>
          <w:rFonts w:ascii="Century Gothic" w:hAnsi="Century Gothic"/>
          <w:sz w:val="18"/>
          <w:szCs w:val="18"/>
          <w:lang w:val="es-ES"/>
        </w:rPr>
        <w:t xml:space="preserve"> 2016.</w:t>
      </w:r>
    </w:p>
    <w:p w14:paraId="0C3156F6" w14:textId="64DE8736" w:rsidR="00666E58" w:rsidRPr="00BB5008" w:rsidRDefault="00666E58" w:rsidP="006D3E0B">
      <w:pPr>
        <w:pStyle w:val="Prrafodelista"/>
        <w:numPr>
          <w:ilvl w:val="0"/>
          <w:numId w:val="44"/>
        </w:numPr>
        <w:spacing w:after="160"/>
        <w:jc w:val="left"/>
        <w:rPr>
          <w:rFonts w:ascii="Century Gothic" w:hAnsi="Century Gothic"/>
          <w:sz w:val="18"/>
          <w:szCs w:val="18"/>
          <w:lang w:val="es-ES"/>
        </w:rPr>
      </w:pPr>
      <w:r w:rsidRPr="00666E58">
        <w:rPr>
          <w:rFonts w:ascii="Century Gothic" w:hAnsi="Century Gothic"/>
          <w:sz w:val="18"/>
          <w:szCs w:val="18"/>
        </w:rPr>
        <w:t>Bots, Machine Learning, Servicios Cognitivos Realidad y perspectivas de la Inteligencia Artificial en España, 2018. PwC y Microsoft</w:t>
      </w:r>
    </w:p>
    <w:p w14:paraId="760440AF" w14:textId="2BFF1D14" w:rsidR="00BD3B5B" w:rsidRPr="00DB0F5A" w:rsidRDefault="00BD3B5B" w:rsidP="00DB0F5A">
      <w:pPr>
        <w:pStyle w:val="Ttulo1"/>
        <w:pageBreakBefore/>
        <w:numPr>
          <w:ilvl w:val="0"/>
          <w:numId w:val="28"/>
        </w:numPr>
        <w:tabs>
          <w:tab w:val="num" w:pos="432"/>
        </w:tabs>
        <w:spacing w:before="0" w:line="276" w:lineRule="auto"/>
        <w:ind w:left="431" w:hanging="431"/>
        <w:rPr>
          <w:rFonts w:cs="Arial"/>
          <w:color w:val="003399"/>
          <w:sz w:val="28"/>
          <w:szCs w:val="22"/>
          <w:lang w:val="es-ES"/>
        </w:rPr>
      </w:pPr>
      <w:bookmarkStart w:id="35" w:name="_Toc523847360"/>
      <w:bookmarkStart w:id="36" w:name="_Toc525300100"/>
      <w:bookmarkStart w:id="37" w:name="_Toc526423232"/>
      <w:r w:rsidRPr="00DB0F5A">
        <w:rPr>
          <w:rFonts w:cs="Arial"/>
          <w:color w:val="003399"/>
          <w:sz w:val="28"/>
          <w:szCs w:val="22"/>
          <w:lang w:val="es-ES"/>
        </w:rPr>
        <w:t xml:space="preserve">Fuentes </w:t>
      </w:r>
      <w:r w:rsidR="00B94974" w:rsidRPr="00DB0F5A">
        <w:rPr>
          <w:rFonts w:cs="Arial"/>
          <w:color w:val="003399"/>
          <w:sz w:val="28"/>
          <w:szCs w:val="22"/>
          <w:lang w:val="es-ES"/>
        </w:rPr>
        <w:t xml:space="preserve">estadísticas </w:t>
      </w:r>
      <w:r w:rsidRPr="00DB0F5A">
        <w:rPr>
          <w:rFonts w:cs="Arial"/>
          <w:color w:val="003399"/>
          <w:sz w:val="28"/>
          <w:szCs w:val="22"/>
          <w:lang w:val="es-ES"/>
        </w:rPr>
        <w:t>utilizadas</w:t>
      </w:r>
      <w:bookmarkEnd w:id="35"/>
      <w:bookmarkEnd w:id="36"/>
      <w:bookmarkEnd w:id="37"/>
    </w:p>
    <w:p w14:paraId="569C22DE" w14:textId="77777777" w:rsidR="00BD3B5B" w:rsidRPr="00413CE2" w:rsidRDefault="00BD3B5B" w:rsidP="00413CE2">
      <w:pPr>
        <w:pBdr>
          <w:bottom w:val="single" w:sz="4" w:space="1" w:color="auto"/>
        </w:pBdr>
        <w:spacing w:before="60" w:afterLines="60" w:after="144"/>
        <w:contextualSpacing/>
        <w:rPr>
          <w:rFonts w:ascii="Century Gothic" w:hAnsi="Century Gothic"/>
          <w:b/>
          <w:lang w:val="es-ES"/>
        </w:rPr>
      </w:pPr>
      <w:r w:rsidRPr="00413CE2">
        <w:rPr>
          <w:rFonts w:ascii="Century Gothic" w:hAnsi="Century Gothic"/>
          <w:b/>
          <w:lang w:val="es-ES"/>
        </w:rPr>
        <w:t>Informe sobre la PYME</w:t>
      </w:r>
    </w:p>
    <w:p w14:paraId="3EF2854D"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Empresas inscritas en la seguridad social, datos mensuales</w:t>
      </w:r>
    </w:p>
    <w:p w14:paraId="78F0AEF7" w14:textId="77777777" w:rsidR="00BD3B5B" w:rsidRPr="00B80C8C" w:rsidRDefault="003A71CF" w:rsidP="00413CE2">
      <w:pPr>
        <w:spacing w:before="60" w:afterLines="60" w:after="144"/>
        <w:contextualSpacing/>
        <w:rPr>
          <w:rFonts w:ascii="Century Gothic" w:hAnsi="Century Gothic"/>
          <w:b/>
          <w:lang w:val="es-ES"/>
        </w:rPr>
      </w:pPr>
      <w:hyperlink r:id="rId29" w:history="1">
        <w:r w:rsidR="00BD3B5B" w:rsidRPr="00B80C8C">
          <w:rPr>
            <w:rStyle w:val="Hipervnculo"/>
            <w:rFonts w:ascii="Century Gothic" w:hAnsi="Century Gothic"/>
            <w:b/>
            <w:lang w:val="es-ES"/>
          </w:rPr>
          <w:t>http://www.empleo.gob.es/estadisticas/emp/welcome.htm</w:t>
        </w:r>
      </w:hyperlink>
    </w:p>
    <w:p w14:paraId="44752B52" w14:textId="77777777" w:rsidR="00BD3B5B" w:rsidRPr="006C4B6B" w:rsidRDefault="00BD3B5B" w:rsidP="00413CE2">
      <w:pPr>
        <w:spacing w:before="60" w:afterLines="60" w:after="144"/>
        <w:contextualSpacing/>
        <w:rPr>
          <w:rFonts w:ascii="Century Gothic" w:hAnsi="Century Gothic"/>
          <w:lang w:val="es-ES"/>
        </w:rPr>
      </w:pPr>
    </w:p>
    <w:p w14:paraId="5E0BD0B7"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Empresas inscritas en la seguridad social, datos anuales</w:t>
      </w:r>
    </w:p>
    <w:p w14:paraId="0652D3DA" w14:textId="77777777" w:rsidR="00BD3B5B" w:rsidRPr="00413CE2" w:rsidRDefault="003A71CF" w:rsidP="00413CE2">
      <w:pPr>
        <w:spacing w:before="60" w:afterLines="60" w:after="144"/>
        <w:contextualSpacing/>
        <w:rPr>
          <w:rFonts w:ascii="Century Gothic" w:hAnsi="Century Gothic"/>
          <w:b/>
          <w:lang w:val="es-ES"/>
        </w:rPr>
      </w:pPr>
      <w:hyperlink r:id="rId30" w:history="1">
        <w:r w:rsidR="00BD3B5B" w:rsidRPr="00413CE2">
          <w:rPr>
            <w:rStyle w:val="Hipervnculo"/>
            <w:rFonts w:ascii="Century Gothic" w:hAnsi="Century Gothic"/>
            <w:b/>
            <w:lang w:val="es-ES"/>
          </w:rPr>
          <w:t>http://www.empleo.gob.es/es/estadisticas/contenidos/anuario.htm</w:t>
        </w:r>
      </w:hyperlink>
    </w:p>
    <w:p w14:paraId="3295FDBB" w14:textId="77777777" w:rsidR="00BD3B5B" w:rsidRPr="00413CE2" w:rsidRDefault="00BD3B5B" w:rsidP="00413CE2">
      <w:pPr>
        <w:spacing w:before="60" w:afterLines="60" w:after="144"/>
        <w:contextualSpacing/>
        <w:rPr>
          <w:rFonts w:ascii="Century Gothic" w:hAnsi="Century Gothic"/>
          <w:b/>
          <w:lang w:val="es-ES"/>
        </w:rPr>
      </w:pPr>
    </w:p>
    <w:p w14:paraId="3F33B6DD"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Cuentas económicas</w:t>
      </w:r>
    </w:p>
    <w:p w14:paraId="3DFB2483" w14:textId="77777777" w:rsidR="00BD3B5B" w:rsidRPr="00413CE2" w:rsidRDefault="003A71CF" w:rsidP="00413CE2">
      <w:pPr>
        <w:spacing w:before="60" w:afterLines="60" w:after="144"/>
        <w:contextualSpacing/>
        <w:rPr>
          <w:rFonts w:ascii="Century Gothic" w:hAnsi="Century Gothic"/>
          <w:b/>
          <w:lang w:val="es-ES"/>
        </w:rPr>
      </w:pPr>
      <w:hyperlink r:id="rId31" w:history="1">
        <w:r w:rsidR="00BD3B5B" w:rsidRPr="00413CE2">
          <w:rPr>
            <w:rStyle w:val="Hipervnculo"/>
            <w:rFonts w:ascii="Century Gothic" w:hAnsi="Century Gothic"/>
            <w:b/>
            <w:lang w:val="es-ES"/>
          </w:rPr>
          <w:t>http://www.ine.es/inebmenu/mnu_cuentas.htm</w:t>
        </w:r>
      </w:hyperlink>
    </w:p>
    <w:p w14:paraId="66B48277" w14:textId="77777777" w:rsidR="00BD3B5B" w:rsidRPr="00413CE2" w:rsidRDefault="00BD3B5B" w:rsidP="00413CE2">
      <w:pPr>
        <w:spacing w:before="60" w:afterLines="60" w:after="144"/>
        <w:contextualSpacing/>
        <w:rPr>
          <w:rFonts w:ascii="Century Gothic" w:hAnsi="Century Gothic"/>
          <w:b/>
          <w:lang w:val="es-ES"/>
        </w:rPr>
      </w:pPr>
    </w:p>
    <w:p w14:paraId="35FDF702"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Datos UE</w:t>
      </w:r>
    </w:p>
    <w:p w14:paraId="6AF9D127" w14:textId="77777777" w:rsidR="00BD3B5B" w:rsidRPr="00413CE2" w:rsidRDefault="003A71CF" w:rsidP="00413CE2">
      <w:pPr>
        <w:spacing w:before="60" w:afterLines="60" w:after="144"/>
        <w:contextualSpacing/>
        <w:rPr>
          <w:rFonts w:ascii="Century Gothic" w:hAnsi="Century Gothic"/>
          <w:b/>
          <w:lang w:val="es-ES"/>
        </w:rPr>
      </w:pPr>
      <w:hyperlink r:id="rId32" w:history="1">
        <w:r w:rsidR="00BD3B5B" w:rsidRPr="00413CE2">
          <w:rPr>
            <w:rStyle w:val="Hipervnculo"/>
            <w:rFonts w:ascii="Century Gothic" w:hAnsi="Century Gothic"/>
            <w:b/>
            <w:lang w:val="es-ES"/>
          </w:rPr>
          <w:t>http://ec.europa.eu/eurostat/data/database</w:t>
        </w:r>
      </w:hyperlink>
    </w:p>
    <w:p w14:paraId="0CD9C5AC" w14:textId="77777777" w:rsidR="00BD3B5B" w:rsidRPr="00413CE2" w:rsidRDefault="00BD3B5B" w:rsidP="00413CE2">
      <w:pPr>
        <w:spacing w:before="60" w:afterLines="60" w:after="144"/>
        <w:contextualSpacing/>
        <w:rPr>
          <w:rFonts w:ascii="Century Gothic" w:hAnsi="Century Gothic"/>
          <w:b/>
          <w:lang w:val="es-ES"/>
        </w:rPr>
      </w:pPr>
    </w:p>
    <w:p w14:paraId="19811EBE"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Productividad laboral</w:t>
      </w:r>
    </w:p>
    <w:p w14:paraId="09852EE7" w14:textId="77777777" w:rsidR="00BD3B5B" w:rsidRPr="00413CE2" w:rsidRDefault="003A71CF" w:rsidP="00413CE2">
      <w:pPr>
        <w:spacing w:before="60" w:afterLines="60" w:after="144"/>
        <w:contextualSpacing/>
        <w:rPr>
          <w:rStyle w:val="Hipervnculo"/>
          <w:rFonts w:ascii="Century Gothic" w:hAnsi="Century Gothic"/>
          <w:b/>
          <w:lang w:val="es-ES"/>
        </w:rPr>
      </w:pPr>
      <w:hyperlink r:id="rId33" w:history="1">
        <w:r w:rsidR="00BD3B5B" w:rsidRPr="00413CE2">
          <w:rPr>
            <w:rStyle w:val="Hipervnculo"/>
            <w:rFonts w:ascii="Century Gothic" w:hAnsi="Century Gothic"/>
            <w:b/>
            <w:lang w:val="es-ES"/>
          </w:rPr>
          <w:t>http://www.conference-board.org/data/economydatabase/</w:t>
        </w:r>
      </w:hyperlink>
    </w:p>
    <w:p w14:paraId="5564F928" w14:textId="77777777" w:rsidR="00BD3B5B" w:rsidRPr="00413CE2" w:rsidRDefault="00BD3B5B" w:rsidP="00413CE2">
      <w:pPr>
        <w:spacing w:before="60" w:afterLines="60" w:after="144"/>
        <w:contextualSpacing/>
        <w:rPr>
          <w:rFonts w:ascii="Century Gothic" w:hAnsi="Century Gothic"/>
          <w:b/>
          <w:lang w:val="es-ES"/>
        </w:rPr>
      </w:pPr>
    </w:p>
    <w:p w14:paraId="1DB757F0"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Datos comercio internacional</w:t>
      </w:r>
    </w:p>
    <w:p w14:paraId="1DB554F3" w14:textId="77777777" w:rsidR="00BD3B5B" w:rsidRPr="00413CE2" w:rsidRDefault="003A71CF" w:rsidP="00413CE2">
      <w:pPr>
        <w:spacing w:before="60" w:afterLines="60" w:after="144"/>
        <w:contextualSpacing/>
        <w:rPr>
          <w:rFonts w:ascii="Century Gothic" w:hAnsi="Century Gothic"/>
          <w:b/>
          <w:lang w:val="es-ES"/>
        </w:rPr>
      </w:pPr>
      <w:hyperlink r:id="rId34" w:history="1">
        <w:r w:rsidR="00BD3B5B" w:rsidRPr="00413CE2">
          <w:rPr>
            <w:rStyle w:val="Hipervnculo"/>
            <w:rFonts w:ascii="Century Gothic" w:hAnsi="Century Gothic"/>
            <w:b/>
            <w:lang w:val="es-ES"/>
          </w:rPr>
          <w:t>http://unctad.org/en/Pages/statistics.aspx</w:t>
        </w:r>
      </w:hyperlink>
    </w:p>
    <w:p w14:paraId="5088C20C" w14:textId="77777777" w:rsidR="00BD3B5B" w:rsidRPr="00413CE2" w:rsidRDefault="00BD3B5B" w:rsidP="00413CE2">
      <w:pPr>
        <w:spacing w:before="60" w:afterLines="60" w:after="144"/>
        <w:contextualSpacing/>
        <w:rPr>
          <w:rFonts w:ascii="Century Gothic" w:hAnsi="Century Gothic"/>
          <w:b/>
          <w:lang w:val="es-ES"/>
        </w:rPr>
      </w:pPr>
    </w:p>
    <w:p w14:paraId="2989230C"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Datos Banco de España</w:t>
      </w:r>
    </w:p>
    <w:p w14:paraId="0D12514A" w14:textId="77777777" w:rsidR="00BD3B5B" w:rsidRPr="00413CE2" w:rsidRDefault="003A71CF" w:rsidP="00413CE2">
      <w:pPr>
        <w:spacing w:before="60" w:afterLines="60" w:after="144"/>
        <w:contextualSpacing/>
        <w:rPr>
          <w:rFonts w:ascii="Century Gothic" w:hAnsi="Century Gothic"/>
          <w:b/>
          <w:lang w:val="es-ES"/>
        </w:rPr>
      </w:pPr>
      <w:hyperlink r:id="rId35" w:history="1">
        <w:r w:rsidR="00BD3B5B" w:rsidRPr="00413CE2">
          <w:rPr>
            <w:rStyle w:val="Hipervnculo"/>
            <w:rFonts w:ascii="Century Gothic" w:hAnsi="Century Gothic"/>
            <w:b/>
            <w:lang w:val="es-ES"/>
          </w:rPr>
          <w:t>http://www.bde.es/bde/es/secciones/informes/Publicaciones_an/Informe_anual/</w:t>
        </w:r>
      </w:hyperlink>
    </w:p>
    <w:p w14:paraId="12C533C4" w14:textId="77777777" w:rsidR="00BD3B5B" w:rsidRPr="00413CE2" w:rsidRDefault="003A71CF" w:rsidP="00413CE2">
      <w:pPr>
        <w:spacing w:before="60" w:afterLines="60" w:after="144"/>
        <w:contextualSpacing/>
        <w:rPr>
          <w:rFonts w:ascii="Century Gothic" w:hAnsi="Century Gothic"/>
          <w:b/>
          <w:lang w:val="es-ES"/>
        </w:rPr>
      </w:pPr>
      <w:hyperlink r:id="rId36" w:history="1">
        <w:r w:rsidR="00BD3B5B" w:rsidRPr="00413CE2">
          <w:rPr>
            <w:rStyle w:val="Hipervnculo"/>
            <w:rFonts w:ascii="Century Gothic" w:hAnsi="Century Gothic"/>
            <w:b/>
            <w:lang w:val="es-ES"/>
          </w:rPr>
          <w:t>http://www.bde.es/webbde/es/estadis/infoest/indeco.html</w:t>
        </w:r>
      </w:hyperlink>
    </w:p>
    <w:p w14:paraId="325F9C4D" w14:textId="77777777" w:rsidR="00BD3B5B" w:rsidRPr="00413CE2" w:rsidRDefault="003A71CF" w:rsidP="00413CE2">
      <w:pPr>
        <w:spacing w:before="60" w:afterLines="60" w:after="144"/>
        <w:contextualSpacing/>
        <w:rPr>
          <w:rFonts w:ascii="Century Gothic" w:hAnsi="Century Gothic"/>
          <w:b/>
          <w:lang w:val="es-ES"/>
        </w:rPr>
      </w:pPr>
      <w:hyperlink r:id="rId37" w:history="1">
        <w:r w:rsidR="00BD3B5B" w:rsidRPr="00413CE2">
          <w:rPr>
            <w:rStyle w:val="Hipervnculo"/>
            <w:rFonts w:ascii="Century Gothic" w:hAnsi="Century Gothic"/>
            <w:b/>
            <w:lang w:val="es-ES"/>
          </w:rPr>
          <w:t>http://www.empleo.gob.es/es/estadisticas/index.htm</w:t>
        </w:r>
      </w:hyperlink>
    </w:p>
    <w:p w14:paraId="18FC155C" w14:textId="77777777" w:rsidR="00BD3B5B" w:rsidRPr="00413CE2" w:rsidRDefault="00BD3B5B" w:rsidP="00413CE2">
      <w:pPr>
        <w:spacing w:before="60" w:afterLines="60" w:after="144"/>
        <w:contextualSpacing/>
        <w:rPr>
          <w:rFonts w:ascii="Century Gothic" w:hAnsi="Century Gothic"/>
          <w:b/>
          <w:lang w:val="es-ES"/>
        </w:rPr>
      </w:pPr>
    </w:p>
    <w:p w14:paraId="19CC26AB"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Datos comercio exterior OCDE</w:t>
      </w:r>
    </w:p>
    <w:p w14:paraId="47F42318" w14:textId="77777777" w:rsidR="00BD3B5B" w:rsidRPr="00413CE2" w:rsidRDefault="003A71CF" w:rsidP="00413CE2">
      <w:pPr>
        <w:spacing w:before="60" w:afterLines="60" w:after="144"/>
        <w:contextualSpacing/>
        <w:rPr>
          <w:rFonts w:ascii="Century Gothic" w:hAnsi="Century Gothic"/>
          <w:b/>
          <w:lang w:val="es-ES"/>
        </w:rPr>
      </w:pPr>
      <w:hyperlink r:id="rId38" w:history="1">
        <w:r w:rsidR="00BD3B5B" w:rsidRPr="00413CE2">
          <w:rPr>
            <w:rStyle w:val="Hipervnculo"/>
            <w:rFonts w:ascii="Century Gothic" w:hAnsi="Century Gothic"/>
            <w:b/>
            <w:lang w:val="es-ES"/>
          </w:rPr>
          <w:t>http://www.oecd.org/std/its/trade-by-enterprise-characteristics.htm</w:t>
        </w:r>
      </w:hyperlink>
    </w:p>
    <w:p w14:paraId="7BF339AA" w14:textId="77777777" w:rsidR="00BD3B5B" w:rsidRPr="00413CE2" w:rsidRDefault="00BD3B5B" w:rsidP="00413CE2">
      <w:pPr>
        <w:spacing w:before="60" w:afterLines="60" w:after="144"/>
        <w:contextualSpacing/>
        <w:rPr>
          <w:rFonts w:ascii="Century Gothic" w:hAnsi="Century Gothic"/>
          <w:b/>
          <w:lang w:val="es-ES"/>
        </w:rPr>
      </w:pPr>
    </w:p>
    <w:p w14:paraId="3CF828D1"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Estadísticas encuesta estrategias empresariales (SEPI)</w:t>
      </w:r>
    </w:p>
    <w:p w14:paraId="1742AFB9" w14:textId="77777777" w:rsidR="00BD3B5B" w:rsidRPr="006C4B6B" w:rsidRDefault="00BD3B5B" w:rsidP="00413CE2">
      <w:pPr>
        <w:spacing w:before="60" w:afterLines="60" w:after="144"/>
        <w:contextualSpacing/>
        <w:rPr>
          <w:rFonts w:ascii="Century Gothic" w:hAnsi="Century Gothic"/>
          <w:lang w:val="es-ES"/>
        </w:rPr>
      </w:pPr>
    </w:p>
    <w:p w14:paraId="745BFEDB"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Datos empresas españolas exportadoras</w:t>
      </w:r>
    </w:p>
    <w:p w14:paraId="084D0FAC" w14:textId="77777777" w:rsidR="00BD3B5B" w:rsidRPr="00B80C8C" w:rsidRDefault="003A71CF" w:rsidP="00413CE2">
      <w:pPr>
        <w:spacing w:before="60" w:afterLines="60" w:after="144"/>
        <w:contextualSpacing/>
        <w:rPr>
          <w:rFonts w:ascii="Century Gothic" w:hAnsi="Century Gothic"/>
          <w:b/>
          <w:lang w:val="es-ES"/>
        </w:rPr>
      </w:pPr>
      <w:hyperlink r:id="rId39" w:history="1">
        <w:r w:rsidR="00BD3B5B" w:rsidRPr="00B80C8C">
          <w:rPr>
            <w:rStyle w:val="Hipervnculo"/>
            <w:rFonts w:ascii="Century Gothic" w:hAnsi="Century Gothic"/>
            <w:b/>
            <w:lang w:val="es-ES"/>
          </w:rPr>
          <w:t>http://estacom.intranet.icex.es/estacom/desglose.html#</w:t>
        </w:r>
      </w:hyperlink>
    </w:p>
    <w:p w14:paraId="0F5EF38F" w14:textId="77777777" w:rsidR="00BD3B5B" w:rsidRPr="00413CE2" w:rsidRDefault="00BD3B5B" w:rsidP="00413CE2">
      <w:pPr>
        <w:spacing w:before="60" w:afterLines="60" w:after="144"/>
        <w:contextualSpacing/>
        <w:rPr>
          <w:rFonts w:ascii="Century Gothic" w:hAnsi="Century Gothic"/>
          <w:lang w:val="es-ES"/>
        </w:rPr>
      </w:pPr>
    </w:p>
    <w:p w14:paraId="48B25FA8"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Datos empresas españolas exportadoras</w:t>
      </w:r>
    </w:p>
    <w:p w14:paraId="7E0C9E66" w14:textId="77777777" w:rsidR="00BD3B5B" w:rsidRPr="00B80C8C" w:rsidRDefault="003A71CF" w:rsidP="00413CE2">
      <w:pPr>
        <w:spacing w:before="60" w:afterLines="60" w:after="144"/>
        <w:contextualSpacing/>
        <w:rPr>
          <w:rFonts w:ascii="Century Gothic" w:hAnsi="Century Gothic"/>
          <w:b/>
          <w:lang w:val="es-ES"/>
        </w:rPr>
      </w:pPr>
      <w:hyperlink r:id="rId40" w:history="1">
        <w:r w:rsidR="00BD3B5B" w:rsidRPr="00B80C8C">
          <w:rPr>
            <w:rStyle w:val="Hipervnculo"/>
            <w:rFonts w:ascii="Century Gothic" w:hAnsi="Century Gothic"/>
            <w:b/>
            <w:lang w:val="es-ES"/>
          </w:rPr>
          <w:t>http://datacomex.comercio.es/index.htm</w:t>
        </w:r>
      </w:hyperlink>
    </w:p>
    <w:p w14:paraId="45259E40" w14:textId="77777777" w:rsidR="00BD3B5B" w:rsidRPr="00413CE2" w:rsidRDefault="00BD3B5B" w:rsidP="00413CE2">
      <w:pPr>
        <w:spacing w:before="60" w:afterLines="60" w:after="144"/>
        <w:contextualSpacing/>
        <w:rPr>
          <w:rFonts w:ascii="Century Gothic" w:hAnsi="Century Gothic"/>
          <w:lang w:val="es-ES"/>
        </w:rPr>
      </w:pPr>
    </w:p>
    <w:p w14:paraId="369CFC84" w14:textId="77777777" w:rsidR="00BD3B5B" w:rsidRPr="00413CE2" w:rsidRDefault="00BD3B5B" w:rsidP="00413CE2">
      <w:pPr>
        <w:pBdr>
          <w:bottom w:val="single" w:sz="4" w:space="1" w:color="auto"/>
        </w:pBdr>
        <w:spacing w:before="60" w:afterLines="60" w:after="144"/>
        <w:contextualSpacing/>
        <w:rPr>
          <w:rFonts w:ascii="Century Gothic" w:hAnsi="Century Gothic"/>
          <w:b/>
          <w:lang w:val="es-ES"/>
        </w:rPr>
      </w:pPr>
      <w:r w:rsidRPr="00413CE2">
        <w:rPr>
          <w:rFonts w:ascii="Century Gothic" w:hAnsi="Century Gothic"/>
          <w:b/>
          <w:lang w:val="es-ES"/>
        </w:rPr>
        <w:t>Estadísticas PYME. Evolución e Indicadores</w:t>
      </w:r>
    </w:p>
    <w:p w14:paraId="3F9019DD" w14:textId="77777777" w:rsidR="00BD3B5B" w:rsidRPr="00413CE2" w:rsidRDefault="00BD3B5B" w:rsidP="00413CE2">
      <w:pPr>
        <w:spacing w:before="60" w:afterLines="60" w:after="144"/>
        <w:contextualSpacing/>
        <w:rPr>
          <w:rFonts w:ascii="Century Gothic" w:hAnsi="Century Gothic"/>
          <w:b/>
          <w:lang w:val="es-ES"/>
        </w:rPr>
      </w:pPr>
    </w:p>
    <w:p w14:paraId="163CF8D2" w14:textId="77777777" w:rsidR="00BD3B5B" w:rsidRPr="00413CE2" w:rsidRDefault="00BD3B5B" w:rsidP="00413CE2">
      <w:pPr>
        <w:spacing w:before="60" w:afterLines="60" w:after="144"/>
        <w:contextualSpacing/>
        <w:rPr>
          <w:rFonts w:ascii="Century Gothic" w:hAnsi="Century Gothic"/>
          <w:lang w:val="es-ES"/>
        </w:rPr>
      </w:pPr>
      <w:r w:rsidRPr="00413CE2">
        <w:rPr>
          <w:rFonts w:ascii="Century Gothic" w:hAnsi="Century Gothic"/>
          <w:b/>
          <w:lang w:val="es-ES"/>
        </w:rPr>
        <w:t>Datos de empresas</w:t>
      </w:r>
    </w:p>
    <w:p w14:paraId="3C225958" w14:textId="77777777" w:rsidR="00BD3B5B" w:rsidRPr="00413CE2" w:rsidRDefault="00BD3B5B" w:rsidP="00413CE2">
      <w:pPr>
        <w:spacing w:before="60" w:afterLines="60" w:after="144"/>
        <w:contextualSpacing/>
        <w:rPr>
          <w:rFonts w:ascii="Century Gothic" w:hAnsi="Century Gothic"/>
          <w:lang w:val="es-ES"/>
        </w:rPr>
      </w:pPr>
      <w:r w:rsidRPr="00413CE2">
        <w:rPr>
          <w:rFonts w:ascii="Century Gothic" w:hAnsi="Century Gothic"/>
          <w:lang w:val="es-ES"/>
        </w:rPr>
        <w:t>Datos del Directorio Central de Empresas (DIRCE), que el INE elabora específicamente para la DGIPYME, homologando el desglose de empresas con la definición de PYME de Eurostat</w:t>
      </w:r>
    </w:p>
    <w:p w14:paraId="0CCA62A2" w14:textId="77777777" w:rsidR="00BD3B5B" w:rsidRPr="00413CE2" w:rsidRDefault="00BD3B5B" w:rsidP="00413CE2">
      <w:pPr>
        <w:spacing w:before="60" w:afterLines="60" w:after="144"/>
        <w:contextualSpacing/>
        <w:rPr>
          <w:rFonts w:ascii="Century Gothic" w:hAnsi="Century Gothic"/>
          <w:lang w:val="es-ES"/>
        </w:rPr>
      </w:pPr>
    </w:p>
    <w:p w14:paraId="4B369646"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Demografía y población</w:t>
      </w:r>
    </w:p>
    <w:p w14:paraId="082FE8D4" w14:textId="77777777" w:rsidR="00BD3B5B" w:rsidRPr="00413CE2" w:rsidRDefault="003A71CF" w:rsidP="00413CE2">
      <w:pPr>
        <w:spacing w:before="60" w:afterLines="60" w:after="144"/>
        <w:contextualSpacing/>
        <w:rPr>
          <w:rFonts w:ascii="Century Gothic" w:hAnsi="Century Gothic"/>
          <w:b/>
          <w:lang w:val="es-ES"/>
        </w:rPr>
      </w:pPr>
      <w:hyperlink r:id="rId41" w:history="1">
        <w:r w:rsidR="00BD3B5B" w:rsidRPr="00413CE2">
          <w:rPr>
            <w:rStyle w:val="Hipervnculo"/>
            <w:rFonts w:ascii="Century Gothic" w:hAnsi="Century Gothic"/>
            <w:b/>
            <w:lang w:val="es-ES"/>
          </w:rPr>
          <w:t>http://www.ine.es/dyngs/INEbase/es/categoria.htm?c=Estadistica_P&amp;cid=1254734710984</w:t>
        </w:r>
      </w:hyperlink>
    </w:p>
    <w:p w14:paraId="3103C7FC" w14:textId="77777777" w:rsidR="00BD3B5B" w:rsidRPr="00413CE2" w:rsidRDefault="00BD3B5B" w:rsidP="00413CE2">
      <w:pPr>
        <w:spacing w:before="60" w:afterLines="60" w:after="144"/>
        <w:contextualSpacing/>
        <w:rPr>
          <w:rFonts w:ascii="Century Gothic" w:hAnsi="Century Gothic"/>
          <w:b/>
          <w:lang w:val="es-ES"/>
        </w:rPr>
      </w:pPr>
    </w:p>
    <w:p w14:paraId="791BE682"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Investigación y desarrollo</w:t>
      </w:r>
    </w:p>
    <w:p w14:paraId="3E6712DF" w14:textId="77777777" w:rsidR="00BD3B5B" w:rsidRPr="00413CE2" w:rsidRDefault="003A71CF" w:rsidP="00413CE2">
      <w:pPr>
        <w:spacing w:before="60" w:afterLines="60" w:after="144"/>
        <w:contextualSpacing/>
        <w:rPr>
          <w:rFonts w:ascii="Century Gothic" w:hAnsi="Century Gothic"/>
          <w:b/>
          <w:lang w:val="es-ES"/>
        </w:rPr>
      </w:pPr>
      <w:hyperlink r:id="rId42" w:history="1">
        <w:r w:rsidR="00BD3B5B" w:rsidRPr="00413CE2">
          <w:rPr>
            <w:rStyle w:val="Hipervnculo"/>
            <w:rFonts w:ascii="Century Gothic" w:hAnsi="Century Gothic"/>
            <w:b/>
            <w:lang w:val="es-ES"/>
          </w:rPr>
          <w:t>http://www.ine.es/dyngs/INEbase/es/categoria.htm?c=Estadistica_P&amp;cid=1254735576669</w:t>
        </w:r>
      </w:hyperlink>
    </w:p>
    <w:p w14:paraId="134BC26A" w14:textId="77777777" w:rsidR="00BD3B5B" w:rsidRPr="00413CE2" w:rsidRDefault="00BD3B5B" w:rsidP="00413CE2">
      <w:pPr>
        <w:spacing w:before="60" w:afterLines="60" w:after="144"/>
        <w:contextualSpacing/>
        <w:rPr>
          <w:rFonts w:ascii="Century Gothic" w:hAnsi="Century Gothic"/>
          <w:b/>
          <w:lang w:val="es-ES"/>
        </w:rPr>
      </w:pPr>
    </w:p>
    <w:p w14:paraId="5C6E2855"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Mercado laboral</w:t>
      </w:r>
    </w:p>
    <w:p w14:paraId="090E3E31" w14:textId="77777777" w:rsidR="00BD3B5B" w:rsidRPr="00413CE2" w:rsidRDefault="003A71CF" w:rsidP="00413CE2">
      <w:pPr>
        <w:spacing w:before="60" w:afterLines="60" w:after="144"/>
        <w:contextualSpacing/>
        <w:rPr>
          <w:rFonts w:ascii="Century Gothic" w:hAnsi="Century Gothic"/>
          <w:b/>
          <w:lang w:val="es-ES"/>
        </w:rPr>
      </w:pPr>
      <w:hyperlink r:id="rId43" w:history="1">
        <w:r w:rsidR="00BD3B5B" w:rsidRPr="00413CE2">
          <w:rPr>
            <w:rStyle w:val="Hipervnculo"/>
            <w:rFonts w:ascii="Century Gothic" w:hAnsi="Century Gothic"/>
            <w:b/>
            <w:lang w:val="es-ES"/>
          </w:rPr>
          <w:t>http://www.ine.es/dyngs/INEbase/es/categoria.htm?c=Estadistica_P&amp;cid=1254735976594</w:t>
        </w:r>
      </w:hyperlink>
    </w:p>
    <w:p w14:paraId="02749434" w14:textId="77777777" w:rsidR="00BD3B5B" w:rsidRPr="00413CE2" w:rsidRDefault="00BD3B5B" w:rsidP="00413CE2">
      <w:pPr>
        <w:spacing w:before="60" w:afterLines="60" w:after="144"/>
        <w:contextualSpacing/>
        <w:rPr>
          <w:rFonts w:ascii="Century Gothic" w:hAnsi="Century Gothic"/>
          <w:b/>
          <w:lang w:val="es-ES"/>
        </w:rPr>
      </w:pPr>
    </w:p>
    <w:p w14:paraId="79DC5C82" w14:textId="77777777" w:rsidR="00B80C8C" w:rsidRDefault="00B80C8C" w:rsidP="00413CE2">
      <w:pPr>
        <w:spacing w:before="60" w:afterLines="60" w:after="144"/>
        <w:contextualSpacing/>
        <w:rPr>
          <w:rFonts w:ascii="Century Gothic" w:hAnsi="Century Gothic"/>
          <w:lang w:val="es-ES"/>
        </w:rPr>
      </w:pPr>
    </w:p>
    <w:p w14:paraId="4D663D6C" w14:textId="77777777" w:rsidR="00BD3B5B" w:rsidRPr="006C4B6B" w:rsidRDefault="00BD3B5B" w:rsidP="00413CE2">
      <w:pPr>
        <w:spacing w:before="60" w:afterLines="60" w:after="144"/>
        <w:contextualSpacing/>
        <w:rPr>
          <w:rFonts w:ascii="Century Gothic" w:hAnsi="Century Gothic" w:cs="Arial"/>
          <w:bCs/>
          <w:color w:val="0D4EAE"/>
          <w:shd w:val="clear" w:color="auto" w:fill="FFFFFF"/>
          <w:lang w:val="es-ES"/>
        </w:rPr>
      </w:pPr>
      <w:r w:rsidRPr="006C4B6B">
        <w:rPr>
          <w:rFonts w:ascii="Century Gothic" w:hAnsi="Century Gothic"/>
          <w:lang w:val="es-ES"/>
        </w:rPr>
        <w:t>Nuevas tecnologías de la información y la comunicación</w:t>
      </w:r>
    </w:p>
    <w:p w14:paraId="664F2A5B" w14:textId="77777777" w:rsidR="00BD3B5B" w:rsidRPr="00413CE2" w:rsidRDefault="003A71CF" w:rsidP="00413CE2">
      <w:pPr>
        <w:spacing w:before="60" w:afterLines="60" w:after="144"/>
        <w:contextualSpacing/>
        <w:rPr>
          <w:rFonts w:ascii="Century Gothic" w:hAnsi="Century Gothic"/>
          <w:b/>
          <w:lang w:val="es-ES"/>
        </w:rPr>
      </w:pPr>
      <w:hyperlink r:id="rId44" w:history="1">
        <w:r w:rsidR="00BD3B5B" w:rsidRPr="00413CE2">
          <w:rPr>
            <w:rStyle w:val="Hipervnculo"/>
            <w:rFonts w:ascii="Century Gothic" w:hAnsi="Century Gothic"/>
            <w:b/>
            <w:lang w:val="es-ES"/>
          </w:rPr>
          <w:t>http://www.ine.es/dyngs/INEbase/es/categoria.htm?c=Estadistica_P&amp;cid=1254735976151</w:t>
        </w:r>
      </w:hyperlink>
    </w:p>
    <w:p w14:paraId="0618D8E7" w14:textId="77777777" w:rsidR="00BD3B5B" w:rsidRPr="00413CE2" w:rsidRDefault="00BD3B5B" w:rsidP="00413CE2">
      <w:pPr>
        <w:spacing w:before="60" w:afterLines="60" w:after="144"/>
        <w:contextualSpacing/>
        <w:rPr>
          <w:rFonts w:ascii="Century Gothic" w:hAnsi="Century Gothic"/>
          <w:b/>
          <w:lang w:val="es-ES"/>
        </w:rPr>
      </w:pPr>
    </w:p>
    <w:p w14:paraId="0245C25B"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Cuentas económicas</w:t>
      </w:r>
    </w:p>
    <w:p w14:paraId="493DC585" w14:textId="77777777" w:rsidR="00BD3B5B" w:rsidRPr="00413CE2" w:rsidRDefault="003A71CF" w:rsidP="00413CE2">
      <w:pPr>
        <w:spacing w:before="60" w:afterLines="60" w:after="144"/>
        <w:contextualSpacing/>
        <w:rPr>
          <w:rFonts w:ascii="Century Gothic" w:hAnsi="Century Gothic"/>
          <w:b/>
          <w:lang w:val="es-ES"/>
        </w:rPr>
      </w:pPr>
      <w:hyperlink r:id="rId45" w:history="1">
        <w:r w:rsidR="00BD3B5B" w:rsidRPr="00413CE2">
          <w:rPr>
            <w:rStyle w:val="Hipervnculo"/>
            <w:rFonts w:ascii="Century Gothic" w:hAnsi="Century Gothic"/>
            <w:b/>
            <w:lang w:val="es-ES"/>
          </w:rPr>
          <w:t>http://www.ine.es/dyngs/INEbase/es/categoria.htm?c=Estadistica_P&amp;cid=1254735576581</w:t>
        </w:r>
      </w:hyperlink>
    </w:p>
    <w:p w14:paraId="61CF5C74" w14:textId="77777777" w:rsidR="00BD3B5B" w:rsidRPr="00413CE2" w:rsidRDefault="00BD3B5B" w:rsidP="00413CE2">
      <w:pPr>
        <w:spacing w:before="60" w:afterLines="60" w:after="144"/>
        <w:contextualSpacing/>
        <w:rPr>
          <w:rFonts w:ascii="Century Gothic" w:hAnsi="Century Gothic"/>
          <w:b/>
          <w:lang w:val="es-ES"/>
        </w:rPr>
      </w:pPr>
    </w:p>
    <w:p w14:paraId="7AD8C0C3" w14:textId="77777777" w:rsidR="00BD3B5B" w:rsidRPr="00413CE2" w:rsidRDefault="00BD3B5B" w:rsidP="00413CE2">
      <w:pPr>
        <w:pBdr>
          <w:bottom w:val="single" w:sz="4" w:space="1" w:color="auto"/>
        </w:pBdr>
        <w:spacing w:before="60" w:afterLines="60" w:after="144"/>
        <w:contextualSpacing/>
        <w:rPr>
          <w:rFonts w:ascii="Century Gothic" w:hAnsi="Century Gothic"/>
          <w:b/>
          <w:lang w:val="es-ES"/>
        </w:rPr>
      </w:pPr>
      <w:r w:rsidRPr="00413CE2">
        <w:rPr>
          <w:rFonts w:ascii="Century Gothic" w:hAnsi="Century Gothic"/>
          <w:b/>
          <w:lang w:val="es-ES"/>
        </w:rPr>
        <w:t>Retrato de la PYME</w:t>
      </w:r>
    </w:p>
    <w:p w14:paraId="6867FEBC" w14:textId="77777777" w:rsidR="00BD3B5B" w:rsidRPr="00413CE2" w:rsidRDefault="00BD3B5B" w:rsidP="00413CE2">
      <w:pPr>
        <w:spacing w:before="60" w:afterLines="60" w:after="144"/>
        <w:contextualSpacing/>
        <w:rPr>
          <w:rFonts w:ascii="Century Gothic" w:hAnsi="Century Gothic"/>
          <w:b/>
          <w:lang w:val="es-ES"/>
        </w:rPr>
      </w:pPr>
    </w:p>
    <w:p w14:paraId="78A462E9"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Empresas inscritas en la seguridad social, datos mensuales</w:t>
      </w:r>
    </w:p>
    <w:p w14:paraId="55738512" w14:textId="77777777" w:rsidR="00BD3B5B" w:rsidRPr="00413CE2" w:rsidRDefault="003A71CF" w:rsidP="00413CE2">
      <w:pPr>
        <w:spacing w:before="60" w:afterLines="60" w:after="144"/>
        <w:contextualSpacing/>
        <w:rPr>
          <w:rFonts w:ascii="Century Gothic" w:hAnsi="Century Gothic"/>
          <w:b/>
          <w:lang w:val="es-ES"/>
        </w:rPr>
      </w:pPr>
      <w:hyperlink r:id="rId46" w:history="1">
        <w:r w:rsidR="00BD3B5B" w:rsidRPr="00413CE2">
          <w:rPr>
            <w:rStyle w:val="Hipervnculo"/>
            <w:rFonts w:ascii="Century Gothic" w:hAnsi="Century Gothic"/>
            <w:b/>
            <w:lang w:val="es-ES"/>
          </w:rPr>
          <w:t>http://www.empleo.gob.es/estadisticas/emp/welcome.htm</w:t>
        </w:r>
      </w:hyperlink>
    </w:p>
    <w:p w14:paraId="4BC4EA44" w14:textId="77777777" w:rsidR="00BD3B5B" w:rsidRPr="00413CE2" w:rsidRDefault="00BD3B5B" w:rsidP="00413CE2">
      <w:pPr>
        <w:spacing w:before="60" w:afterLines="60" w:after="144"/>
        <w:contextualSpacing/>
        <w:rPr>
          <w:rFonts w:ascii="Century Gothic" w:hAnsi="Century Gothic"/>
          <w:b/>
          <w:lang w:val="es-ES"/>
        </w:rPr>
      </w:pPr>
    </w:p>
    <w:p w14:paraId="5C5C0DAA"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Empresas inscritas en la seguridad social, datos anuales</w:t>
      </w:r>
    </w:p>
    <w:p w14:paraId="5285203A" w14:textId="77777777" w:rsidR="00BD3B5B" w:rsidRPr="00413CE2" w:rsidRDefault="003A71CF" w:rsidP="00413CE2">
      <w:pPr>
        <w:spacing w:before="60" w:afterLines="60" w:after="144"/>
        <w:contextualSpacing/>
        <w:rPr>
          <w:rFonts w:ascii="Century Gothic" w:hAnsi="Century Gothic"/>
          <w:b/>
          <w:lang w:val="es-ES"/>
        </w:rPr>
      </w:pPr>
      <w:hyperlink r:id="rId47" w:history="1">
        <w:r w:rsidR="00BD3B5B" w:rsidRPr="00413CE2">
          <w:rPr>
            <w:rStyle w:val="Hipervnculo"/>
            <w:rFonts w:ascii="Century Gothic" w:hAnsi="Century Gothic"/>
            <w:b/>
            <w:lang w:val="es-ES"/>
          </w:rPr>
          <w:t>http://www.empleo.gob.es/es/estadisticas/contenidos/anuario.htm</w:t>
        </w:r>
      </w:hyperlink>
    </w:p>
    <w:p w14:paraId="5832395F" w14:textId="77777777" w:rsidR="00BD3B5B" w:rsidRPr="00413CE2" w:rsidRDefault="00BD3B5B" w:rsidP="00413CE2">
      <w:pPr>
        <w:spacing w:before="60" w:afterLines="60" w:after="144"/>
        <w:contextualSpacing/>
        <w:rPr>
          <w:rFonts w:ascii="Century Gothic" w:hAnsi="Century Gothic"/>
          <w:b/>
          <w:lang w:val="es-ES"/>
        </w:rPr>
      </w:pPr>
    </w:p>
    <w:p w14:paraId="19CFC55C" w14:textId="77777777" w:rsidR="00BD3B5B" w:rsidRPr="006C4B6B" w:rsidRDefault="00BD3B5B" w:rsidP="00413CE2">
      <w:pPr>
        <w:spacing w:before="60" w:afterLines="60" w:after="144"/>
        <w:contextualSpacing/>
        <w:rPr>
          <w:rFonts w:ascii="Century Gothic" w:hAnsi="Century Gothic"/>
          <w:lang w:val="es-ES"/>
        </w:rPr>
      </w:pPr>
      <w:r w:rsidRPr="006C4B6B">
        <w:rPr>
          <w:rFonts w:ascii="Century Gothic" w:hAnsi="Century Gothic"/>
          <w:lang w:val="es-ES"/>
        </w:rPr>
        <w:t>Autónomos</w:t>
      </w:r>
    </w:p>
    <w:p w14:paraId="52D317B6" w14:textId="77777777" w:rsidR="00BD3B5B" w:rsidRPr="00413CE2" w:rsidRDefault="003A71CF" w:rsidP="00413CE2">
      <w:pPr>
        <w:spacing w:before="60" w:afterLines="60" w:after="144"/>
        <w:contextualSpacing/>
        <w:rPr>
          <w:rFonts w:ascii="Century Gothic" w:hAnsi="Century Gothic"/>
          <w:b/>
          <w:lang w:val="es-ES"/>
        </w:rPr>
      </w:pPr>
      <w:hyperlink r:id="rId48" w:history="1">
        <w:r w:rsidR="00BD3B5B" w:rsidRPr="00413CE2">
          <w:rPr>
            <w:rStyle w:val="Hipervnculo"/>
            <w:rFonts w:ascii="Century Gothic" w:hAnsi="Century Gothic"/>
            <w:b/>
            <w:lang w:val="es-ES"/>
          </w:rPr>
          <w:t>http://www.empleo.gob.es/es/sec_trabajo/autonomos/economia-soc/autonomos/estadistica/index.htm</w:t>
        </w:r>
      </w:hyperlink>
    </w:p>
    <w:p w14:paraId="0741914A" w14:textId="77777777" w:rsidR="00BD3B5B" w:rsidRDefault="00BD3B5B" w:rsidP="00413CE2">
      <w:pPr>
        <w:spacing w:before="60" w:after="60"/>
        <w:contextualSpacing/>
        <w:rPr>
          <w:rFonts w:ascii="Century Gothic" w:hAnsi="Century Gothic"/>
          <w:b/>
          <w:szCs w:val="22"/>
          <w:lang w:val="es-ES"/>
        </w:rPr>
      </w:pPr>
    </w:p>
    <w:p w14:paraId="43C73BA8" w14:textId="77777777" w:rsidR="00BD3B5B" w:rsidRPr="00413CE2" w:rsidRDefault="00BD3B5B" w:rsidP="00413CE2">
      <w:pPr>
        <w:pBdr>
          <w:bottom w:val="single" w:sz="4" w:space="1" w:color="auto"/>
        </w:pBdr>
        <w:spacing w:before="60" w:after="60"/>
        <w:contextualSpacing/>
        <w:rPr>
          <w:rFonts w:ascii="Century Gothic" w:hAnsi="Century Gothic"/>
          <w:b/>
          <w:szCs w:val="22"/>
          <w:lang w:val="es-ES"/>
        </w:rPr>
      </w:pPr>
      <w:r w:rsidRPr="00413CE2">
        <w:rPr>
          <w:rFonts w:ascii="Century Gothic" w:hAnsi="Century Gothic"/>
          <w:b/>
          <w:szCs w:val="22"/>
          <w:lang w:val="es-ES"/>
        </w:rPr>
        <w:t>Cifras PYME</w:t>
      </w:r>
    </w:p>
    <w:p w14:paraId="4D4866E2" w14:textId="77777777" w:rsidR="00BD3B5B" w:rsidRPr="00413CE2" w:rsidRDefault="00BD3B5B" w:rsidP="00413CE2">
      <w:pPr>
        <w:spacing w:before="60" w:after="60"/>
        <w:contextualSpacing/>
        <w:rPr>
          <w:rFonts w:ascii="Century Gothic" w:hAnsi="Century Gothic"/>
          <w:b/>
          <w:szCs w:val="22"/>
          <w:lang w:val="es-ES"/>
        </w:rPr>
      </w:pPr>
    </w:p>
    <w:p w14:paraId="6D9FD78C" w14:textId="77777777" w:rsidR="00BD3B5B" w:rsidRPr="006C4B6B" w:rsidRDefault="00BD3B5B" w:rsidP="00413CE2">
      <w:pPr>
        <w:spacing w:before="60" w:after="60"/>
        <w:contextualSpacing/>
        <w:rPr>
          <w:rFonts w:ascii="Century Gothic" w:hAnsi="Century Gothic"/>
          <w:szCs w:val="22"/>
          <w:lang w:val="es-ES"/>
        </w:rPr>
      </w:pPr>
      <w:r w:rsidRPr="006C4B6B">
        <w:rPr>
          <w:rFonts w:ascii="Century Gothic" w:hAnsi="Century Gothic"/>
          <w:szCs w:val="22"/>
          <w:lang w:val="es-ES"/>
        </w:rPr>
        <w:t>Empresas inscritas en la seguridad social, datos mensuales</w:t>
      </w:r>
    </w:p>
    <w:p w14:paraId="281D01D5" w14:textId="77777777" w:rsidR="00BD3B5B" w:rsidRPr="00413CE2" w:rsidRDefault="003A71CF" w:rsidP="00413CE2">
      <w:pPr>
        <w:spacing w:before="60" w:after="60"/>
        <w:contextualSpacing/>
        <w:rPr>
          <w:rFonts w:ascii="Century Gothic" w:hAnsi="Century Gothic"/>
          <w:b/>
          <w:szCs w:val="22"/>
          <w:lang w:val="es-ES"/>
        </w:rPr>
      </w:pPr>
      <w:hyperlink r:id="rId49" w:history="1">
        <w:r w:rsidR="00BD3B5B" w:rsidRPr="00413CE2">
          <w:rPr>
            <w:rStyle w:val="Hipervnculo"/>
            <w:rFonts w:ascii="Century Gothic" w:hAnsi="Century Gothic"/>
            <w:b/>
            <w:szCs w:val="22"/>
            <w:lang w:val="es-ES"/>
          </w:rPr>
          <w:t>http://www.empleo.gob.es/estadisticas/emp/welcome.htm</w:t>
        </w:r>
      </w:hyperlink>
    </w:p>
    <w:p w14:paraId="7BDC1879" w14:textId="77777777" w:rsidR="00BD3B5B" w:rsidRPr="00413CE2" w:rsidRDefault="00BD3B5B" w:rsidP="00413CE2">
      <w:pPr>
        <w:spacing w:before="60" w:after="60"/>
        <w:contextualSpacing/>
        <w:rPr>
          <w:rFonts w:ascii="Century Gothic" w:hAnsi="Century Gothic"/>
          <w:b/>
          <w:szCs w:val="22"/>
          <w:lang w:val="es-ES"/>
        </w:rPr>
      </w:pPr>
    </w:p>
    <w:p w14:paraId="45A3E0D4" w14:textId="77777777" w:rsidR="00BD3B5B" w:rsidRPr="006C4B6B" w:rsidRDefault="00BD3B5B" w:rsidP="00413CE2">
      <w:pPr>
        <w:spacing w:before="60" w:after="60"/>
        <w:contextualSpacing/>
        <w:rPr>
          <w:rFonts w:ascii="Century Gothic" w:hAnsi="Century Gothic"/>
          <w:szCs w:val="22"/>
          <w:lang w:val="es-ES"/>
        </w:rPr>
      </w:pPr>
      <w:r w:rsidRPr="006C4B6B">
        <w:rPr>
          <w:rFonts w:ascii="Century Gothic" w:hAnsi="Century Gothic"/>
          <w:szCs w:val="22"/>
          <w:lang w:val="es-ES"/>
        </w:rPr>
        <w:t>Autónomos</w:t>
      </w:r>
    </w:p>
    <w:p w14:paraId="639CEC55" w14:textId="412B308E" w:rsidR="00BD3B5B" w:rsidRPr="00413CE2" w:rsidRDefault="003A71CF" w:rsidP="00413CE2">
      <w:pPr>
        <w:spacing w:before="60" w:after="60"/>
        <w:contextualSpacing/>
        <w:rPr>
          <w:rFonts w:ascii="Century Gothic" w:hAnsi="Century Gothic"/>
          <w:b/>
          <w:szCs w:val="22"/>
          <w:lang w:val="es-ES"/>
        </w:rPr>
      </w:pPr>
      <w:hyperlink r:id="rId50" w:history="1">
        <w:r w:rsidR="00BD3B5B" w:rsidRPr="00413CE2">
          <w:rPr>
            <w:rStyle w:val="Hipervnculo"/>
            <w:rFonts w:ascii="Century Gothic" w:hAnsi="Century Gothic"/>
            <w:b/>
            <w:szCs w:val="22"/>
            <w:lang w:val="es-ES"/>
          </w:rPr>
          <w:t>http://www.empleo.gob.es/es/sec_trabajo/autonomos/economia-</w:t>
        </w:r>
      </w:hyperlink>
      <w:r w:rsidR="00BD3B5B" w:rsidRPr="00413CE2">
        <w:rPr>
          <w:rFonts w:ascii="Century Gothic" w:hAnsi="Century Gothic"/>
          <w:b/>
          <w:szCs w:val="22"/>
          <w:lang w:val="es-ES"/>
        </w:rPr>
        <w:t>soc/autonomos/estadistica/index.htm</w:t>
      </w:r>
    </w:p>
    <w:p w14:paraId="16236873" w14:textId="77777777" w:rsidR="00BD3B5B" w:rsidRPr="00413CE2" w:rsidRDefault="00BD3B5B" w:rsidP="00413CE2">
      <w:pPr>
        <w:spacing w:before="60" w:after="60"/>
        <w:contextualSpacing/>
        <w:rPr>
          <w:rFonts w:ascii="Century Gothic" w:hAnsi="Century Gothic"/>
          <w:b/>
          <w:szCs w:val="22"/>
          <w:lang w:val="es-ES"/>
        </w:rPr>
      </w:pPr>
    </w:p>
    <w:p w14:paraId="06AE4BA4" w14:textId="77777777" w:rsidR="00BD3B5B" w:rsidRPr="00413CE2" w:rsidRDefault="00BD3B5B" w:rsidP="00413CE2">
      <w:pPr>
        <w:pBdr>
          <w:bottom w:val="single" w:sz="4" w:space="1" w:color="auto"/>
        </w:pBdr>
        <w:spacing w:before="60" w:after="60"/>
        <w:contextualSpacing/>
        <w:rPr>
          <w:rFonts w:ascii="Century Gothic" w:hAnsi="Century Gothic"/>
          <w:b/>
          <w:szCs w:val="22"/>
          <w:lang w:val="es-ES"/>
        </w:rPr>
      </w:pPr>
      <w:r w:rsidRPr="00413CE2">
        <w:rPr>
          <w:rFonts w:ascii="Century Gothic" w:hAnsi="Century Gothic"/>
          <w:b/>
          <w:szCs w:val="22"/>
          <w:lang w:val="es-ES"/>
        </w:rPr>
        <w:t>I+D+i en las empresas españolas</w:t>
      </w:r>
    </w:p>
    <w:p w14:paraId="679873FE" w14:textId="77777777" w:rsidR="00BD3B5B" w:rsidRPr="00413CE2" w:rsidRDefault="00BD3B5B" w:rsidP="00413CE2">
      <w:pPr>
        <w:spacing w:before="60" w:after="60"/>
        <w:contextualSpacing/>
        <w:rPr>
          <w:rFonts w:ascii="Century Gothic" w:hAnsi="Century Gothic"/>
          <w:b/>
          <w:szCs w:val="22"/>
          <w:lang w:val="es-ES"/>
        </w:rPr>
      </w:pPr>
    </w:p>
    <w:p w14:paraId="5EA6D7EC" w14:textId="77777777" w:rsidR="00BD3B5B" w:rsidRPr="006C4B6B" w:rsidRDefault="00BD3B5B" w:rsidP="00413CE2">
      <w:pPr>
        <w:spacing w:before="60" w:after="60"/>
        <w:contextualSpacing/>
        <w:rPr>
          <w:rFonts w:ascii="Century Gothic" w:hAnsi="Century Gothic"/>
          <w:szCs w:val="22"/>
          <w:lang w:val="es-ES"/>
        </w:rPr>
      </w:pPr>
      <w:r w:rsidRPr="006C4B6B">
        <w:rPr>
          <w:rFonts w:ascii="Century Gothic" w:hAnsi="Century Gothic"/>
          <w:szCs w:val="22"/>
          <w:lang w:val="es-ES"/>
        </w:rPr>
        <w:t>Investigación y desarrollo</w:t>
      </w:r>
    </w:p>
    <w:p w14:paraId="41B67437" w14:textId="77777777" w:rsidR="00BD3B5B" w:rsidRPr="00413CE2" w:rsidRDefault="003A71CF" w:rsidP="00413CE2">
      <w:pPr>
        <w:spacing w:before="60" w:after="60"/>
        <w:contextualSpacing/>
        <w:rPr>
          <w:rFonts w:ascii="Century Gothic" w:hAnsi="Century Gothic"/>
          <w:b/>
          <w:szCs w:val="22"/>
          <w:lang w:val="es-ES"/>
        </w:rPr>
      </w:pPr>
      <w:hyperlink r:id="rId51" w:history="1">
        <w:r w:rsidR="00BD3B5B" w:rsidRPr="00413CE2">
          <w:rPr>
            <w:rStyle w:val="Hipervnculo"/>
            <w:rFonts w:ascii="Century Gothic" w:hAnsi="Century Gothic"/>
            <w:b/>
            <w:szCs w:val="22"/>
            <w:lang w:val="es-ES"/>
          </w:rPr>
          <w:t>http://www.ine.es/dyngs/INEbase/es/categoria.htm?c=Estadistica_P&amp;cid=1254735576669</w:t>
        </w:r>
      </w:hyperlink>
    </w:p>
    <w:p w14:paraId="0F954903" w14:textId="77777777" w:rsidR="00BD3B5B" w:rsidRPr="00413CE2" w:rsidRDefault="00BD3B5B" w:rsidP="00413CE2">
      <w:pPr>
        <w:spacing w:before="60" w:after="60"/>
        <w:contextualSpacing/>
        <w:rPr>
          <w:rFonts w:ascii="Century Gothic" w:hAnsi="Century Gothic"/>
          <w:b/>
          <w:szCs w:val="22"/>
          <w:lang w:val="es-ES"/>
        </w:rPr>
      </w:pPr>
    </w:p>
    <w:p w14:paraId="6D1EA232" w14:textId="77777777" w:rsidR="00BD3B5B" w:rsidRPr="006C4B6B" w:rsidRDefault="00BD3B5B" w:rsidP="00413CE2">
      <w:pPr>
        <w:spacing w:before="60" w:after="60"/>
        <w:contextualSpacing/>
        <w:rPr>
          <w:rFonts w:ascii="Century Gothic" w:hAnsi="Century Gothic"/>
          <w:szCs w:val="22"/>
          <w:lang w:val="es-ES"/>
        </w:rPr>
      </w:pPr>
      <w:r w:rsidRPr="006C4B6B">
        <w:rPr>
          <w:rFonts w:ascii="Century Gothic" w:hAnsi="Century Gothic"/>
          <w:szCs w:val="22"/>
          <w:lang w:val="es-ES"/>
        </w:rPr>
        <w:t>Indicadores de I+D+i en países de la OCDE</w:t>
      </w:r>
    </w:p>
    <w:p w14:paraId="4B415B83" w14:textId="77777777" w:rsidR="00BD3B5B" w:rsidRPr="00413CE2" w:rsidRDefault="003A71CF" w:rsidP="00413CE2">
      <w:pPr>
        <w:spacing w:before="60" w:after="60"/>
        <w:contextualSpacing/>
        <w:rPr>
          <w:rFonts w:ascii="Century Gothic" w:hAnsi="Century Gothic"/>
          <w:b/>
          <w:szCs w:val="22"/>
          <w:lang w:val="es-ES"/>
        </w:rPr>
      </w:pPr>
      <w:hyperlink r:id="rId52" w:history="1">
        <w:r w:rsidR="00BD3B5B" w:rsidRPr="00413CE2">
          <w:rPr>
            <w:rStyle w:val="Hipervnculo"/>
            <w:rFonts w:ascii="Century Gothic" w:hAnsi="Century Gothic"/>
            <w:b/>
            <w:szCs w:val="22"/>
            <w:lang w:val="es-ES"/>
          </w:rPr>
          <w:t>http://www.oecd.org/sti/msti.htm</w:t>
        </w:r>
      </w:hyperlink>
    </w:p>
    <w:p w14:paraId="25609A77" w14:textId="77777777" w:rsidR="00BD3B5B" w:rsidRPr="00413CE2" w:rsidRDefault="00BD3B5B" w:rsidP="00413CE2">
      <w:pPr>
        <w:spacing w:before="60" w:after="60"/>
        <w:contextualSpacing/>
        <w:rPr>
          <w:rFonts w:ascii="Century Gothic" w:hAnsi="Century Gothic"/>
          <w:b/>
          <w:szCs w:val="22"/>
          <w:lang w:val="es-ES"/>
        </w:rPr>
      </w:pPr>
    </w:p>
    <w:p w14:paraId="061293F6" w14:textId="77777777" w:rsidR="00BD3B5B" w:rsidRPr="006C4B6B" w:rsidRDefault="00BD3B5B" w:rsidP="00413CE2">
      <w:pPr>
        <w:spacing w:before="60" w:after="60"/>
        <w:contextualSpacing/>
        <w:rPr>
          <w:rFonts w:ascii="Century Gothic" w:hAnsi="Century Gothic"/>
          <w:szCs w:val="22"/>
          <w:lang w:val="es-ES"/>
        </w:rPr>
      </w:pPr>
      <w:r w:rsidRPr="006C4B6B">
        <w:rPr>
          <w:rFonts w:ascii="Century Gothic" w:hAnsi="Century Gothic"/>
          <w:szCs w:val="22"/>
          <w:lang w:val="es-ES"/>
        </w:rPr>
        <w:t>Cuentas económicas</w:t>
      </w:r>
    </w:p>
    <w:p w14:paraId="11C2F7D9" w14:textId="77777777" w:rsidR="00BD3B5B" w:rsidRDefault="003A71CF" w:rsidP="00413CE2">
      <w:pPr>
        <w:spacing w:before="60" w:after="60"/>
        <w:contextualSpacing/>
        <w:rPr>
          <w:rStyle w:val="Hipervnculo"/>
          <w:rFonts w:ascii="Century Gothic" w:hAnsi="Century Gothic"/>
          <w:b/>
          <w:szCs w:val="22"/>
          <w:lang w:val="es-ES"/>
        </w:rPr>
      </w:pPr>
      <w:hyperlink r:id="rId53" w:history="1">
        <w:r w:rsidR="00BD3B5B" w:rsidRPr="00413CE2">
          <w:rPr>
            <w:rStyle w:val="Hipervnculo"/>
            <w:rFonts w:ascii="Century Gothic" w:hAnsi="Century Gothic"/>
            <w:b/>
            <w:szCs w:val="22"/>
            <w:lang w:val="es-ES"/>
          </w:rPr>
          <w:t>http://www.ine.es/dyngs/INEbase/es/categoria.htm?c=Estadistica_P&amp;cid=1254735576581</w:t>
        </w:r>
      </w:hyperlink>
    </w:p>
    <w:p w14:paraId="7F986863" w14:textId="77777777" w:rsidR="00DE13DA" w:rsidRDefault="00DE13DA" w:rsidP="00413CE2">
      <w:pPr>
        <w:spacing w:before="60" w:after="60"/>
        <w:contextualSpacing/>
        <w:rPr>
          <w:rStyle w:val="Hipervnculo"/>
          <w:rFonts w:ascii="Century Gothic" w:hAnsi="Century Gothic"/>
          <w:b/>
          <w:szCs w:val="22"/>
          <w:lang w:val="es-ES"/>
        </w:rPr>
      </w:pPr>
    </w:p>
    <w:p w14:paraId="14E9A849" w14:textId="60FE35D0" w:rsidR="00DE13DA" w:rsidRPr="00063C4D" w:rsidRDefault="00DE13DA" w:rsidP="00413CE2">
      <w:pPr>
        <w:spacing w:before="60" w:after="60"/>
        <w:contextualSpacing/>
        <w:rPr>
          <w:rFonts w:ascii="Century Gothic" w:hAnsi="Century Gothic"/>
          <w:szCs w:val="22"/>
          <w:lang w:val="es-ES"/>
        </w:rPr>
      </w:pPr>
      <w:r w:rsidRPr="00063C4D">
        <w:rPr>
          <w:rFonts w:ascii="Century Gothic" w:hAnsi="Century Gothic"/>
          <w:szCs w:val="22"/>
          <w:lang w:val="es-ES"/>
        </w:rPr>
        <w:t>Indicadores desarrollo sociedad de la información</w:t>
      </w:r>
    </w:p>
    <w:p w14:paraId="3B3E52E0" w14:textId="181F65BD" w:rsidR="00DE13DA" w:rsidRDefault="00DE13DA" w:rsidP="00413CE2">
      <w:pPr>
        <w:spacing w:before="60" w:after="60"/>
        <w:contextualSpacing/>
        <w:rPr>
          <w:rStyle w:val="Hipervnculo"/>
          <w:rFonts w:ascii="Century Gothic" w:hAnsi="Century Gothic"/>
          <w:b/>
          <w:szCs w:val="22"/>
          <w:lang w:val="es-ES"/>
        </w:rPr>
      </w:pPr>
      <w:r w:rsidRPr="00B54DB4">
        <w:rPr>
          <w:rStyle w:val="Hipervnculo"/>
          <w:rFonts w:ascii="Century Gothic" w:hAnsi="Century Gothic"/>
          <w:b/>
          <w:szCs w:val="22"/>
          <w:lang w:val="es-ES"/>
        </w:rPr>
        <w:t>http.//ec.europa.eu/newsroom/document.cfm?doc_id=44338</w:t>
      </w:r>
    </w:p>
    <w:p w14:paraId="4E4F1354" w14:textId="77777777" w:rsidR="00063C4D" w:rsidRDefault="00063C4D" w:rsidP="00413CE2">
      <w:pPr>
        <w:spacing w:before="60" w:after="60"/>
        <w:contextualSpacing/>
        <w:rPr>
          <w:rStyle w:val="Hipervnculo"/>
          <w:rFonts w:ascii="Century Gothic" w:hAnsi="Century Gothic"/>
          <w:b/>
          <w:szCs w:val="22"/>
          <w:lang w:val="es-ES"/>
        </w:rPr>
      </w:pPr>
    </w:p>
    <w:p w14:paraId="4AA5660A" w14:textId="6C7E6D07" w:rsidR="00063C4D" w:rsidRDefault="00063C4D" w:rsidP="00413CE2">
      <w:pPr>
        <w:spacing w:before="60" w:after="60"/>
        <w:contextualSpacing/>
        <w:rPr>
          <w:rFonts w:ascii="Century Gothic" w:hAnsi="Century Gothic"/>
          <w:szCs w:val="22"/>
          <w:lang w:val="es-ES"/>
        </w:rPr>
      </w:pPr>
      <w:r w:rsidRPr="00063C4D">
        <w:rPr>
          <w:rFonts w:ascii="Century Gothic" w:hAnsi="Century Gothic"/>
          <w:szCs w:val="22"/>
          <w:lang w:val="es-ES"/>
        </w:rPr>
        <w:t>Plan Estatal de Investigación Científica y Técnica y de Innovación 2017-2020</w:t>
      </w:r>
    </w:p>
    <w:p w14:paraId="2067515F" w14:textId="751A0423" w:rsidR="00063C4D" w:rsidRPr="00063C4D" w:rsidRDefault="003A71CF" w:rsidP="00413CE2">
      <w:pPr>
        <w:spacing w:before="60" w:after="60"/>
        <w:contextualSpacing/>
        <w:rPr>
          <w:rStyle w:val="Hipervnculo"/>
          <w:b/>
          <w:lang w:val="es-ES"/>
        </w:rPr>
      </w:pPr>
      <w:hyperlink r:id="rId54" w:history="1">
        <w:r w:rsidR="00063C4D" w:rsidRPr="00063C4D">
          <w:rPr>
            <w:rStyle w:val="Hipervnculo"/>
            <w:rFonts w:ascii="Century Gothic" w:hAnsi="Century Gothic"/>
            <w:b/>
            <w:szCs w:val="22"/>
            <w:lang w:val="es-ES"/>
          </w:rPr>
          <w:t>http://www.idi.mineco.gob.es/stfls/MICINN/Prensa/FICHEROS/2018/PlanEstatalIDI.pdf</w:t>
        </w:r>
      </w:hyperlink>
      <w:r w:rsidR="00063C4D" w:rsidRPr="00063C4D">
        <w:rPr>
          <w:rStyle w:val="Hipervnculo"/>
          <w:b/>
          <w:lang w:val="es-ES"/>
        </w:rPr>
        <w:t xml:space="preserve"> </w:t>
      </w:r>
    </w:p>
    <w:p w14:paraId="7FAAEB23" w14:textId="77777777" w:rsidR="00BD3B5B" w:rsidRPr="00DE13DA" w:rsidRDefault="00BD3B5B" w:rsidP="00413CE2">
      <w:pPr>
        <w:spacing w:before="60" w:after="60"/>
        <w:contextualSpacing/>
        <w:rPr>
          <w:b/>
          <w:sz w:val="18"/>
          <w:szCs w:val="24"/>
          <w:lang w:val="es-ES"/>
        </w:rPr>
      </w:pPr>
    </w:p>
    <w:p w14:paraId="393B6DEA" w14:textId="00512F23" w:rsidR="009C1348" w:rsidRPr="00DB0F5A" w:rsidRDefault="00507B5A" w:rsidP="00537F3A">
      <w:pPr>
        <w:pStyle w:val="Ttulo1"/>
        <w:pageBreakBefore/>
        <w:numPr>
          <w:ilvl w:val="0"/>
          <w:numId w:val="28"/>
        </w:numPr>
        <w:tabs>
          <w:tab w:val="num" w:pos="1560"/>
        </w:tabs>
        <w:spacing w:before="0" w:line="276" w:lineRule="auto"/>
        <w:ind w:left="431" w:hanging="431"/>
        <w:rPr>
          <w:rFonts w:cs="Arial"/>
          <w:color w:val="003399"/>
          <w:sz w:val="28"/>
          <w:szCs w:val="22"/>
          <w:lang w:val="es-ES"/>
        </w:rPr>
      </w:pPr>
      <w:bookmarkStart w:id="38" w:name="_Toc523847361"/>
      <w:bookmarkStart w:id="39" w:name="_Toc525300101"/>
      <w:bookmarkStart w:id="40" w:name="_Toc526423233"/>
      <w:r w:rsidRPr="00DB0F5A">
        <w:rPr>
          <w:rFonts w:cs="Arial"/>
          <w:color w:val="003399"/>
          <w:sz w:val="28"/>
          <w:szCs w:val="22"/>
          <w:lang w:val="es-ES"/>
        </w:rPr>
        <w:t>Resultado de los workshops</w:t>
      </w:r>
      <w:bookmarkEnd w:id="38"/>
      <w:bookmarkEnd w:id="39"/>
      <w:bookmarkEnd w:id="40"/>
    </w:p>
    <w:p w14:paraId="71E2FF3C" w14:textId="706667C2" w:rsidR="00537F3A" w:rsidRDefault="00537F3A" w:rsidP="00537F3A">
      <w:pPr>
        <w:pStyle w:val="Ttulo3"/>
        <w:numPr>
          <w:ilvl w:val="1"/>
          <w:numId w:val="28"/>
        </w:numPr>
      </w:pPr>
      <w:bookmarkStart w:id="41" w:name="_Toc525300102"/>
      <w:bookmarkStart w:id="42" w:name="_Toc526423234"/>
      <w:r>
        <w:t>Resultados</w:t>
      </w:r>
      <w:bookmarkEnd w:id="41"/>
      <w:bookmarkEnd w:id="42"/>
    </w:p>
    <w:p w14:paraId="37F471DD" w14:textId="7829AD1C" w:rsidR="00B52775" w:rsidRDefault="00B52775" w:rsidP="00B52775">
      <w:pPr>
        <w:spacing w:before="60" w:afterLines="60" w:after="144"/>
        <w:contextualSpacing/>
        <w:rPr>
          <w:rFonts w:ascii="Century Gothic" w:hAnsi="Century Gothic"/>
          <w:lang w:val="es-ES"/>
        </w:rPr>
      </w:pPr>
      <w:r w:rsidRPr="00B52775">
        <w:rPr>
          <w:rFonts w:ascii="Century Gothic" w:hAnsi="Century Gothic"/>
          <w:lang w:val="es-ES"/>
        </w:rPr>
        <w:t>Para la definición de la estrategia se celebraron tres workshops durante los días 21, 22 y 23 de junio de 2017.</w:t>
      </w:r>
    </w:p>
    <w:p w14:paraId="37C10C8B" w14:textId="77777777" w:rsidR="00B52775" w:rsidRPr="00B52775" w:rsidRDefault="00B52775" w:rsidP="00B52775">
      <w:pPr>
        <w:spacing w:before="60" w:afterLines="60" w:after="144"/>
        <w:contextualSpacing/>
        <w:rPr>
          <w:rFonts w:ascii="Century Gothic" w:hAnsi="Century Gothic"/>
          <w:lang w:val="es-ES"/>
        </w:rPr>
      </w:pPr>
    </w:p>
    <w:tbl>
      <w:tblPr>
        <w:tblW w:w="7229"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112"/>
        <w:gridCol w:w="6117"/>
      </w:tblGrid>
      <w:tr w:rsidR="00B52775" w:rsidRPr="00B52775" w14:paraId="38D6594D" w14:textId="77777777" w:rsidTr="000A1CEE">
        <w:trPr>
          <w:trHeight w:val="404"/>
        </w:trPr>
        <w:tc>
          <w:tcPr>
            <w:tcW w:w="1112" w:type="dxa"/>
            <w:shd w:val="clear" w:color="auto" w:fill="auto"/>
            <w:tcMar>
              <w:top w:w="72" w:type="dxa"/>
              <w:left w:w="144" w:type="dxa"/>
              <w:bottom w:w="72" w:type="dxa"/>
              <w:right w:w="144" w:type="dxa"/>
            </w:tcMar>
            <w:hideMark/>
          </w:tcPr>
          <w:p w14:paraId="040B017F" w14:textId="77777777" w:rsidR="00B52775" w:rsidRPr="00B52775" w:rsidRDefault="00B52775" w:rsidP="00D21F6C">
            <w:pPr>
              <w:spacing w:after="120"/>
              <w:rPr>
                <w:rFonts w:ascii="Century Gothic" w:hAnsi="Century Gothic" w:cs="Arial"/>
                <w:lang w:val="es-ES"/>
              </w:rPr>
            </w:pPr>
            <w:r w:rsidRPr="00B52775">
              <w:rPr>
                <w:rFonts w:ascii="Century Gothic" w:hAnsi="Century Gothic" w:cs="Arial"/>
                <w:lang w:val="es-ES"/>
              </w:rPr>
              <w:t>21 junio</w:t>
            </w:r>
          </w:p>
        </w:tc>
        <w:tc>
          <w:tcPr>
            <w:tcW w:w="6117" w:type="dxa"/>
            <w:shd w:val="clear" w:color="auto" w:fill="auto"/>
            <w:tcMar>
              <w:top w:w="72" w:type="dxa"/>
              <w:left w:w="144" w:type="dxa"/>
              <w:bottom w:w="72" w:type="dxa"/>
              <w:right w:w="144" w:type="dxa"/>
            </w:tcMar>
            <w:hideMark/>
          </w:tcPr>
          <w:p w14:paraId="3545262D" w14:textId="77777777" w:rsidR="00B52775" w:rsidRPr="00B52775" w:rsidRDefault="00B52775" w:rsidP="00D21F6C">
            <w:pPr>
              <w:spacing w:after="120"/>
              <w:rPr>
                <w:rFonts w:ascii="Century Gothic" w:hAnsi="Century Gothic" w:cs="Arial"/>
                <w:lang w:val="es-ES"/>
              </w:rPr>
            </w:pPr>
            <w:r w:rsidRPr="00B52775">
              <w:rPr>
                <w:rFonts w:ascii="Century Gothic" w:hAnsi="Century Gothic" w:cs="Arial"/>
                <w:lang w:val="es-ES"/>
              </w:rPr>
              <w:t>Workshop con PYME</w:t>
            </w:r>
          </w:p>
        </w:tc>
      </w:tr>
      <w:tr w:rsidR="00B52775" w:rsidRPr="00B52775" w14:paraId="347CD7AA" w14:textId="77777777" w:rsidTr="000A1CEE">
        <w:trPr>
          <w:trHeight w:val="342"/>
        </w:trPr>
        <w:tc>
          <w:tcPr>
            <w:tcW w:w="1112" w:type="dxa"/>
            <w:shd w:val="clear" w:color="auto" w:fill="auto"/>
            <w:tcMar>
              <w:top w:w="72" w:type="dxa"/>
              <w:left w:w="144" w:type="dxa"/>
              <w:bottom w:w="72" w:type="dxa"/>
              <w:right w:w="144" w:type="dxa"/>
            </w:tcMar>
            <w:hideMark/>
          </w:tcPr>
          <w:p w14:paraId="122CA75B" w14:textId="77777777" w:rsidR="00B52775" w:rsidRPr="00B52775" w:rsidRDefault="00B52775" w:rsidP="00D21F6C">
            <w:pPr>
              <w:spacing w:after="120"/>
              <w:rPr>
                <w:rFonts w:ascii="Century Gothic" w:hAnsi="Century Gothic" w:cs="Arial"/>
                <w:lang w:val="es-ES"/>
              </w:rPr>
            </w:pPr>
            <w:r w:rsidRPr="00B52775">
              <w:rPr>
                <w:rFonts w:ascii="Century Gothic" w:hAnsi="Century Gothic" w:cs="Arial"/>
                <w:lang w:val="es-ES"/>
              </w:rPr>
              <w:t>22 junio</w:t>
            </w:r>
          </w:p>
        </w:tc>
        <w:tc>
          <w:tcPr>
            <w:tcW w:w="6117" w:type="dxa"/>
            <w:shd w:val="clear" w:color="auto" w:fill="auto"/>
            <w:tcMar>
              <w:top w:w="72" w:type="dxa"/>
              <w:left w:w="144" w:type="dxa"/>
              <w:bottom w:w="72" w:type="dxa"/>
              <w:right w:w="144" w:type="dxa"/>
            </w:tcMar>
            <w:hideMark/>
          </w:tcPr>
          <w:p w14:paraId="561D135E" w14:textId="77777777" w:rsidR="00B52775" w:rsidRPr="00B52775" w:rsidRDefault="00B52775" w:rsidP="00D21F6C">
            <w:pPr>
              <w:spacing w:after="120"/>
              <w:rPr>
                <w:rFonts w:ascii="Century Gothic" w:hAnsi="Century Gothic" w:cs="Arial"/>
                <w:lang w:val="es-ES"/>
              </w:rPr>
            </w:pPr>
            <w:r w:rsidRPr="00B52775">
              <w:rPr>
                <w:rFonts w:ascii="Century Gothic" w:hAnsi="Century Gothic" w:cs="Arial"/>
                <w:lang w:val="es-ES"/>
              </w:rPr>
              <w:t>Workshop con representantes académicos</w:t>
            </w:r>
          </w:p>
        </w:tc>
      </w:tr>
      <w:tr w:rsidR="00B52775" w:rsidRPr="00BB5008" w14:paraId="10C8E85F" w14:textId="77777777" w:rsidTr="00D21F6C">
        <w:trPr>
          <w:trHeight w:val="335"/>
        </w:trPr>
        <w:tc>
          <w:tcPr>
            <w:tcW w:w="1112" w:type="dxa"/>
            <w:shd w:val="clear" w:color="auto" w:fill="auto"/>
            <w:tcMar>
              <w:top w:w="72" w:type="dxa"/>
              <w:left w:w="144" w:type="dxa"/>
              <w:bottom w:w="72" w:type="dxa"/>
              <w:right w:w="144" w:type="dxa"/>
            </w:tcMar>
            <w:hideMark/>
          </w:tcPr>
          <w:p w14:paraId="346A586B" w14:textId="77777777" w:rsidR="00B52775" w:rsidRPr="00B52775" w:rsidRDefault="00B52775" w:rsidP="00D21F6C">
            <w:pPr>
              <w:spacing w:after="120"/>
              <w:rPr>
                <w:rFonts w:ascii="Century Gothic" w:hAnsi="Century Gothic" w:cs="Arial"/>
                <w:lang w:val="es-ES"/>
              </w:rPr>
            </w:pPr>
            <w:r w:rsidRPr="00B52775">
              <w:rPr>
                <w:rFonts w:ascii="Century Gothic" w:hAnsi="Century Gothic" w:cs="Arial"/>
                <w:lang w:val="es-ES"/>
              </w:rPr>
              <w:t>23 junio</w:t>
            </w:r>
          </w:p>
        </w:tc>
        <w:tc>
          <w:tcPr>
            <w:tcW w:w="6117" w:type="dxa"/>
            <w:shd w:val="clear" w:color="auto" w:fill="auto"/>
            <w:tcMar>
              <w:top w:w="72" w:type="dxa"/>
              <w:left w:w="144" w:type="dxa"/>
              <w:bottom w:w="72" w:type="dxa"/>
              <w:right w:w="144" w:type="dxa"/>
            </w:tcMar>
            <w:hideMark/>
          </w:tcPr>
          <w:p w14:paraId="6ECEDB88" w14:textId="77777777" w:rsidR="00B52775" w:rsidRPr="00B52775" w:rsidRDefault="00B52775" w:rsidP="00D21F6C">
            <w:pPr>
              <w:spacing w:after="120"/>
              <w:rPr>
                <w:rFonts w:ascii="Century Gothic" w:hAnsi="Century Gothic" w:cs="Arial"/>
                <w:lang w:val="es-ES"/>
              </w:rPr>
            </w:pPr>
            <w:r w:rsidRPr="00B52775">
              <w:rPr>
                <w:rFonts w:ascii="Century Gothic" w:hAnsi="Century Gothic" w:cs="Arial"/>
                <w:lang w:val="es-ES"/>
              </w:rPr>
              <w:t>Workshop con otros agentes del ecosistema emprendedor</w:t>
            </w:r>
          </w:p>
        </w:tc>
      </w:tr>
    </w:tbl>
    <w:p w14:paraId="068730A6" w14:textId="77777777" w:rsidR="00B52775" w:rsidRPr="00B52775" w:rsidRDefault="00B52775" w:rsidP="00B52775">
      <w:pPr>
        <w:spacing w:before="60" w:afterLines="60" w:after="144"/>
        <w:contextualSpacing/>
        <w:rPr>
          <w:rFonts w:ascii="Century Gothic" w:hAnsi="Century Gothic"/>
          <w:lang w:val="es-ES"/>
        </w:rPr>
      </w:pPr>
    </w:p>
    <w:p w14:paraId="0B620342" w14:textId="533E9256" w:rsidR="009C1348" w:rsidRDefault="00591E04" w:rsidP="00B52775">
      <w:pPr>
        <w:spacing w:before="60" w:afterLines="60" w:after="144"/>
        <w:contextualSpacing/>
        <w:rPr>
          <w:rFonts w:ascii="Century Gothic" w:hAnsi="Century Gothic"/>
          <w:lang w:val="es-ES"/>
        </w:rPr>
      </w:pPr>
      <w:r>
        <w:rPr>
          <w:rFonts w:ascii="Century Gothic" w:hAnsi="Century Gothic"/>
          <w:lang w:val="es-ES"/>
        </w:rPr>
        <w:t>Tabla con</w:t>
      </w:r>
      <w:r w:rsidR="00B52775" w:rsidRPr="00B52775">
        <w:rPr>
          <w:rFonts w:ascii="Century Gothic" w:hAnsi="Century Gothic"/>
          <w:lang w:val="es-ES"/>
        </w:rPr>
        <w:t xml:space="preserve"> las principales contribuciones realizadas en los tres grupos de trabajo</w:t>
      </w:r>
      <w:r w:rsidR="00B52775">
        <w:rPr>
          <w:rFonts w:ascii="Century Gothic" w:hAnsi="Century Gothic"/>
          <w:lang w:val="es-ES"/>
        </w:rPr>
        <w:t>:</w:t>
      </w:r>
    </w:p>
    <w:p w14:paraId="4A23C23C" w14:textId="77777777" w:rsidR="00B52775" w:rsidRDefault="00B52775" w:rsidP="00B52775">
      <w:pPr>
        <w:spacing w:before="60" w:afterLines="60" w:after="144"/>
        <w:contextualSpacing/>
        <w:rPr>
          <w:rFonts w:ascii="Century Gothic" w:hAnsi="Century Gothic"/>
          <w:lang w:val="es-ES"/>
        </w:rPr>
      </w:pPr>
    </w:p>
    <w:tbl>
      <w:tblPr>
        <w:tblStyle w:val="Sty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850"/>
        <w:gridCol w:w="1559"/>
        <w:gridCol w:w="1165"/>
      </w:tblGrid>
      <w:tr w:rsidR="00EE21AD" w:rsidRPr="00EE21AD" w14:paraId="4978F965" w14:textId="77777777" w:rsidTr="00CE63EE">
        <w:trPr>
          <w:cantSplit/>
          <w:tblHeader/>
        </w:trPr>
        <w:tc>
          <w:tcPr>
            <w:tcW w:w="5637" w:type="dxa"/>
            <w:vMerge w:val="restart"/>
            <w:vAlign w:val="center"/>
          </w:tcPr>
          <w:p w14:paraId="58DF47AB" w14:textId="77777777" w:rsidR="00EE21AD" w:rsidRPr="00EE21AD" w:rsidRDefault="00EE21AD" w:rsidP="009B6050">
            <w:pPr>
              <w:spacing w:before="300" w:afterLines="300" w:after="720"/>
              <w:contextualSpacing/>
              <w:jc w:val="center"/>
              <w:rPr>
                <w:rFonts w:ascii="Century Gothic" w:hAnsi="Century Gothic"/>
                <w:b/>
                <w:lang w:val="es-ES"/>
              </w:rPr>
            </w:pPr>
            <w:r w:rsidRPr="00EE21AD">
              <w:rPr>
                <w:rFonts w:ascii="Century Gothic" w:hAnsi="Century Gothic"/>
                <w:b/>
                <w:lang w:val="es-ES"/>
              </w:rPr>
              <w:t>PROPUESTA</w:t>
            </w:r>
          </w:p>
        </w:tc>
        <w:tc>
          <w:tcPr>
            <w:tcW w:w="3574" w:type="dxa"/>
            <w:gridSpan w:val="3"/>
          </w:tcPr>
          <w:p w14:paraId="08CD5D17" w14:textId="77777777" w:rsidR="00EE21AD" w:rsidRPr="00EE21AD" w:rsidRDefault="00EE21AD" w:rsidP="009B6050">
            <w:pPr>
              <w:spacing w:beforeLines="60" w:before="144" w:afterLines="60" w:after="144"/>
              <w:contextualSpacing/>
              <w:jc w:val="center"/>
              <w:rPr>
                <w:rFonts w:ascii="Century Gothic" w:hAnsi="Century Gothic"/>
                <w:b/>
                <w:lang w:val="es-ES"/>
              </w:rPr>
            </w:pPr>
            <w:r w:rsidRPr="00EE21AD">
              <w:rPr>
                <w:rFonts w:ascii="Century Gothic" w:hAnsi="Century Gothic"/>
                <w:b/>
                <w:lang w:val="es-ES"/>
              </w:rPr>
              <w:t>PROPUESTAS</w:t>
            </w:r>
            <w:r>
              <w:rPr>
                <w:rFonts w:ascii="Century Gothic" w:hAnsi="Century Gothic"/>
                <w:b/>
                <w:lang w:val="es-ES"/>
              </w:rPr>
              <w:t xml:space="preserve"> GRUPOS</w:t>
            </w:r>
          </w:p>
        </w:tc>
      </w:tr>
      <w:tr w:rsidR="00EE21AD" w14:paraId="7BCE5600" w14:textId="77777777" w:rsidTr="00CE63EE">
        <w:trPr>
          <w:cantSplit/>
          <w:tblHeader/>
        </w:trPr>
        <w:tc>
          <w:tcPr>
            <w:tcW w:w="5637" w:type="dxa"/>
            <w:vMerge/>
          </w:tcPr>
          <w:p w14:paraId="410480D1" w14:textId="77777777" w:rsidR="00EE21AD" w:rsidRDefault="00EE21AD" w:rsidP="009B6050">
            <w:pPr>
              <w:spacing w:before="300" w:afterLines="300" w:after="720"/>
              <w:contextualSpacing/>
              <w:rPr>
                <w:rFonts w:ascii="Century Gothic" w:hAnsi="Century Gothic"/>
                <w:lang w:val="es-ES"/>
              </w:rPr>
            </w:pPr>
          </w:p>
        </w:tc>
        <w:tc>
          <w:tcPr>
            <w:tcW w:w="850" w:type="dxa"/>
          </w:tcPr>
          <w:p w14:paraId="64CEA5B2" w14:textId="77777777" w:rsidR="00EE21AD" w:rsidRDefault="00EE21AD" w:rsidP="009B6050">
            <w:pPr>
              <w:spacing w:beforeLines="100" w:before="240" w:afterLines="100"/>
              <w:contextualSpacing/>
              <w:jc w:val="center"/>
              <w:rPr>
                <w:rFonts w:ascii="Century Gothic" w:hAnsi="Century Gothic"/>
                <w:lang w:val="es-ES"/>
              </w:rPr>
            </w:pPr>
            <w:r>
              <w:rPr>
                <w:rFonts w:ascii="Century Gothic" w:hAnsi="Century Gothic"/>
                <w:lang w:val="es-ES"/>
              </w:rPr>
              <w:t>PYME</w:t>
            </w:r>
          </w:p>
        </w:tc>
        <w:tc>
          <w:tcPr>
            <w:tcW w:w="1559" w:type="dxa"/>
          </w:tcPr>
          <w:p w14:paraId="66B77A59" w14:textId="77777777" w:rsidR="00EE21AD" w:rsidRDefault="00EE21AD" w:rsidP="009B6050">
            <w:pPr>
              <w:spacing w:beforeLines="100" w:before="240" w:afterLines="100"/>
              <w:contextualSpacing/>
              <w:jc w:val="center"/>
              <w:rPr>
                <w:rFonts w:ascii="Century Gothic" w:hAnsi="Century Gothic"/>
                <w:lang w:val="es-ES"/>
              </w:rPr>
            </w:pPr>
            <w:r>
              <w:rPr>
                <w:rFonts w:ascii="Century Gothic" w:hAnsi="Century Gothic"/>
                <w:lang w:val="es-ES"/>
              </w:rPr>
              <w:t>ACADÉMICO</w:t>
            </w:r>
          </w:p>
        </w:tc>
        <w:tc>
          <w:tcPr>
            <w:tcW w:w="1165" w:type="dxa"/>
          </w:tcPr>
          <w:p w14:paraId="27DD9C9F" w14:textId="77777777" w:rsidR="00EE21AD" w:rsidRDefault="00EE21AD" w:rsidP="009B6050">
            <w:pPr>
              <w:spacing w:beforeLines="100" w:before="240" w:afterLines="100"/>
              <w:contextualSpacing/>
              <w:jc w:val="center"/>
              <w:rPr>
                <w:rFonts w:ascii="Century Gothic" w:hAnsi="Century Gothic"/>
                <w:lang w:val="es-ES"/>
              </w:rPr>
            </w:pPr>
            <w:r>
              <w:rPr>
                <w:rFonts w:ascii="Century Gothic" w:hAnsi="Century Gothic"/>
                <w:lang w:val="es-ES"/>
              </w:rPr>
              <w:t>AGENTES</w:t>
            </w:r>
          </w:p>
        </w:tc>
      </w:tr>
      <w:tr w:rsidR="00EE21AD" w14:paraId="794A158B" w14:textId="77777777" w:rsidTr="00CE63EE">
        <w:trPr>
          <w:cantSplit/>
        </w:trPr>
        <w:tc>
          <w:tcPr>
            <w:tcW w:w="5637" w:type="dxa"/>
          </w:tcPr>
          <w:p w14:paraId="35C640D3" w14:textId="77777777" w:rsidR="00EE21AD" w:rsidRPr="00C12C92" w:rsidRDefault="006E08FD" w:rsidP="009B6050">
            <w:pPr>
              <w:spacing w:before="300" w:afterLines="300" w:after="720"/>
              <w:contextualSpacing/>
              <w:rPr>
                <w:rFonts w:ascii="Century Gothic" w:hAnsi="Century Gothic"/>
                <w:lang w:val="es-ES"/>
              </w:rPr>
            </w:pPr>
            <w:r w:rsidRPr="00C12C92">
              <w:rPr>
                <w:rFonts w:ascii="Century Gothic" w:hAnsi="Century Gothic"/>
                <w:lang w:val="es-ES"/>
              </w:rPr>
              <w:t xml:space="preserve">Homogeneizar la regulación en relación a las </w:t>
            </w:r>
            <w:r w:rsidRPr="00C12C92">
              <w:rPr>
                <w:rFonts w:ascii="Century Gothic" w:hAnsi="Century Gothic"/>
                <w:bCs/>
                <w:lang w:val="es-ES"/>
              </w:rPr>
              <w:t>licencias de apertura</w:t>
            </w:r>
            <w:r w:rsidRPr="00C12C92">
              <w:rPr>
                <w:rFonts w:ascii="Century Gothic" w:hAnsi="Century Gothic"/>
                <w:lang w:val="es-ES"/>
              </w:rPr>
              <w:t xml:space="preserve"> (local)</w:t>
            </w:r>
          </w:p>
        </w:tc>
        <w:tc>
          <w:tcPr>
            <w:tcW w:w="850" w:type="dxa"/>
            <w:vAlign w:val="center"/>
          </w:tcPr>
          <w:p w14:paraId="11B1BE30" w14:textId="77777777" w:rsidR="00EE21AD" w:rsidRPr="00C12C92" w:rsidRDefault="00C12C92" w:rsidP="009B6050">
            <w:pPr>
              <w:spacing w:beforeLines="60" w:before="144" w:afterLines="60" w:after="144"/>
              <w:contextualSpacing/>
              <w:jc w:val="center"/>
              <w:rPr>
                <w:rFonts w:ascii="Century Gothic" w:hAnsi="Century Gothic"/>
                <w:sz w:val="24"/>
                <w:szCs w:val="24"/>
                <w:lang w:val="es-ES"/>
              </w:rPr>
            </w:pPr>
            <w:r w:rsidRPr="00C12C92">
              <w:rPr>
                <w:rFonts w:ascii="Century Gothic" w:hAnsi="Century Gothic"/>
                <w:sz w:val="24"/>
                <w:szCs w:val="24"/>
                <w:lang w:val="es-ES"/>
              </w:rPr>
              <w:sym w:font="Wingdings" w:char="F0FD"/>
            </w:r>
          </w:p>
        </w:tc>
        <w:tc>
          <w:tcPr>
            <w:tcW w:w="1559" w:type="dxa"/>
            <w:vAlign w:val="center"/>
          </w:tcPr>
          <w:p w14:paraId="6ADA019D" w14:textId="77777777" w:rsidR="00EE21AD" w:rsidRDefault="00EE21AD" w:rsidP="009B6050">
            <w:pPr>
              <w:spacing w:beforeLines="60" w:before="144" w:afterLines="60" w:after="144"/>
              <w:contextualSpacing/>
              <w:jc w:val="center"/>
              <w:rPr>
                <w:rFonts w:ascii="Century Gothic" w:hAnsi="Century Gothic"/>
                <w:lang w:val="es-ES"/>
              </w:rPr>
            </w:pPr>
          </w:p>
        </w:tc>
        <w:tc>
          <w:tcPr>
            <w:tcW w:w="1165" w:type="dxa"/>
            <w:vAlign w:val="center"/>
          </w:tcPr>
          <w:p w14:paraId="487CDD7E" w14:textId="77777777" w:rsidR="00EE21AD" w:rsidRDefault="00EE21AD" w:rsidP="009B6050">
            <w:pPr>
              <w:spacing w:beforeLines="60" w:before="144" w:afterLines="60" w:after="144"/>
              <w:contextualSpacing/>
              <w:jc w:val="center"/>
              <w:rPr>
                <w:rFonts w:ascii="Century Gothic" w:hAnsi="Century Gothic"/>
                <w:lang w:val="es-ES"/>
              </w:rPr>
            </w:pPr>
          </w:p>
        </w:tc>
      </w:tr>
      <w:tr w:rsidR="00EE21AD" w14:paraId="6C429735" w14:textId="77777777" w:rsidTr="00CE63EE">
        <w:trPr>
          <w:cantSplit/>
        </w:trPr>
        <w:tc>
          <w:tcPr>
            <w:tcW w:w="5637" w:type="dxa"/>
          </w:tcPr>
          <w:p w14:paraId="2A296F7B" w14:textId="77777777" w:rsidR="00EE21AD" w:rsidRPr="00C12C92" w:rsidRDefault="00E706FB" w:rsidP="009B6050">
            <w:pPr>
              <w:spacing w:before="300" w:afterLines="300" w:after="720"/>
              <w:contextualSpacing/>
              <w:rPr>
                <w:rFonts w:ascii="Century Gothic" w:hAnsi="Century Gothic"/>
                <w:lang w:val="es-ES"/>
              </w:rPr>
            </w:pPr>
            <w:r w:rsidRPr="00C12C92">
              <w:rPr>
                <w:rFonts w:ascii="Century Gothic" w:hAnsi="Century Gothic"/>
                <w:lang w:val="es-ES"/>
              </w:rPr>
              <w:t xml:space="preserve">Simplificar (centralizar) trámites para la </w:t>
            </w:r>
            <w:r w:rsidRPr="00C12C92">
              <w:rPr>
                <w:rFonts w:ascii="Century Gothic" w:hAnsi="Century Gothic"/>
                <w:bCs/>
                <w:lang w:val="es-ES"/>
              </w:rPr>
              <w:t xml:space="preserve">creación y puesta en marcha </w:t>
            </w:r>
            <w:r w:rsidRPr="00C12C92">
              <w:rPr>
                <w:rFonts w:ascii="Century Gothic" w:hAnsi="Century Gothic"/>
                <w:lang w:val="es-ES"/>
              </w:rPr>
              <w:t>(obtención del certificado digital en CIRCE, protocolos o guías para la creación de empresas por sector…)</w:t>
            </w:r>
          </w:p>
        </w:tc>
        <w:tc>
          <w:tcPr>
            <w:tcW w:w="850" w:type="dxa"/>
            <w:vAlign w:val="center"/>
          </w:tcPr>
          <w:p w14:paraId="12A69070" w14:textId="77777777" w:rsidR="00EE21AD" w:rsidRDefault="003D2668"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1AFFC87F" w14:textId="77777777" w:rsidR="00EE21AD" w:rsidRDefault="003D2668"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61BB5F44" w14:textId="77777777" w:rsidR="00EE21AD" w:rsidRDefault="00EE21AD" w:rsidP="009B6050">
            <w:pPr>
              <w:spacing w:beforeLines="60" w:before="144" w:afterLines="60" w:after="144"/>
              <w:contextualSpacing/>
              <w:jc w:val="center"/>
              <w:rPr>
                <w:rFonts w:ascii="Century Gothic" w:hAnsi="Century Gothic"/>
                <w:lang w:val="es-ES"/>
              </w:rPr>
            </w:pPr>
          </w:p>
        </w:tc>
      </w:tr>
      <w:tr w:rsidR="00EE21AD" w14:paraId="753919D2" w14:textId="77777777" w:rsidTr="00CE63EE">
        <w:trPr>
          <w:cantSplit/>
        </w:trPr>
        <w:tc>
          <w:tcPr>
            <w:tcW w:w="5637" w:type="dxa"/>
          </w:tcPr>
          <w:p w14:paraId="51AFAE7C" w14:textId="77777777" w:rsidR="00EE21AD" w:rsidRPr="00C12C92" w:rsidRDefault="00E706FB" w:rsidP="009B6050">
            <w:pPr>
              <w:spacing w:before="300" w:afterLines="300" w:after="720"/>
              <w:contextualSpacing/>
              <w:rPr>
                <w:rFonts w:ascii="Century Gothic" w:hAnsi="Century Gothic"/>
                <w:lang w:val="es-ES"/>
              </w:rPr>
            </w:pPr>
            <w:r w:rsidRPr="00C12C92">
              <w:rPr>
                <w:rFonts w:ascii="Century Gothic" w:hAnsi="Century Gothic"/>
                <w:lang w:val="es-ES"/>
              </w:rPr>
              <w:t xml:space="preserve">Definir la figura de </w:t>
            </w:r>
            <w:r w:rsidRPr="00C12C92">
              <w:rPr>
                <w:rFonts w:ascii="Century Gothic" w:hAnsi="Century Gothic"/>
                <w:bCs/>
                <w:lang w:val="es-ES"/>
              </w:rPr>
              <w:t xml:space="preserve">Técnico/Gestor único </w:t>
            </w:r>
            <w:r w:rsidRPr="00C12C92">
              <w:rPr>
                <w:rFonts w:ascii="Century Gothic" w:hAnsi="Century Gothic"/>
                <w:lang w:val="es-ES"/>
              </w:rPr>
              <w:t>para asesorar en la gestión de trámites relacionados con la creación y desarrollo de una empresa (especializado por sector)</w:t>
            </w:r>
          </w:p>
        </w:tc>
        <w:tc>
          <w:tcPr>
            <w:tcW w:w="850" w:type="dxa"/>
            <w:vAlign w:val="center"/>
          </w:tcPr>
          <w:p w14:paraId="5BC5A9FB" w14:textId="77777777" w:rsidR="00EE21AD" w:rsidRDefault="003D2668"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4916E158" w14:textId="77777777" w:rsidR="00EE21AD" w:rsidRDefault="00EE21AD" w:rsidP="009B6050">
            <w:pPr>
              <w:spacing w:beforeLines="60" w:before="144" w:afterLines="60" w:after="144"/>
              <w:contextualSpacing/>
              <w:jc w:val="center"/>
              <w:rPr>
                <w:rFonts w:ascii="Century Gothic" w:hAnsi="Century Gothic"/>
                <w:lang w:val="es-ES"/>
              </w:rPr>
            </w:pPr>
          </w:p>
        </w:tc>
        <w:tc>
          <w:tcPr>
            <w:tcW w:w="1165" w:type="dxa"/>
            <w:vAlign w:val="center"/>
          </w:tcPr>
          <w:p w14:paraId="0DCFBAAC" w14:textId="77777777" w:rsidR="00EE21AD" w:rsidRDefault="00EE21AD" w:rsidP="009B6050">
            <w:pPr>
              <w:spacing w:beforeLines="60" w:before="144" w:afterLines="60" w:after="144"/>
              <w:contextualSpacing/>
              <w:jc w:val="center"/>
              <w:rPr>
                <w:rFonts w:ascii="Century Gothic" w:hAnsi="Century Gothic"/>
                <w:lang w:val="es-ES"/>
              </w:rPr>
            </w:pPr>
          </w:p>
        </w:tc>
      </w:tr>
      <w:tr w:rsidR="00EE21AD" w14:paraId="345B59B8" w14:textId="77777777" w:rsidTr="00CE63EE">
        <w:trPr>
          <w:cantSplit/>
        </w:trPr>
        <w:tc>
          <w:tcPr>
            <w:tcW w:w="5637" w:type="dxa"/>
          </w:tcPr>
          <w:p w14:paraId="2AA0761E" w14:textId="77777777" w:rsidR="00EE21AD" w:rsidRDefault="00C12C92" w:rsidP="009B6050">
            <w:pPr>
              <w:spacing w:before="300" w:afterLines="300" w:after="720"/>
              <w:contextualSpacing/>
              <w:rPr>
                <w:rFonts w:ascii="Century Gothic" w:hAnsi="Century Gothic"/>
                <w:lang w:val="es-ES"/>
              </w:rPr>
            </w:pPr>
            <w:r w:rsidRPr="00C12C92">
              <w:rPr>
                <w:rFonts w:ascii="Century Gothic" w:hAnsi="Century Gothic"/>
                <w:lang w:val="es-ES"/>
              </w:rPr>
              <w:t>Promover la compra pública innovadora aplicada al sector privado (desde la gran empresa a la PYME)</w:t>
            </w:r>
          </w:p>
        </w:tc>
        <w:tc>
          <w:tcPr>
            <w:tcW w:w="850" w:type="dxa"/>
            <w:vAlign w:val="center"/>
          </w:tcPr>
          <w:p w14:paraId="68E014DE" w14:textId="77777777" w:rsidR="00EE21AD" w:rsidRDefault="00EE21AD" w:rsidP="009B6050">
            <w:pPr>
              <w:spacing w:beforeLines="60" w:before="144" w:afterLines="60" w:after="144"/>
              <w:contextualSpacing/>
              <w:jc w:val="center"/>
              <w:rPr>
                <w:rFonts w:ascii="Century Gothic" w:hAnsi="Century Gothic"/>
                <w:lang w:val="es-ES"/>
              </w:rPr>
            </w:pPr>
          </w:p>
        </w:tc>
        <w:tc>
          <w:tcPr>
            <w:tcW w:w="1559" w:type="dxa"/>
            <w:vAlign w:val="center"/>
          </w:tcPr>
          <w:p w14:paraId="778D7CC9"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09F919B1" w14:textId="77777777" w:rsidR="00EE21AD" w:rsidRDefault="00EE21AD" w:rsidP="009B6050">
            <w:pPr>
              <w:spacing w:beforeLines="60" w:before="144" w:afterLines="60" w:after="144"/>
              <w:contextualSpacing/>
              <w:jc w:val="center"/>
              <w:rPr>
                <w:rFonts w:ascii="Century Gothic" w:hAnsi="Century Gothic"/>
                <w:lang w:val="es-ES"/>
              </w:rPr>
            </w:pPr>
          </w:p>
        </w:tc>
      </w:tr>
      <w:tr w:rsidR="00EE21AD" w14:paraId="40522F93" w14:textId="77777777" w:rsidTr="00CE63EE">
        <w:trPr>
          <w:cantSplit/>
        </w:trPr>
        <w:tc>
          <w:tcPr>
            <w:tcW w:w="5637" w:type="dxa"/>
          </w:tcPr>
          <w:p w14:paraId="2F8DA716" w14:textId="77777777" w:rsidR="00EE21AD" w:rsidRDefault="00C12C92" w:rsidP="009B6050">
            <w:pPr>
              <w:spacing w:before="300" w:afterLines="300" w:after="720"/>
              <w:contextualSpacing/>
              <w:rPr>
                <w:rFonts w:ascii="Century Gothic" w:hAnsi="Century Gothic"/>
                <w:lang w:val="es-ES"/>
              </w:rPr>
            </w:pPr>
            <w:r w:rsidRPr="00C12C92">
              <w:rPr>
                <w:rFonts w:ascii="Century Gothic" w:hAnsi="Century Gothic"/>
                <w:lang w:val="es-ES"/>
              </w:rPr>
              <w:t>Potenciar la colaboración y fusión entre las PYME</w:t>
            </w:r>
          </w:p>
        </w:tc>
        <w:tc>
          <w:tcPr>
            <w:tcW w:w="850" w:type="dxa"/>
            <w:vAlign w:val="center"/>
          </w:tcPr>
          <w:p w14:paraId="684FB628" w14:textId="77777777" w:rsidR="00EE21AD" w:rsidRDefault="00EE21AD" w:rsidP="009B6050">
            <w:pPr>
              <w:spacing w:beforeLines="60" w:before="144" w:afterLines="60" w:after="144"/>
              <w:contextualSpacing/>
              <w:jc w:val="center"/>
              <w:rPr>
                <w:rFonts w:ascii="Century Gothic" w:hAnsi="Century Gothic"/>
                <w:lang w:val="es-ES"/>
              </w:rPr>
            </w:pPr>
          </w:p>
        </w:tc>
        <w:tc>
          <w:tcPr>
            <w:tcW w:w="1559" w:type="dxa"/>
            <w:vAlign w:val="center"/>
          </w:tcPr>
          <w:p w14:paraId="550BFB17"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47AC8409"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EE21AD" w14:paraId="644E425A" w14:textId="77777777" w:rsidTr="00CE63EE">
        <w:trPr>
          <w:cantSplit/>
        </w:trPr>
        <w:tc>
          <w:tcPr>
            <w:tcW w:w="5637" w:type="dxa"/>
          </w:tcPr>
          <w:p w14:paraId="2BF8003B" w14:textId="77777777" w:rsidR="00EE21AD" w:rsidRDefault="00C12C92" w:rsidP="009B6050">
            <w:pPr>
              <w:spacing w:before="300" w:afterLines="300" w:after="720"/>
              <w:contextualSpacing/>
              <w:rPr>
                <w:rFonts w:ascii="Century Gothic" w:hAnsi="Century Gothic"/>
                <w:lang w:val="es-ES"/>
              </w:rPr>
            </w:pPr>
            <w:r w:rsidRPr="00C12C92">
              <w:rPr>
                <w:rFonts w:ascii="Century Gothic" w:hAnsi="Century Gothic"/>
                <w:lang w:val="es-ES"/>
              </w:rPr>
              <w:t>Incentivar el networking entre los empresarios jóvenes y stakeholders</w:t>
            </w:r>
          </w:p>
        </w:tc>
        <w:tc>
          <w:tcPr>
            <w:tcW w:w="850" w:type="dxa"/>
            <w:vAlign w:val="center"/>
          </w:tcPr>
          <w:p w14:paraId="642DAB80" w14:textId="77777777" w:rsidR="00EE21AD" w:rsidRDefault="00EE21AD" w:rsidP="009B6050">
            <w:pPr>
              <w:spacing w:beforeLines="60" w:before="144" w:afterLines="60" w:after="144"/>
              <w:contextualSpacing/>
              <w:jc w:val="center"/>
              <w:rPr>
                <w:rFonts w:ascii="Century Gothic" w:hAnsi="Century Gothic"/>
                <w:lang w:val="es-ES"/>
              </w:rPr>
            </w:pPr>
          </w:p>
        </w:tc>
        <w:tc>
          <w:tcPr>
            <w:tcW w:w="1559" w:type="dxa"/>
            <w:vAlign w:val="center"/>
          </w:tcPr>
          <w:p w14:paraId="4719460F"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2FA19141"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EE21AD" w14:paraId="43BF3317" w14:textId="77777777" w:rsidTr="00CE63EE">
        <w:trPr>
          <w:cantSplit/>
        </w:trPr>
        <w:tc>
          <w:tcPr>
            <w:tcW w:w="5637" w:type="dxa"/>
          </w:tcPr>
          <w:p w14:paraId="29546B6F" w14:textId="77777777" w:rsidR="00EE21AD" w:rsidRDefault="00C12C92" w:rsidP="009B6050">
            <w:pPr>
              <w:spacing w:before="300" w:afterLines="300" w:after="720"/>
              <w:contextualSpacing/>
              <w:rPr>
                <w:rFonts w:ascii="Century Gothic" w:hAnsi="Century Gothic"/>
                <w:lang w:val="es-ES"/>
              </w:rPr>
            </w:pPr>
            <w:r w:rsidRPr="00C12C92">
              <w:rPr>
                <w:rFonts w:ascii="Century Gothic" w:hAnsi="Century Gothic"/>
                <w:lang w:val="es-ES"/>
              </w:rPr>
              <w:t>Incentivar la creación y desarrollo de cluster empresariales</w:t>
            </w:r>
          </w:p>
        </w:tc>
        <w:tc>
          <w:tcPr>
            <w:tcW w:w="850" w:type="dxa"/>
            <w:vAlign w:val="center"/>
          </w:tcPr>
          <w:p w14:paraId="26AA5B04" w14:textId="77777777" w:rsidR="00EE21AD" w:rsidRDefault="00EE21AD" w:rsidP="009B6050">
            <w:pPr>
              <w:spacing w:beforeLines="60" w:before="144" w:afterLines="60" w:after="144"/>
              <w:contextualSpacing/>
              <w:jc w:val="center"/>
              <w:rPr>
                <w:rFonts w:ascii="Century Gothic" w:hAnsi="Century Gothic"/>
                <w:lang w:val="es-ES"/>
              </w:rPr>
            </w:pPr>
          </w:p>
        </w:tc>
        <w:tc>
          <w:tcPr>
            <w:tcW w:w="1559" w:type="dxa"/>
            <w:vAlign w:val="center"/>
          </w:tcPr>
          <w:p w14:paraId="70726C30" w14:textId="77777777" w:rsidR="00EE21AD" w:rsidRDefault="00EE21AD" w:rsidP="009B6050">
            <w:pPr>
              <w:spacing w:beforeLines="60" w:before="144" w:afterLines="60" w:after="144"/>
              <w:contextualSpacing/>
              <w:jc w:val="center"/>
              <w:rPr>
                <w:rFonts w:ascii="Century Gothic" w:hAnsi="Century Gothic"/>
                <w:lang w:val="es-ES"/>
              </w:rPr>
            </w:pPr>
          </w:p>
        </w:tc>
        <w:tc>
          <w:tcPr>
            <w:tcW w:w="1165" w:type="dxa"/>
            <w:vAlign w:val="center"/>
          </w:tcPr>
          <w:p w14:paraId="70AD4F11"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EE21AD" w14:paraId="6200D884" w14:textId="77777777" w:rsidTr="00CE63EE">
        <w:trPr>
          <w:cantSplit/>
        </w:trPr>
        <w:tc>
          <w:tcPr>
            <w:tcW w:w="5637" w:type="dxa"/>
          </w:tcPr>
          <w:p w14:paraId="1917D332" w14:textId="77777777" w:rsidR="00EE21AD" w:rsidRDefault="00C12C92" w:rsidP="009B6050">
            <w:pPr>
              <w:spacing w:before="300" w:afterLines="300" w:after="720"/>
              <w:contextualSpacing/>
              <w:rPr>
                <w:rFonts w:ascii="Century Gothic" w:hAnsi="Century Gothic"/>
                <w:lang w:val="es-ES"/>
              </w:rPr>
            </w:pPr>
            <w:r w:rsidRPr="00C12C92">
              <w:rPr>
                <w:rFonts w:ascii="Century Gothic" w:hAnsi="Century Gothic"/>
                <w:lang w:val="es-ES"/>
              </w:rPr>
              <w:t>Fomentar la formación de equipos mixtos de emprendedores</w:t>
            </w:r>
            <w:r w:rsidR="00012005">
              <w:rPr>
                <w:rFonts w:ascii="Century Gothic" w:hAnsi="Century Gothic"/>
                <w:lang w:val="es-ES"/>
              </w:rPr>
              <w:t xml:space="preserve"> con diferentes perfiles (gestores, científicos, etc.).</w:t>
            </w:r>
          </w:p>
        </w:tc>
        <w:tc>
          <w:tcPr>
            <w:tcW w:w="850" w:type="dxa"/>
            <w:vAlign w:val="center"/>
          </w:tcPr>
          <w:p w14:paraId="420DF6D6" w14:textId="77777777" w:rsidR="00EE21AD" w:rsidRDefault="00EE21AD" w:rsidP="009B6050">
            <w:pPr>
              <w:spacing w:beforeLines="60" w:before="144" w:afterLines="60" w:after="144"/>
              <w:contextualSpacing/>
              <w:jc w:val="center"/>
              <w:rPr>
                <w:rFonts w:ascii="Century Gothic" w:hAnsi="Century Gothic"/>
                <w:lang w:val="es-ES"/>
              </w:rPr>
            </w:pPr>
          </w:p>
        </w:tc>
        <w:tc>
          <w:tcPr>
            <w:tcW w:w="1559" w:type="dxa"/>
            <w:vAlign w:val="center"/>
          </w:tcPr>
          <w:p w14:paraId="2CC34922"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5AD96B93"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EE21AD" w14:paraId="2ECC2417" w14:textId="77777777" w:rsidTr="00CE63EE">
        <w:trPr>
          <w:cantSplit/>
        </w:trPr>
        <w:tc>
          <w:tcPr>
            <w:tcW w:w="5637" w:type="dxa"/>
          </w:tcPr>
          <w:p w14:paraId="557F324B" w14:textId="77777777" w:rsidR="00EE21AD" w:rsidRDefault="00457177" w:rsidP="009B6050">
            <w:pPr>
              <w:spacing w:before="300" w:afterLines="300" w:after="720"/>
              <w:contextualSpacing/>
              <w:rPr>
                <w:rFonts w:ascii="Century Gothic" w:hAnsi="Century Gothic"/>
                <w:lang w:val="es-ES"/>
              </w:rPr>
            </w:pPr>
            <w:r w:rsidRPr="00457177">
              <w:rPr>
                <w:rFonts w:ascii="Century Gothic" w:hAnsi="Century Gothic"/>
                <w:lang w:val="es-ES"/>
              </w:rPr>
              <w:t>Potenciar la financiación no bancaria (financiación alternativa)</w:t>
            </w:r>
          </w:p>
        </w:tc>
        <w:tc>
          <w:tcPr>
            <w:tcW w:w="850" w:type="dxa"/>
            <w:vAlign w:val="center"/>
          </w:tcPr>
          <w:p w14:paraId="0BB94822"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5E10EE82"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4A9AC6DF"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EE21AD" w14:paraId="5939A441" w14:textId="77777777" w:rsidTr="00CE63EE">
        <w:trPr>
          <w:cantSplit/>
        </w:trPr>
        <w:tc>
          <w:tcPr>
            <w:tcW w:w="5637" w:type="dxa"/>
          </w:tcPr>
          <w:p w14:paraId="68916058" w14:textId="77777777" w:rsidR="00EE21AD" w:rsidRDefault="00457177" w:rsidP="009B6050">
            <w:pPr>
              <w:spacing w:before="300" w:afterLines="300" w:after="720"/>
              <w:contextualSpacing/>
              <w:rPr>
                <w:rFonts w:ascii="Century Gothic" w:hAnsi="Century Gothic"/>
                <w:lang w:val="es-ES"/>
              </w:rPr>
            </w:pPr>
            <w:r w:rsidRPr="00457177">
              <w:rPr>
                <w:rFonts w:ascii="Century Gothic" w:hAnsi="Century Gothic"/>
                <w:lang w:val="es-ES"/>
              </w:rPr>
              <w:t>Incentivar el crédito comercial entre empresas (estancado desde la crisis)</w:t>
            </w:r>
          </w:p>
        </w:tc>
        <w:tc>
          <w:tcPr>
            <w:tcW w:w="850" w:type="dxa"/>
            <w:vAlign w:val="center"/>
          </w:tcPr>
          <w:p w14:paraId="2C29EF94" w14:textId="77777777" w:rsidR="00EE21AD" w:rsidRDefault="00EE21AD" w:rsidP="009B6050">
            <w:pPr>
              <w:spacing w:beforeLines="60" w:before="144" w:afterLines="60" w:after="144"/>
              <w:contextualSpacing/>
              <w:jc w:val="center"/>
              <w:rPr>
                <w:rFonts w:ascii="Century Gothic" w:hAnsi="Century Gothic"/>
                <w:lang w:val="es-ES"/>
              </w:rPr>
            </w:pPr>
          </w:p>
        </w:tc>
        <w:tc>
          <w:tcPr>
            <w:tcW w:w="1559" w:type="dxa"/>
            <w:vAlign w:val="center"/>
          </w:tcPr>
          <w:p w14:paraId="5FD8D1E9" w14:textId="77777777" w:rsidR="00EE21AD" w:rsidRDefault="005703D7"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1BF9CCFC" w14:textId="77777777" w:rsidR="00EE21AD" w:rsidRDefault="00EE21AD" w:rsidP="009B6050">
            <w:pPr>
              <w:spacing w:beforeLines="60" w:before="144" w:afterLines="60" w:after="144"/>
              <w:contextualSpacing/>
              <w:jc w:val="center"/>
              <w:rPr>
                <w:rFonts w:ascii="Century Gothic" w:hAnsi="Century Gothic"/>
                <w:lang w:val="es-ES"/>
              </w:rPr>
            </w:pPr>
          </w:p>
        </w:tc>
      </w:tr>
      <w:tr w:rsidR="00EE21AD" w14:paraId="3F95961E" w14:textId="77777777" w:rsidTr="00CE63EE">
        <w:trPr>
          <w:cantSplit/>
        </w:trPr>
        <w:tc>
          <w:tcPr>
            <w:tcW w:w="5637" w:type="dxa"/>
          </w:tcPr>
          <w:p w14:paraId="135F411C" w14:textId="77777777" w:rsidR="00EE21AD" w:rsidRDefault="00457177" w:rsidP="009B6050">
            <w:pPr>
              <w:spacing w:before="300" w:afterLines="300" w:after="720"/>
              <w:contextualSpacing/>
              <w:rPr>
                <w:rFonts w:ascii="Century Gothic" w:hAnsi="Century Gothic"/>
                <w:lang w:val="es-ES"/>
              </w:rPr>
            </w:pPr>
            <w:r w:rsidRPr="00457177">
              <w:rPr>
                <w:rFonts w:ascii="Century Gothic" w:hAnsi="Century Gothic"/>
                <w:lang w:val="es-ES"/>
              </w:rPr>
              <w:t>Desarrollar una “política de pagos adelantados” a las PYME</w:t>
            </w:r>
          </w:p>
        </w:tc>
        <w:tc>
          <w:tcPr>
            <w:tcW w:w="850" w:type="dxa"/>
            <w:vAlign w:val="center"/>
          </w:tcPr>
          <w:p w14:paraId="48518D70" w14:textId="77777777" w:rsidR="00EE21AD" w:rsidRDefault="00EE21AD" w:rsidP="009B6050">
            <w:pPr>
              <w:spacing w:beforeLines="60" w:before="144" w:afterLines="60" w:after="144"/>
              <w:contextualSpacing/>
              <w:jc w:val="center"/>
              <w:rPr>
                <w:rFonts w:ascii="Century Gothic" w:hAnsi="Century Gothic"/>
                <w:lang w:val="es-ES"/>
              </w:rPr>
            </w:pPr>
          </w:p>
        </w:tc>
        <w:tc>
          <w:tcPr>
            <w:tcW w:w="1559" w:type="dxa"/>
            <w:vAlign w:val="center"/>
          </w:tcPr>
          <w:p w14:paraId="7BABD95A" w14:textId="77777777" w:rsidR="00EE21AD" w:rsidRDefault="00EE21AD" w:rsidP="009B6050">
            <w:pPr>
              <w:spacing w:beforeLines="60" w:before="144" w:afterLines="60" w:after="144"/>
              <w:contextualSpacing/>
              <w:jc w:val="center"/>
              <w:rPr>
                <w:rFonts w:ascii="Century Gothic" w:hAnsi="Century Gothic"/>
                <w:lang w:val="es-ES"/>
              </w:rPr>
            </w:pPr>
          </w:p>
        </w:tc>
        <w:tc>
          <w:tcPr>
            <w:tcW w:w="1165" w:type="dxa"/>
            <w:vAlign w:val="center"/>
          </w:tcPr>
          <w:p w14:paraId="0ABE3F78"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EE21AD" w14:paraId="31E7849E" w14:textId="77777777" w:rsidTr="00CE63EE">
        <w:trPr>
          <w:cantSplit/>
        </w:trPr>
        <w:tc>
          <w:tcPr>
            <w:tcW w:w="5637" w:type="dxa"/>
          </w:tcPr>
          <w:p w14:paraId="68ACC73A" w14:textId="77777777" w:rsidR="00EE21AD" w:rsidRDefault="00457177" w:rsidP="009B6050">
            <w:pPr>
              <w:spacing w:before="300" w:afterLines="300" w:after="720"/>
              <w:contextualSpacing/>
              <w:rPr>
                <w:rFonts w:ascii="Century Gothic" w:hAnsi="Century Gothic"/>
                <w:lang w:val="es-ES"/>
              </w:rPr>
            </w:pPr>
            <w:r w:rsidRPr="00457177">
              <w:rPr>
                <w:rFonts w:ascii="Century Gothic" w:hAnsi="Century Gothic"/>
                <w:lang w:val="es-ES"/>
              </w:rPr>
              <w:t>Mejorar la regulación del IVA (tanto para la devolución del IVA por parte de las Administraciones a las PYME y el IVA para exportadores)</w:t>
            </w:r>
          </w:p>
        </w:tc>
        <w:tc>
          <w:tcPr>
            <w:tcW w:w="850" w:type="dxa"/>
            <w:vAlign w:val="center"/>
          </w:tcPr>
          <w:p w14:paraId="4763DD1A"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5D2610E6"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18633B52" w14:textId="77777777" w:rsidR="00EE21AD" w:rsidRDefault="00EE21AD" w:rsidP="009B6050">
            <w:pPr>
              <w:spacing w:beforeLines="60" w:before="144" w:afterLines="60" w:after="144"/>
              <w:contextualSpacing/>
              <w:jc w:val="center"/>
              <w:rPr>
                <w:rFonts w:ascii="Century Gothic" w:hAnsi="Century Gothic"/>
                <w:lang w:val="es-ES"/>
              </w:rPr>
            </w:pPr>
          </w:p>
        </w:tc>
      </w:tr>
      <w:tr w:rsidR="00EE21AD" w14:paraId="482AF06C" w14:textId="77777777" w:rsidTr="00CE63EE">
        <w:trPr>
          <w:cantSplit/>
        </w:trPr>
        <w:tc>
          <w:tcPr>
            <w:tcW w:w="5637" w:type="dxa"/>
          </w:tcPr>
          <w:p w14:paraId="19D77459" w14:textId="77777777" w:rsidR="00EE21AD" w:rsidRDefault="00457177" w:rsidP="009B6050">
            <w:pPr>
              <w:spacing w:before="300" w:afterLines="300" w:after="720"/>
              <w:contextualSpacing/>
              <w:rPr>
                <w:rFonts w:ascii="Century Gothic" w:hAnsi="Century Gothic"/>
                <w:lang w:val="es-ES"/>
              </w:rPr>
            </w:pPr>
            <w:r w:rsidRPr="00457177">
              <w:rPr>
                <w:rFonts w:ascii="Century Gothic" w:hAnsi="Century Gothic"/>
                <w:lang w:val="es-ES"/>
              </w:rPr>
              <w:t>Generar incentivos fiscales para aquellos inversores que estén dispuestos a financiar a las PYME (modelo de Reino Unido)</w:t>
            </w:r>
          </w:p>
        </w:tc>
        <w:tc>
          <w:tcPr>
            <w:tcW w:w="850" w:type="dxa"/>
            <w:vAlign w:val="center"/>
          </w:tcPr>
          <w:p w14:paraId="799730BA" w14:textId="77777777" w:rsidR="00EE21AD" w:rsidRDefault="00EE21AD" w:rsidP="009B6050">
            <w:pPr>
              <w:spacing w:beforeLines="60" w:before="144" w:afterLines="60" w:after="144"/>
              <w:contextualSpacing/>
              <w:jc w:val="center"/>
              <w:rPr>
                <w:rFonts w:ascii="Century Gothic" w:hAnsi="Century Gothic"/>
                <w:lang w:val="es-ES"/>
              </w:rPr>
            </w:pPr>
          </w:p>
        </w:tc>
        <w:tc>
          <w:tcPr>
            <w:tcW w:w="1559" w:type="dxa"/>
            <w:vAlign w:val="center"/>
          </w:tcPr>
          <w:p w14:paraId="38354AD4" w14:textId="77777777" w:rsidR="00EE21AD" w:rsidRDefault="00EE21AD" w:rsidP="009B6050">
            <w:pPr>
              <w:spacing w:beforeLines="60" w:before="144" w:afterLines="60" w:after="144"/>
              <w:contextualSpacing/>
              <w:jc w:val="center"/>
              <w:rPr>
                <w:rFonts w:ascii="Century Gothic" w:hAnsi="Century Gothic"/>
                <w:lang w:val="es-ES"/>
              </w:rPr>
            </w:pPr>
          </w:p>
        </w:tc>
        <w:tc>
          <w:tcPr>
            <w:tcW w:w="1165" w:type="dxa"/>
            <w:vAlign w:val="center"/>
          </w:tcPr>
          <w:p w14:paraId="6F847936"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EE21AD" w14:paraId="23F7FDE1" w14:textId="77777777" w:rsidTr="00CE63EE">
        <w:trPr>
          <w:cantSplit/>
        </w:trPr>
        <w:tc>
          <w:tcPr>
            <w:tcW w:w="5637" w:type="dxa"/>
          </w:tcPr>
          <w:p w14:paraId="325636FA" w14:textId="77777777" w:rsidR="00EE21AD" w:rsidRDefault="00457177" w:rsidP="009B6050">
            <w:pPr>
              <w:spacing w:before="300" w:afterLines="300" w:after="720"/>
              <w:contextualSpacing/>
              <w:rPr>
                <w:rFonts w:ascii="Century Gothic" w:hAnsi="Century Gothic"/>
                <w:lang w:val="es-ES"/>
              </w:rPr>
            </w:pPr>
            <w:r w:rsidRPr="00457177">
              <w:rPr>
                <w:rFonts w:ascii="Century Gothic" w:hAnsi="Century Gothic"/>
                <w:lang w:val="es-ES"/>
              </w:rPr>
              <w:t>Crear un “portal único” donde aparezcan todas las ayudas a la creación y desarrollo para las PYME</w:t>
            </w:r>
          </w:p>
        </w:tc>
        <w:tc>
          <w:tcPr>
            <w:tcW w:w="850" w:type="dxa"/>
            <w:vAlign w:val="center"/>
          </w:tcPr>
          <w:p w14:paraId="3087E332"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6823CEDA" w14:textId="77777777" w:rsidR="00EE21AD" w:rsidRDefault="00EE21AD" w:rsidP="009B6050">
            <w:pPr>
              <w:spacing w:beforeLines="60" w:before="144" w:afterLines="60" w:after="144"/>
              <w:contextualSpacing/>
              <w:jc w:val="center"/>
              <w:rPr>
                <w:rFonts w:ascii="Century Gothic" w:hAnsi="Century Gothic"/>
                <w:lang w:val="es-ES"/>
              </w:rPr>
            </w:pPr>
          </w:p>
        </w:tc>
        <w:tc>
          <w:tcPr>
            <w:tcW w:w="1165" w:type="dxa"/>
            <w:vAlign w:val="center"/>
          </w:tcPr>
          <w:p w14:paraId="40C36B4B"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EE21AD" w14:paraId="736B677A" w14:textId="77777777" w:rsidTr="00CE63EE">
        <w:trPr>
          <w:cantSplit/>
        </w:trPr>
        <w:tc>
          <w:tcPr>
            <w:tcW w:w="5637" w:type="dxa"/>
          </w:tcPr>
          <w:p w14:paraId="7BD36E36" w14:textId="77777777" w:rsidR="00EE21AD" w:rsidRDefault="005571B9" w:rsidP="009B6050">
            <w:pPr>
              <w:spacing w:before="300" w:afterLines="300" w:after="720"/>
              <w:contextualSpacing/>
              <w:rPr>
                <w:rFonts w:ascii="Century Gothic" w:hAnsi="Century Gothic"/>
                <w:lang w:val="es-ES"/>
              </w:rPr>
            </w:pPr>
            <w:r w:rsidRPr="005571B9">
              <w:rPr>
                <w:rFonts w:ascii="Century Gothic" w:hAnsi="Century Gothic"/>
                <w:lang w:val="es-ES"/>
              </w:rPr>
              <w:t>Fomentar contratación pública de la PYME por parte de la Administración</w:t>
            </w:r>
            <w:r>
              <w:rPr>
                <w:rFonts w:ascii="Century Gothic" w:hAnsi="Century Gothic"/>
                <w:lang w:val="es-ES"/>
              </w:rPr>
              <w:t>.</w:t>
            </w:r>
          </w:p>
        </w:tc>
        <w:tc>
          <w:tcPr>
            <w:tcW w:w="850" w:type="dxa"/>
            <w:vAlign w:val="center"/>
          </w:tcPr>
          <w:p w14:paraId="793806C6"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7568CF31" w14:textId="77777777" w:rsidR="00EE21AD" w:rsidRDefault="00EE21AD" w:rsidP="009B6050">
            <w:pPr>
              <w:spacing w:beforeLines="60" w:before="144" w:afterLines="60" w:after="144"/>
              <w:contextualSpacing/>
              <w:jc w:val="center"/>
              <w:rPr>
                <w:rFonts w:ascii="Century Gothic" w:hAnsi="Century Gothic"/>
                <w:lang w:val="es-ES"/>
              </w:rPr>
            </w:pPr>
          </w:p>
        </w:tc>
        <w:tc>
          <w:tcPr>
            <w:tcW w:w="1165" w:type="dxa"/>
            <w:vAlign w:val="center"/>
          </w:tcPr>
          <w:p w14:paraId="50E16EFB" w14:textId="77777777" w:rsidR="00EE21AD" w:rsidRDefault="00EE21AD" w:rsidP="009B6050">
            <w:pPr>
              <w:spacing w:beforeLines="60" w:before="144" w:afterLines="60" w:after="144"/>
              <w:contextualSpacing/>
              <w:jc w:val="center"/>
              <w:rPr>
                <w:rFonts w:ascii="Century Gothic" w:hAnsi="Century Gothic"/>
                <w:lang w:val="es-ES"/>
              </w:rPr>
            </w:pPr>
          </w:p>
        </w:tc>
      </w:tr>
      <w:tr w:rsidR="00EE21AD" w14:paraId="3CAB5E60" w14:textId="77777777" w:rsidTr="00CE63EE">
        <w:trPr>
          <w:cantSplit/>
        </w:trPr>
        <w:tc>
          <w:tcPr>
            <w:tcW w:w="5637" w:type="dxa"/>
          </w:tcPr>
          <w:p w14:paraId="7A6D9A6B" w14:textId="77777777" w:rsidR="00EE21AD" w:rsidRDefault="005571B9" w:rsidP="009B6050">
            <w:pPr>
              <w:spacing w:before="300" w:afterLines="300" w:after="720"/>
              <w:contextualSpacing/>
              <w:rPr>
                <w:rFonts w:ascii="Century Gothic" w:hAnsi="Century Gothic"/>
                <w:lang w:val="es-ES"/>
              </w:rPr>
            </w:pPr>
            <w:r w:rsidRPr="005571B9">
              <w:rPr>
                <w:rFonts w:ascii="Century Gothic" w:hAnsi="Century Gothic"/>
                <w:lang w:val="es-ES"/>
              </w:rPr>
              <w:t>Desarrollar una “herramienta digital interoperable” que permita conectar a la PYME con la Administración</w:t>
            </w:r>
          </w:p>
        </w:tc>
        <w:tc>
          <w:tcPr>
            <w:tcW w:w="850" w:type="dxa"/>
            <w:vAlign w:val="center"/>
          </w:tcPr>
          <w:p w14:paraId="59C9F8AD"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3455DDCA" w14:textId="77777777" w:rsidR="00EE21AD"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5D2A5929" w14:textId="77777777" w:rsidR="00EE21AD" w:rsidRDefault="00EE21AD" w:rsidP="009B6050">
            <w:pPr>
              <w:spacing w:beforeLines="60" w:before="144" w:afterLines="60" w:after="144"/>
              <w:contextualSpacing/>
              <w:jc w:val="center"/>
              <w:rPr>
                <w:rFonts w:ascii="Century Gothic" w:hAnsi="Century Gothic"/>
                <w:lang w:val="es-ES"/>
              </w:rPr>
            </w:pPr>
          </w:p>
        </w:tc>
      </w:tr>
      <w:tr w:rsidR="005571B9" w14:paraId="27F7A6C5" w14:textId="77777777" w:rsidTr="00CE63EE">
        <w:trPr>
          <w:cantSplit/>
        </w:trPr>
        <w:tc>
          <w:tcPr>
            <w:tcW w:w="5637" w:type="dxa"/>
          </w:tcPr>
          <w:p w14:paraId="1550529B" w14:textId="77777777" w:rsidR="005571B9" w:rsidRPr="005571B9" w:rsidRDefault="005571B9" w:rsidP="009B6050">
            <w:pPr>
              <w:spacing w:before="300" w:afterLines="300" w:after="720"/>
              <w:contextualSpacing/>
              <w:rPr>
                <w:rFonts w:ascii="Century Gothic" w:hAnsi="Century Gothic"/>
                <w:lang w:val="es-ES"/>
              </w:rPr>
            </w:pPr>
            <w:r w:rsidRPr="005571B9">
              <w:rPr>
                <w:rFonts w:ascii="Century Gothic" w:hAnsi="Century Gothic"/>
                <w:lang w:val="es-ES"/>
              </w:rPr>
              <w:t>Mejorar del funcionamiento del “certificado digital”</w:t>
            </w:r>
          </w:p>
        </w:tc>
        <w:tc>
          <w:tcPr>
            <w:tcW w:w="850" w:type="dxa"/>
            <w:vAlign w:val="center"/>
          </w:tcPr>
          <w:p w14:paraId="457DD3F5"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07393B12" w14:textId="77777777" w:rsidR="005571B9" w:rsidRDefault="005571B9" w:rsidP="009B6050">
            <w:pPr>
              <w:spacing w:beforeLines="60" w:before="144" w:afterLines="60" w:after="144"/>
              <w:contextualSpacing/>
              <w:jc w:val="center"/>
              <w:rPr>
                <w:rFonts w:ascii="Century Gothic" w:hAnsi="Century Gothic"/>
                <w:lang w:val="es-ES"/>
              </w:rPr>
            </w:pPr>
          </w:p>
        </w:tc>
        <w:tc>
          <w:tcPr>
            <w:tcW w:w="1165" w:type="dxa"/>
            <w:vAlign w:val="center"/>
          </w:tcPr>
          <w:p w14:paraId="399BC595"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397F75D2" w14:textId="77777777" w:rsidTr="00CE63EE">
        <w:trPr>
          <w:cantSplit/>
        </w:trPr>
        <w:tc>
          <w:tcPr>
            <w:tcW w:w="5637" w:type="dxa"/>
          </w:tcPr>
          <w:p w14:paraId="62C58B89" w14:textId="77777777" w:rsidR="005571B9" w:rsidRPr="005571B9" w:rsidRDefault="005571B9" w:rsidP="009B6050">
            <w:pPr>
              <w:spacing w:before="300" w:afterLines="300" w:after="720"/>
              <w:contextualSpacing/>
              <w:rPr>
                <w:rFonts w:ascii="Century Gothic" w:hAnsi="Century Gothic"/>
                <w:lang w:val="es-ES"/>
              </w:rPr>
            </w:pPr>
            <w:r w:rsidRPr="005571B9">
              <w:rPr>
                <w:rFonts w:ascii="Century Gothic" w:hAnsi="Century Gothic"/>
                <w:lang w:val="es-ES"/>
              </w:rPr>
              <w:t>Aprovechar las oportunidades que brinda la Industria 4.0</w:t>
            </w:r>
          </w:p>
        </w:tc>
        <w:tc>
          <w:tcPr>
            <w:tcW w:w="850" w:type="dxa"/>
            <w:vAlign w:val="center"/>
          </w:tcPr>
          <w:p w14:paraId="4F86FAE8"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085484F4"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2D7D42FC"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5571B9" w14:paraId="20FCB993" w14:textId="77777777" w:rsidTr="00CE63EE">
        <w:trPr>
          <w:cantSplit/>
        </w:trPr>
        <w:tc>
          <w:tcPr>
            <w:tcW w:w="5637" w:type="dxa"/>
          </w:tcPr>
          <w:p w14:paraId="69D7BC93" w14:textId="77777777" w:rsidR="005571B9" w:rsidRPr="005571B9" w:rsidRDefault="005571B9" w:rsidP="009B6050">
            <w:pPr>
              <w:spacing w:before="300" w:afterLines="300" w:after="720"/>
              <w:contextualSpacing/>
              <w:rPr>
                <w:rFonts w:ascii="Century Gothic" w:hAnsi="Century Gothic"/>
                <w:lang w:val="es-ES"/>
              </w:rPr>
            </w:pPr>
            <w:r w:rsidRPr="005571B9">
              <w:rPr>
                <w:rFonts w:ascii="Century Gothic" w:hAnsi="Century Gothic"/>
                <w:lang w:val="es-ES"/>
              </w:rPr>
              <w:t>Implementar la “transformación Digital” como elemento clave en el ciclo de vida de las PYME</w:t>
            </w:r>
          </w:p>
        </w:tc>
        <w:tc>
          <w:tcPr>
            <w:tcW w:w="850" w:type="dxa"/>
            <w:vAlign w:val="center"/>
          </w:tcPr>
          <w:p w14:paraId="146A3197"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48FD2DB2"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33CED637"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1C9798B1" w14:textId="77777777" w:rsidTr="00CE63EE">
        <w:trPr>
          <w:cantSplit/>
        </w:trPr>
        <w:tc>
          <w:tcPr>
            <w:tcW w:w="5637" w:type="dxa"/>
          </w:tcPr>
          <w:p w14:paraId="1A67FBB8" w14:textId="77777777" w:rsidR="005571B9" w:rsidRPr="005571B9" w:rsidRDefault="005571B9" w:rsidP="009B6050">
            <w:pPr>
              <w:spacing w:before="300" w:afterLines="300" w:after="720"/>
              <w:contextualSpacing/>
              <w:rPr>
                <w:rFonts w:ascii="Century Gothic" w:hAnsi="Century Gothic"/>
                <w:lang w:val="es-ES"/>
              </w:rPr>
            </w:pPr>
            <w:r w:rsidRPr="005571B9">
              <w:rPr>
                <w:rFonts w:ascii="Century Gothic" w:hAnsi="Century Gothic"/>
                <w:lang w:val="es-ES"/>
              </w:rPr>
              <w:t>Fomentar la “diplomacia económica” involucrando al perfil del embajador como palanca</w:t>
            </w:r>
          </w:p>
        </w:tc>
        <w:tc>
          <w:tcPr>
            <w:tcW w:w="850" w:type="dxa"/>
            <w:vAlign w:val="center"/>
          </w:tcPr>
          <w:p w14:paraId="223087FB"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3ADD5C42"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59293308"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29A5AA8C" w14:textId="77777777" w:rsidTr="00CE63EE">
        <w:trPr>
          <w:cantSplit/>
        </w:trPr>
        <w:tc>
          <w:tcPr>
            <w:tcW w:w="5637" w:type="dxa"/>
          </w:tcPr>
          <w:p w14:paraId="7EC98F85" w14:textId="77777777" w:rsidR="005571B9" w:rsidRPr="005571B9" w:rsidRDefault="005571B9" w:rsidP="009B6050">
            <w:pPr>
              <w:spacing w:before="300" w:afterLines="300" w:after="720"/>
              <w:contextualSpacing/>
              <w:rPr>
                <w:rFonts w:ascii="Century Gothic" w:hAnsi="Century Gothic"/>
                <w:lang w:val="es-ES"/>
              </w:rPr>
            </w:pPr>
            <w:r w:rsidRPr="005571B9">
              <w:rPr>
                <w:rFonts w:ascii="Century Gothic" w:hAnsi="Century Gothic"/>
                <w:lang w:val="es-ES"/>
              </w:rPr>
              <w:t>Facilitar la captación de inversión extranjera y el desarrollo de programas de ayuda a la exportación</w:t>
            </w:r>
          </w:p>
        </w:tc>
        <w:tc>
          <w:tcPr>
            <w:tcW w:w="850" w:type="dxa"/>
            <w:vAlign w:val="center"/>
          </w:tcPr>
          <w:p w14:paraId="1593DDA0"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64AA03C9" w14:textId="77777777" w:rsidR="005571B9" w:rsidRDefault="005571B9" w:rsidP="009B6050">
            <w:pPr>
              <w:spacing w:beforeLines="60" w:before="144" w:afterLines="60" w:after="144"/>
              <w:contextualSpacing/>
              <w:jc w:val="center"/>
              <w:rPr>
                <w:rFonts w:ascii="Century Gothic" w:hAnsi="Century Gothic"/>
                <w:lang w:val="es-ES"/>
              </w:rPr>
            </w:pPr>
          </w:p>
        </w:tc>
        <w:tc>
          <w:tcPr>
            <w:tcW w:w="1165" w:type="dxa"/>
            <w:vAlign w:val="center"/>
          </w:tcPr>
          <w:p w14:paraId="69602CDB"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5571B9" w14:paraId="20C1D082" w14:textId="77777777" w:rsidTr="00CE63EE">
        <w:trPr>
          <w:cantSplit/>
        </w:trPr>
        <w:tc>
          <w:tcPr>
            <w:tcW w:w="5637" w:type="dxa"/>
          </w:tcPr>
          <w:p w14:paraId="538C804B"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Mejorar la imagen que tiene la sociedad del empresario</w:t>
            </w:r>
          </w:p>
        </w:tc>
        <w:tc>
          <w:tcPr>
            <w:tcW w:w="850" w:type="dxa"/>
            <w:vAlign w:val="center"/>
          </w:tcPr>
          <w:p w14:paraId="5022A95E"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5CC8591B"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0D0F5879"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5571B9" w14:paraId="6C775FEE" w14:textId="77777777" w:rsidTr="00CE63EE">
        <w:trPr>
          <w:cantSplit/>
        </w:trPr>
        <w:tc>
          <w:tcPr>
            <w:tcW w:w="5637" w:type="dxa"/>
          </w:tcPr>
          <w:p w14:paraId="4668C7B2"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Solucionar el conflicto generacional en las PYME</w:t>
            </w:r>
          </w:p>
        </w:tc>
        <w:tc>
          <w:tcPr>
            <w:tcW w:w="850" w:type="dxa"/>
            <w:vAlign w:val="center"/>
          </w:tcPr>
          <w:p w14:paraId="3CC1C18B"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702ACF14"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35572D73"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62DACC05" w14:textId="77777777" w:rsidTr="00CE63EE">
        <w:trPr>
          <w:cantSplit/>
        </w:trPr>
        <w:tc>
          <w:tcPr>
            <w:tcW w:w="5637" w:type="dxa"/>
          </w:tcPr>
          <w:p w14:paraId="3AA80E6B"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Dicotomizar el pensamiento sobre el emprendimiento</w:t>
            </w:r>
          </w:p>
        </w:tc>
        <w:tc>
          <w:tcPr>
            <w:tcW w:w="850" w:type="dxa"/>
            <w:vAlign w:val="center"/>
          </w:tcPr>
          <w:p w14:paraId="5C3DFA82"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50C02CAF"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777F1F25"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61661DD0" w14:textId="77777777" w:rsidTr="00CE63EE">
        <w:trPr>
          <w:cantSplit/>
        </w:trPr>
        <w:tc>
          <w:tcPr>
            <w:tcW w:w="5637" w:type="dxa"/>
          </w:tcPr>
          <w:p w14:paraId="7ED1C623"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Identificar ventajas competitivas de las que disponga el país, e incentivar la creación de PYME en dichos sectores</w:t>
            </w:r>
          </w:p>
        </w:tc>
        <w:tc>
          <w:tcPr>
            <w:tcW w:w="850" w:type="dxa"/>
            <w:vAlign w:val="center"/>
          </w:tcPr>
          <w:p w14:paraId="50AB2340"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507435E0"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1543B43C"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799ADA24" w14:textId="77777777" w:rsidTr="00CE63EE">
        <w:trPr>
          <w:cantSplit/>
        </w:trPr>
        <w:tc>
          <w:tcPr>
            <w:tcW w:w="5637" w:type="dxa"/>
          </w:tcPr>
          <w:p w14:paraId="2592A15C"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Desarrollar una agencia de asesoramiento para las PYME sobre nichos / oportunidades de mercado detectados desde la Administración</w:t>
            </w:r>
          </w:p>
        </w:tc>
        <w:tc>
          <w:tcPr>
            <w:tcW w:w="850" w:type="dxa"/>
            <w:vAlign w:val="center"/>
          </w:tcPr>
          <w:p w14:paraId="05451660"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46780D15"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069ABEEA"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5571B9" w14:paraId="596D6973" w14:textId="77777777" w:rsidTr="00CE63EE">
        <w:trPr>
          <w:cantSplit/>
        </w:trPr>
        <w:tc>
          <w:tcPr>
            <w:tcW w:w="5637" w:type="dxa"/>
          </w:tcPr>
          <w:p w14:paraId="44AF8DB1"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Solucionar los problemas de retención y atracción de talento joven y de formación dentro de la PYME</w:t>
            </w:r>
          </w:p>
        </w:tc>
        <w:tc>
          <w:tcPr>
            <w:tcW w:w="850" w:type="dxa"/>
            <w:vAlign w:val="center"/>
          </w:tcPr>
          <w:p w14:paraId="1DDB8776"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09E86A46"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3441BFF2"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223C9BC8" w14:textId="77777777" w:rsidTr="00CE63EE">
        <w:trPr>
          <w:cantSplit/>
        </w:trPr>
        <w:tc>
          <w:tcPr>
            <w:tcW w:w="5637" w:type="dxa"/>
          </w:tcPr>
          <w:p w14:paraId="55734601" w14:textId="41B5CB96" w:rsidR="005571B9" w:rsidRPr="005571B9" w:rsidRDefault="00437595" w:rsidP="00437E76">
            <w:pPr>
              <w:spacing w:before="300" w:afterLines="300" w:after="720"/>
              <w:contextualSpacing/>
              <w:rPr>
                <w:rFonts w:ascii="Century Gothic" w:hAnsi="Century Gothic"/>
                <w:lang w:val="es-ES"/>
              </w:rPr>
            </w:pPr>
            <w:r w:rsidRPr="00437595">
              <w:rPr>
                <w:rFonts w:ascii="Century Gothic" w:hAnsi="Century Gothic"/>
                <w:lang w:val="es-ES"/>
              </w:rPr>
              <w:t>Desarrollar ventajas fiscales para todas aquellas PYME que contraten a sus empleados mediante contratos indefinidos</w:t>
            </w:r>
            <w:r w:rsidR="0096181A">
              <w:rPr>
                <w:rStyle w:val="Refdenotaalpie"/>
                <w:rFonts w:ascii="Century Gothic" w:hAnsi="Century Gothic"/>
                <w:lang w:val="es-ES"/>
              </w:rPr>
              <w:footnoteReference w:id="1"/>
            </w:r>
          </w:p>
        </w:tc>
        <w:tc>
          <w:tcPr>
            <w:tcW w:w="850" w:type="dxa"/>
            <w:vAlign w:val="center"/>
          </w:tcPr>
          <w:p w14:paraId="42517D6A"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4B45184F" w14:textId="77777777" w:rsidR="005571B9" w:rsidRDefault="005571B9" w:rsidP="009B6050">
            <w:pPr>
              <w:spacing w:beforeLines="60" w:before="144" w:afterLines="60" w:after="144"/>
              <w:contextualSpacing/>
              <w:jc w:val="center"/>
              <w:rPr>
                <w:rFonts w:ascii="Century Gothic" w:hAnsi="Century Gothic"/>
                <w:lang w:val="es-ES"/>
              </w:rPr>
            </w:pPr>
          </w:p>
        </w:tc>
        <w:tc>
          <w:tcPr>
            <w:tcW w:w="1165" w:type="dxa"/>
            <w:vAlign w:val="center"/>
          </w:tcPr>
          <w:p w14:paraId="34C26F82"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45FB2C16" w14:textId="77777777" w:rsidTr="00CE63EE">
        <w:trPr>
          <w:cantSplit/>
        </w:trPr>
        <w:tc>
          <w:tcPr>
            <w:tcW w:w="5637" w:type="dxa"/>
          </w:tcPr>
          <w:p w14:paraId="0A30FB10"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Prestigiar y fomentar la Formación Profesional (FP Dual, idiomas, etc.)</w:t>
            </w:r>
          </w:p>
        </w:tc>
        <w:tc>
          <w:tcPr>
            <w:tcW w:w="850" w:type="dxa"/>
            <w:vAlign w:val="center"/>
          </w:tcPr>
          <w:p w14:paraId="141C3928"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19C96AAE"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5F0E630F"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5571B9" w14:paraId="4F3F57CD" w14:textId="77777777" w:rsidTr="00CE63EE">
        <w:trPr>
          <w:cantSplit/>
        </w:trPr>
        <w:tc>
          <w:tcPr>
            <w:tcW w:w="5637" w:type="dxa"/>
          </w:tcPr>
          <w:p w14:paraId="4FD72893"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Incorporar el “management” en la educación (Universidad, F.P, etc.)</w:t>
            </w:r>
          </w:p>
        </w:tc>
        <w:tc>
          <w:tcPr>
            <w:tcW w:w="850" w:type="dxa"/>
            <w:vAlign w:val="center"/>
          </w:tcPr>
          <w:p w14:paraId="0C3C6E6A"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05649847"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7F327F01"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490E0BD6" w14:textId="77777777" w:rsidTr="00CE63EE">
        <w:trPr>
          <w:cantSplit/>
        </w:trPr>
        <w:tc>
          <w:tcPr>
            <w:tcW w:w="5637" w:type="dxa"/>
          </w:tcPr>
          <w:p w14:paraId="4C1838DA"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Confeccionar equipos multidisciplinares (vía programas de postgrados)</w:t>
            </w:r>
          </w:p>
        </w:tc>
        <w:tc>
          <w:tcPr>
            <w:tcW w:w="850" w:type="dxa"/>
            <w:vAlign w:val="center"/>
          </w:tcPr>
          <w:p w14:paraId="5849D3D1"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234FE3DA"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4AE4DD63"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017CF5F5" w14:textId="77777777" w:rsidTr="00CE63EE">
        <w:trPr>
          <w:cantSplit/>
        </w:trPr>
        <w:tc>
          <w:tcPr>
            <w:tcW w:w="5637" w:type="dxa"/>
          </w:tcPr>
          <w:p w14:paraId="3AE8E7A9"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 xml:space="preserve">Desarrollar doctorados industriales </w:t>
            </w:r>
          </w:p>
        </w:tc>
        <w:tc>
          <w:tcPr>
            <w:tcW w:w="850" w:type="dxa"/>
            <w:vAlign w:val="center"/>
          </w:tcPr>
          <w:p w14:paraId="140C0CD9"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2D559B21"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482D009A" w14:textId="77777777" w:rsidR="005571B9" w:rsidRDefault="005571B9" w:rsidP="009B6050">
            <w:pPr>
              <w:spacing w:beforeLines="60" w:before="144" w:afterLines="60" w:after="144"/>
              <w:contextualSpacing/>
              <w:jc w:val="center"/>
              <w:rPr>
                <w:rFonts w:ascii="Century Gothic" w:hAnsi="Century Gothic"/>
                <w:lang w:val="es-ES"/>
              </w:rPr>
            </w:pPr>
          </w:p>
        </w:tc>
      </w:tr>
      <w:tr w:rsidR="005571B9" w14:paraId="1704AF12" w14:textId="77777777" w:rsidTr="00CE63EE">
        <w:trPr>
          <w:cantSplit/>
        </w:trPr>
        <w:tc>
          <w:tcPr>
            <w:tcW w:w="5637" w:type="dxa"/>
          </w:tcPr>
          <w:p w14:paraId="31F45B99" w14:textId="77777777" w:rsidR="005571B9" w:rsidRPr="005571B9"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Desarrollar un “modelo educativo de la PYME”</w:t>
            </w:r>
          </w:p>
        </w:tc>
        <w:tc>
          <w:tcPr>
            <w:tcW w:w="850" w:type="dxa"/>
            <w:vAlign w:val="center"/>
          </w:tcPr>
          <w:p w14:paraId="066ABAC7" w14:textId="77777777" w:rsidR="005571B9" w:rsidRDefault="005571B9" w:rsidP="009B6050">
            <w:pPr>
              <w:spacing w:beforeLines="60" w:before="144" w:afterLines="60" w:after="144"/>
              <w:contextualSpacing/>
              <w:jc w:val="center"/>
              <w:rPr>
                <w:rFonts w:ascii="Century Gothic" w:hAnsi="Century Gothic"/>
                <w:lang w:val="es-ES"/>
              </w:rPr>
            </w:pPr>
          </w:p>
        </w:tc>
        <w:tc>
          <w:tcPr>
            <w:tcW w:w="1559" w:type="dxa"/>
            <w:vAlign w:val="center"/>
          </w:tcPr>
          <w:p w14:paraId="478C1A21" w14:textId="77777777" w:rsidR="005571B9"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64D33E2A" w14:textId="77777777" w:rsidR="005571B9" w:rsidRDefault="005571B9" w:rsidP="009B6050">
            <w:pPr>
              <w:spacing w:beforeLines="60" w:before="144" w:afterLines="60" w:after="144"/>
              <w:contextualSpacing/>
              <w:jc w:val="center"/>
              <w:rPr>
                <w:rFonts w:ascii="Century Gothic" w:hAnsi="Century Gothic"/>
                <w:lang w:val="es-ES"/>
              </w:rPr>
            </w:pPr>
          </w:p>
        </w:tc>
      </w:tr>
      <w:tr w:rsidR="00437595" w14:paraId="3B7E9131" w14:textId="77777777" w:rsidTr="00CE63EE">
        <w:trPr>
          <w:cantSplit/>
        </w:trPr>
        <w:tc>
          <w:tcPr>
            <w:tcW w:w="5637" w:type="dxa"/>
          </w:tcPr>
          <w:p w14:paraId="29BD08E7" w14:textId="77777777" w:rsidR="00437595" w:rsidRPr="00437595" w:rsidRDefault="00437595" w:rsidP="009B6050">
            <w:pPr>
              <w:spacing w:before="300" w:afterLines="300" w:after="720"/>
              <w:contextualSpacing/>
              <w:rPr>
                <w:rFonts w:ascii="Century Gothic" w:hAnsi="Century Gothic"/>
                <w:lang w:val="es-ES"/>
              </w:rPr>
            </w:pPr>
            <w:r w:rsidRPr="00437595">
              <w:rPr>
                <w:rFonts w:ascii="Century Gothic" w:hAnsi="Century Gothic"/>
                <w:lang w:val="es-ES"/>
              </w:rPr>
              <w:t>Desarrollar una “herramienta de autodiagnóstico” para detectar capacidades de gestión</w:t>
            </w:r>
          </w:p>
        </w:tc>
        <w:tc>
          <w:tcPr>
            <w:tcW w:w="850" w:type="dxa"/>
            <w:vAlign w:val="center"/>
          </w:tcPr>
          <w:p w14:paraId="540B44B5" w14:textId="77777777" w:rsidR="00437595" w:rsidRDefault="00437595" w:rsidP="009B6050">
            <w:pPr>
              <w:spacing w:beforeLines="60" w:before="144" w:afterLines="60" w:after="144"/>
              <w:contextualSpacing/>
              <w:jc w:val="center"/>
              <w:rPr>
                <w:rFonts w:ascii="Century Gothic" w:hAnsi="Century Gothic"/>
                <w:lang w:val="es-ES"/>
              </w:rPr>
            </w:pPr>
          </w:p>
        </w:tc>
        <w:tc>
          <w:tcPr>
            <w:tcW w:w="1559" w:type="dxa"/>
            <w:vAlign w:val="center"/>
          </w:tcPr>
          <w:p w14:paraId="4F57B5D6" w14:textId="77777777" w:rsidR="00437595"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72E7A3A9" w14:textId="77777777" w:rsidR="00437595" w:rsidRDefault="00437595" w:rsidP="009B6050">
            <w:pPr>
              <w:spacing w:beforeLines="60" w:before="144" w:afterLines="60" w:after="144"/>
              <w:contextualSpacing/>
              <w:jc w:val="center"/>
              <w:rPr>
                <w:rFonts w:ascii="Century Gothic" w:hAnsi="Century Gothic"/>
                <w:lang w:val="es-ES"/>
              </w:rPr>
            </w:pPr>
          </w:p>
        </w:tc>
      </w:tr>
      <w:tr w:rsidR="00437595" w14:paraId="57C843FF" w14:textId="77777777" w:rsidTr="00CE63EE">
        <w:trPr>
          <w:cantSplit/>
        </w:trPr>
        <w:tc>
          <w:tcPr>
            <w:tcW w:w="5637" w:type="dxa"/>
          </w:tcPr>
          <w:p w14:paraId="0194D5F4" w14:textId="77777777" w:rsidR="00437595" w:rsidRPr="00437595" w:rsidRDefault="00D21F6C" w:rsidP="009B6050">
            <w:pPr>
              <w:spacing w:before="300" w:afterLines="300" w:after="720"/>
              <w:contextualSpacing/>
              <w:rPr>
                <w:rFonts w:ascii="Century Gothic" w:hAnsi="Century Gothic"/>
                <w:lang w:val="es-ES"/>
              </w:rPr>
            </w:pPr>
            <w:r w:rsidRPr="00D21F6C">
              <w:rPr>
                <w:rFonts w:ascii="Century Gothic" w:hAnsi="Century Gothic"/>
                <w:lang w:val="es-ES"/>
              </w:rPr>
              <w:t xml:space="preserve">Analizar cada uno de los sectores productivos y eliminar la regulación innecesaria </w:t>
            </w:r>
          </w:p>
        </w:tc>
        <w:tc>
          <w:tcPr>
            <w:tcW w:w="850" w:type="dxa"/>
            <w:vAlign w:val="center"/>
          </w:tcPr>
          <w:p w14:paraId="45E09A40" w14:textId="77777777" w:rsidR="00437595"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548A7453" w14:textId="77777777" w:rsidR="00437595"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5E9D68BF" w14:textId="77777777" w:rsidR="00437595"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437595" w14:paraId="37DA9B3D" w14:textId="77777777" w:rsidTr="00CE63EE">
        <w:trPr>
          <w:cantSplit/>
        </w:trPr>
        <w:tc>
          <w:tcPr>
            <w:tcW w:w="5637" w:type="dxa"/>
          </w:tcPr>
          <w:p w14:paraId="38E57AF5" w14:textId="77777777" w:rsidR="00437595" w:rsidRPr="00437595" w:rsidRDefault="00D21F6C" w:rsidP="009B6050">
            <w:pPr>
              <w:spacing w:before="300" w:afterLines="300" w:after="720"/>
              <w:contextualSpacing/>
              <w:rPr>
                <w:rFonts w:ascii="Century Gothic" w:hAnsi="Century Gothic"/>
                <w:lang w:val="es-ES"/>
              </w:rPr>
            </w:pPr>
            <w:r w:rsidRPr="00D21F6C">
              <w:rPr>
                <w:rFonts w:ascii="Century Gothic" w:hAnsi="Century Gothic"/>
                <w:lang w:val="es-ES"/>
              </w:rPr>
              <w:t>Suprimir las umbrales regulatorios</w:t>
            </w:r>
          </w:p>
        </w:tc>
        <w:tc>
          <w:tcPr>
            <w:tcW w:w="850" w:type="dxa"/>
            <w:vAlign w:val="center"/>
          </w:tcPr>
          <w:p w14:paraId="56AAE35E" w14:textId="77777777" w:rsidR="00437595"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74E1693B" w14:textId="77777777" w:rsidR="00437595"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068F05B5" w14:textId="77777777" w:rsidR="00437595"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437595" w14:paraId="4E8BF6DA" w14:textId="77777777" w:rsidTr="00CE63EE">
        <w:trPr>
          <w:cantSplit/>
        </w:trPr>
        <w:tc>
          <w:tcPr>
            <w:tcW w:w="5637" w:type="dxa"/>
          </w:tcPr>
          <w:p w14:paraId="58824CA0" w14:textId="77777777" w:rsidR="00437595" w:rsidRPr="00437595"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Legislar para fomentar la auditoría en el caso de observar indicios fraudulentos y evitar la censura previa</w:t>
            </w:r>
          </w:p>
        </w:tc>
        <w:tc>
          <w:tcPr>
            <w:tcW w:w="850" w:type="dxa"/>
            <w:vAlign w:val="center"/>
          </w:tcPr>
          <w:p w14:paraId="19C26B52" w14:textId="77777777" w:rsidR="00437595" w:rsidRDefault="00437595" w:rsidP="009B6050">
            <w:pPr>
              <w:spacing w:beforeLines="60" w:before="144" w:afterLines="60" w:after="144"/>
              <w:contextualSpacing/>
              <w:jc w:val="center"/>
              <w:rPr>
                <w:rFonts w:ascii="Century Gothic" w:hAnsi="Century Gothic"/>
                <w:lang w:val="es-ES"/>
              </w:rPr>
            </w:pPr>
          </w:p>
        </w:tc>
        <w:tc>
          <w:tcPr>
            <w:tcW w:w="1559" w:type="dxa"/>
            <w:vAlign w:val="center"/>
          </w:tcPr>
          <w:p w14:paraId="529BF06B" w14:textId="77777777" w:rsidR="00437595"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43632B96" w14:textId="77777777" w:rsidR="00437595" w:rsidRDefault="00437595" w:rsidP="009B6050">
            <w:pPr>
              <w:spacing w:beforeLines="60" w:before="144" w:afterLines="60" w:after="144"/>
              <w:contextualSpacing/>
              <w:jc w:val="center"/>
              <w:rPr>
                <w:rFonts w:ascii="Century Gothic" w:hAnsi="Century Gothic"/>
                <w:lang w:val="es-ES"/>
              </w:rPr>
            </w:pPr>
          </w:p>
        </w:tc>
      </w:tr>
      <w:tr w:rsidR="005703D7" w14:paraId="1F2AEF4D" w14:textId="77777777" w:rsidTr="00CE63EE">
        <w:trPr>
          <w:cantSplit/>
        </w:trPr>
        <w:tc>
          <w:tcPr>
            <w:tcW w:w="5637" w:type="dxa"/>
          </w:tcPr>
          <w:p w14:paraId="6A89EF78" w14:textId="77777777" w:rsidR="005703D7" w:rsidRPr="005703D7"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Eliminar las trabas legislativas relacionadas con el proceso de cerrar una empresa</w:t>
            </w:r>
          </w:p>
        </w:tc>
        <w:tc>
          <w:tcPr>
            <w:tcW w:w="850" w:type="dxa"/>
            <w:vAlign w:val="center"/>
          </w:tcPr>
          <w:p w14:paraId="48B4CC79" w14:textId="77777777" w:rsidR="005703D7" w:rsidRDefault="005703D7" w:rsidP="009B6050">
            <w:pPr>
              <w:spacing w:beforeLines="60" w:before="144" w:afterLines="60" w:after="144"/>
              <w:contextualSpacing/>
              <w:jc w:val="center"/>
              <w:rPr>
                <w:rFonts w:ascii="Century Gothic" w:hAnsi="Century Gothic"/>
                <w:lang w:val="es-ES"/>
              </w:rPr>
            </w:pPr>
          </w:p>
        </w:tc>
        <w:tc>
          <w:tcPr>
            <w:tcW w:w="1559" w:type="dxa"/>
            <w:vAlign w:val="center"/>
          </w:tcPr>
          <w:p w14:paraId="5B151DCA" w14:textId="77777777" w:rsidR="005703D7" w:rsidRDefault="005703D7" w:rsidP="009B6050">
            <w:pPr>
              <w:spacing w:beforeLines="60" w:before="144" w:afterLines="60" w:after="144"/>
              <w:contextualSpacing/>
              <w:jc w:val="center"/>
              <w:rPr>
                <w:rFonts w:ascii="Century Gothic" w:hAnsi="Century Gothic"/>
                <w:lang w:val="es-ES"/>
              </w:rPr>
            </w:pPr>
          </w:p>
        </w:tc>
        <w:tc>
          <w:tcPr>
            <w:tcW w:w="1165" w:type="dxa"/>
            <w:vAlign w:val="center"/>
          </w:tcPr>
          <w:p w14:paraId="5424B46F" w14:textId="77777777" w:rsidR="005703D7"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5703D7" w14:paraId="5BE91EFD" w14:textId="77777777" w:rsidTr="00CE63EE">
        <w:trPr>
          <w:cantSplit/>
        </w:trPr>
        <w:tc>
          <w:tcPr>
            <w:tcW w:w="5637" w:type="dxa"/>
          </w:tcPr>
          <w:p w14:paraId="4D2B22CE" w14:textId="77777777" w:rsidR="005703D7" w:rsidRPr="005703D7"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Incrementar los incentivos al emprendimiento para mayores de 40 años</w:t>
            </w:r>
          </w:p>
        </w:tc>
        <w:tc>
          <w:tcPr>
            <w:tcW w:w="850" w:type="dxa"/>
            <w:vAlign w:val="center"/>
          </w:tcPr>
          <w:p w14:paraId="0AE31DC5" w14:textId="77777777" w:rsidR="005703D7"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45F9B561" w14:textId="77777777" w:rsidR="005703D7" w:rsidRDefault="005703D7" w:rsidP="009B6050">
            <w:pPr>
              <w:spacing w:beforeLines="60" w:before="144" w:afterLines="60" w:after="144"/>
              <w:contextualSpacing/>
              <w:jc w:val="center"/>
              <w:rPr>
                <w:rFonts w:ascii="Century Gothic" w:hAnsi="Century Gothic"/>
                <w:lang w:val="es-ES"/>
              </w:rPr>
            </w:pPr>
          </w:p>
        </w:tc>
        <w:tc>
          <w:tcPr>
            <w:tcW w:w="1165" w:type="dxa"/>
            <w:vAlign w:val="center"/>
          </w:tcPr>
          <w:p w14:paraId="17B02787" w14:textId="77777777" w:rsidR="005703D7" w:rsidRDefault="005703D7" w:rsidP="009B6050">
            <w:pPr>
              <w:spacing w:beforeLines="60" w:before="144" w:afterLines="60" w:after="144"/>
              <w:contextualSpacing/>
              <w:jc w:val="center"/>
              <w:rPr>
                <w:rFonts w:ascii="Century Gothic" w:hAnsi="Century Gothic"/>
                <w:lang w:val="es-ES"/>
              </w:rPr>
            </w:pPr>
          </w:p>
        </w:tc>
      </w:tr>
      <w:tr w:rsidR="005703D7" w14:paraId="6575554D" w14:textId="77777777" w:rsidTr="00CE63EE">
        <w:trPr>
          <w:cantSplit/>
        </w:trPr>
        <w:tc>
          <w:tcPr>
            <w:tcW w:w="5637" w:type="dxa"/>
          </w:tcPr>
          <w:p w14:paraId="1956AB8D" w14:textId="77777777" w:rsidR="005703D7" w:rsidRPr="005703D7"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Promover un estatuto freelance</w:t>
            </w:r>
          </w:p>
        </w:tc>
        <w:tc>
          <w:tcPr>
            <w:tcW w:w="850" w:type="dxa"/>
            <w:vAlign w:val="center"/>
          </w:tcPr>
          <w:p w14:paraId="2CFFF952" w14:textId="77777777" w:rsidR="005703D7" w:rsidRDefault="005703D7" w:rsidP="009B6050">
            <w:pPr>
              <w:spacing w:beforeLines="60" w:before="144" w:afterLines="60" w:after="144"/>
              <w:contextualSpacing/>
              <w:jc w:val="center"/>
              <w:rPr>
                <w:rFonts w:ascii="Century Gothic" w:hAnsi="Century Gothic"/>
                <w:lang w:val="es-ES"/>
              </w:rPr>
            </w:pPr>
          </w:p>
        </w:tc>
        <w:tc>
          <w:tcPr>
            <w:tcW w:w="1559" w:type="dxa"/>
            <w:vAlign w:val="center"/>
          </w:tcPr>
          <w:p w14:paraId="730C81FF" w14:textId="77777777" w:rsidR="005703D7"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41E41137" w14:textId="77777777" w:rsidR="005703D7" w:rsidRDefault="005703D7" w:rsidP="009B6050">
            <w:pPr>
              <w:spacing w:beforeLines="60" w:before="144" w:afterLines="60" w:after="144"/>
              <w:contextualSpacing/>
              <w:jc w:val="center"/>
              <w:rPr>
                <w:rFonts w:ascii="Century Gothic" w:hAnsi="Century Gothic"/>
                <w:lang w:val="es-ES"/>
              </w:rPr>
            </w:pPr>
          </w:p>
        </w:tc>
      </w:tr>
      <w:tr w:rsidR="005703D7" w14:paraId="3A1462D6" w14:textId="77777777" w:rsidTr="00CE63EE">
        <w:trPr>
          <w:cantSplit/>
        </w:trPr>
        <w:tc>
          <w:tcPr>
            <w:tcW w:w="5637" w:type="dxa"/>
          </w:tcPr>
          <w:p w14:paraId="61566182" w14:textId="77777777" w:rsidR="005703D7" w:rsidRPr="005703D7"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Utilizar los informes regionales que elaboran las CCAA como fuente de información para la Administración central</w:t>
            </w:r>
            <w:r>
              <w:rPr>
                <w:rFonts w:ascii="Century Gothic" w:hAnsi="Century Gothic"/>
                <w:lang w:val="es-ES"/>
              </w:rPr>
              <w:t>.</w:t>
            </w:r>
          </w:p>
        </w:tc>
        <w:tc>
          <w:tcPr>
            <w:tcW w:w="850" w:type="dxa"/>
            <w:vAlign w:val="center"/>
          </w:tcPr>
          <w:p w14:paraId="49E79FB4" w14:textId="77777777" w:rsidR="005703D7" w:rsidRDefault="005703D7" w:rsidP="009B6050">
            <w:pPr>
              <w:spacing w:beforeLines="60" w:before="144" w:afterLines="60" w:after="144"/>
              <w:contextualSpacing/>
              <w:jc w:val="center"/>
              <w:rPr>
                <w:rFonts w:ascii="Century Gothic" w:hAnsi="Century Gothic"/>
                <w:lang w:val="es-ES"/>
              </w:rPr>
            </w:pPr>
          </w:p>
        </w:tc>
        <w:tc>
          <w:tcPr>
            <w:tcW w:w="1559" w:type="dxa"/>
            <w:vAlign w:val="center"/>
          </w:tcPr>
          <w:p w14:paraId="55E6904F" w14:textId="77777777" w:rsidR="005703D7"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093B1153" w14:textId="77777777" w:rsidR="005703D7" w:rsidRDefault="005703D7" w:rsidP="009B6050">
            <w:pPr>
              <w:spacing w:beforeLines="60" w:before="144" w:afterLines="60" w:after="144"/>
              <w:contextualSpacing/>
              <w:jc w:val="center"/>
              <w:rPr>
                <w:rFonts w:ascii="Century Gothic" w:hAnsi="Century Gothic"/>
                <w:lang w:val="es-ES"/>
              </w:rPr>
            </w:pPr>
          </w:p>
        </w:tc>
      </w:tr>
      <w:tr w:rsidR="005703D7" w14:paraId="74E05878" w14:textId="77777777" w:rsidTr="00CE63EE">
        <w:trPr>
          <w:cantSplit/>
        </w:trPr>
        <w:tc>
          <w:tcPr>
            <w:tcW w:w="5637" w:type="dxa"/>
          </w:tcPr>
          <w:p w14:paraId="3B2082BC" w14:textId="77777777" w:rsidR="005703D7" w:rsidRPr="005703D7"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Aplicar el concepto de “Doing Business” para las CCAA</w:t>
            </w:r>
          </w:p>
        </w:tc>
        <w:tc>
          <w:tcPr>
            <w:tcW w:w="850" w:type="dxa"/>
            <w:vAlign w:val="center"/>
          </w:tcPr>
          <w:p w14:paraId="69443BB7" w14:textId="77777777" w:rsidR="005703D7" w:rsidRDefault="005703D7" w:rsidP="009B6050">
            <w:pPr>
              <w:spacing w:beforeLines="60" w:before="144" w:afterLines="60" w:after="144"/>
              <w:contextualSpacing/>
              <w:jc w:val="center"/>
              <w:rPr>
                <w:rFonts w:ascii="Century Gothic" w:hAnsi="Century Gothic"/>
                <w:lang w:val="es-ES"/>
              </w:rPr>
            </w:pPr>
          </w:p>
        </w:tc>
        <w:tc>
          <w:tcPr>
            <w:tcW w:w="1559" w:type="dxa"/>
            <w:vAlign w:val="center"/>
          </w:tcPr>
          <w:p w14:paraId="79B3B804" w14:textId="77777777" w:rsidR="005703D7" w:rsidRDefault="005703D7" w:rsidP="009B6050">
            <w:pPr>
              <w:spacing w:beforeLines="60" w:before="144" w:afterLines="60" w:after="144"/>
              <w:contextualSpacing/>
              <w:jc w:val="center"/>
              <w:rPr>
                <w:rFonts w:ascii="Century Gothic" w:hAnsi="Century Gothic"/>
                <w:lang w:val="es-ES"/>
              </w:rPr>
            </w:pPr>
          </w:p>
        </w:tc>
        <w:tc>
          <w:tcPr>
            <w:tcW w:w="1165" w:type="dxa"/>
            <w:vAlign w:val="center"/>
          </w:tcPr>
          <w:p w14:paraId="7EA757CD" w14:textId="77777777" w:rsidR="005703D7"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5703D7" w14:paraId="3E9059C0" w14:textId="77777777" w:rsidTr="00CE63EE">
        <w:trPr>
          <w:cantSplit/>
        </w:trPr>
        <w:tc>
          <w:tcPr>
            <w:tcW w:w="5637" w:type="dxa"/>
          </w:tcPr>
          <w:p w14:paraId="5DAEDD51" w14:textId="77777777" w:rsidR="005703D7" w:rsidRPr="005703D7"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Profundizar en la Ley de Garantía de Unidad de Mercado</w:t>
            </w:r>
          </w:p>
        </w:tc>
        <w:tc>
          <w:tcPr>
            <w:tcW w:w="850" w:type="dxa"/>
            <w:vAlign w:val="center"/>
          </w:tcPr>
          <w:p w14:paraId="186D51A8" w14:textId="77777777" w:rsidR="005703D7" w:rsidRDefault="005703D7" w:rsidP="009B6050">
            <w:pPr>
              <w:spacing w:beforeLines="60" w:before="144" w:afterLines="60" w:after="144"/>
              <w:contextualSpacing/>
              <w:jc w:val="center"/>
              <w:rPr>
                <w:rFonts w:ascii="Century Gothic" w:hAnsi="Century Gothic"/>
                <w:lang w:val="es-ES"/>
              </w:rPr>
            </w:pPr>
          </w:p>
        </w:tc>
        <w:tc>
          <w:tcPr>
            <w:tcW w:w="1559" w:type="dxa"/>
            <w:vAlign w:val="center"/>
          </w:tcPr>
          <w:p w14:paraId="34E25CB8" w14:textId="77777777" w:rsidR="005703D7" w:rsidRDefault="005703D7" w:rsidP="009B6050">
            <w:pPr>
              <w:spacing w:beforeLines="60" w:before="144" w:afterLines="60" w:after="144"/>
              <w:contextualSpacing/>
              <w:jc w:val="center"/>
              <w:rPr>
                <w:rFonts w:ascii="Century Gothic" w:hAnsi="Century Gothic"/>
                <w:lang w:val="es-ES"/>
              </w:rPr>
            </w:pPr>
          </w:p>
        </w:tc>
        <w:tc>
          <w:tcPr>
            <w:tcW w:w="1165" w:type="dxa"/>
            <w:vAlign w:val="center"/>
          </w:tcPr>
          <w:p w14:paraId="6B0BCBA5" w14:textId="77777777" w:rsidR="005703D7"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r>
      <w:tr w:rsidR="005703D7" w14:paraId="1ED9C676" w14:textId="77777777" w:rsidTr="00CE63EE">
        <w:trPr>
          <w:cantSplit/>
        </w:trPr>
        <w:tc>
          <w:tcPr>
            <w:tcW w:w="5637" w:type="dxa"/>
          </w:tcPr>
          <w:p w14:paraId="42CFE84D" w14:textId="77777777" w:rsidR="005703D7" w:rsidRPr="005703D7"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Redefinir el modelo del IVA electrónico para solucionar los problemas que presenta actualmente</w:t>
            </w:r>
          </w:p>
        </w:tc>
        <w:tc>
          <w:tcPr>
            <w:tcW w:w="850" w:type="dxa"/>
            <w:vAlign w:val="center"/>
          </w:tcPr>
          <w:p w14:paraId="3D0FABBD" w14:textId="77777777" w:rsidR="005703D7"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559" w:type="dxa"/>
            <w:vAlign w:val="center"/>
          </w:tcPr>
          <w:p w14:paraId="1D3C3C5E" w14:textId="77777777" w:rsidR="005703D7" w:rsidRDefault="005703D7" w:rsidP="009B6050">
            <w:pPr>
              <w:spacing w:beforeLines="60" w:before="144" w:afterLines="60" w:after="144"/>
              <w:contextualSpacing/>
              <w:jc w:val="center"/>
              <w:rPr>
                <w:rFonts w:ascii="Century Gothic" w:hAnsi="Century Gothic"/>
                <w:lang w:val="es-ES"/>
              </w:rPr>
            </w:pPr>
          </w:p>
        </w:tc>
        <w:tc>
          <w:tcPr>
            <w:tcW w:w="1165" w:type="dxa"/>
            <w:vAlign w:val="center"/>
          </w:tcPr>
          <w:p w14:paraId="2AE4994C" w14:textId="77777777" w:rsidR="005703D7" w:rsidRDefault="005703D7" w:rsidP="009B6050">
            <w:pPr>
              <w:spacing w:beforeLines="60" w:before="144" w:afterLines="60" w:after="144"/>
              <w:contextualSpacing/>
              <w:jc w:val="center"/>
              <w:rPr>
                <w:rFonts w:ascii="Century Gothic" w:hAnsi="Century Gothic"/>
                <w:lang w:val="es-ES"/>
              </w:rPr>
            </w:pPr>
          </w:p>
        </w:tc>
      </w:tr>
      <w:tr w:rsidR="005703D7" w14:paraId="60D06C70" w14:textId="77777777" w:rsidTr="00CE63EE">
        <w:trPr>
          <w:cantSplit/>
        </w:trPr>
        <w:tc>
          <w:tcPr>
            <w:tcW w:w="5637" w:type="dxa"/>
          </w:tcPr>
          <w:p w14:paraId="239F6C25" w14:textId="77777777" w:rsidR="005703D7" w:rsidRPr="005703D7" w:rsidRDefault="005703D7" w:rsidP="009B6050">
            <w:pPr>
              <w:spacing w:before="300" w:afterLines="300" w:after="720"/>
              <w:contextualSpacing/>
              <w:rPr>
                <w:rFonts w:ascii="Century Gothic" w:hAnsi="Century Gothic"/>
                <w:lang w:val="es-ES"/>
              </w:rPr>
            </w:pPr>
            <w:r w:rsidRPr="005703D7">
              <w:rPr>
                <w:rFonts w:ascii="Century Gothic" w:hAnsi="Century Gothic"/>
                <w:lang w:val="es-ES"/>
              </w:rPr>
              <w:t>Desarrollar una “norma de calidad” que distinga a una empresa de otra (para distinguir a las empresas más interesantes)</w:t>
            </w:r>
          </w:p>
        </w:tc>
        <w:tc>
          <w:tcPr>
            <w:tcW w:w="850" w:type="dxa"/>
            <w:vAlign w:val="center"/>
          </w:tcPr>
          <w:p w14:paraId="360481A9" w14:textId="77777777" w:rsidR="005703D7" w:rsidRDefault="005703D7" w:rsidP="009B6050">
            <w:pPr>
              <w:spacing w:beforeLines="60" w:before="144" w:afterLines="60" w:after="144"/>
              <w:contextualSpacing/>
              <w:jc w:val="center"/>
              <w:rPr>
                <w:rFonts w:ascii="Century Gothic" w:hAnsi="Century Gothic"/>
                <w:lang w:val="es-ES"/>
              </w:rPr>
            </w:pPr>
          </w:p>
        </w:tc>
        <w:tc>
          <w:tcPr>
            <w:tcW w:w="1559" w:type="dxa"/>
            <w:vAlign w:val="center"/>
          </w:tcPr>
          <w:p w14:paraId="65EF0F67" w14:textId="77777777" w:rsidR="005703D7" w:rsidRDefault="00CE63EE" w:rsidP="009B6050">
            <w:pPr>
              <w:spacing w:beforeLines="60" w:before="144" w:afterLines="60" w:after="144"/>
              <w:contextualSpacing/>
              <w:jc w:val="center"/>
              <w:rPr>
                <w:rFonts w:ascii="Century Gothic" w:hAnsi="Century Gothic"/>
                <w:lang w:val="es-ES"/>
              </w:rPr>
            </w:pPr>
            <w:r w:rsidRPr="00C12C92">
              <w:rPr>
                <w:rFonts w:ascii="Century Gothic" w:hAnsi="Century Gothic"/>
                <w:sz w:val="24"/>
                <w:szCs w:val="24"/>
                <w:lang w:val="es-ES"/>
              </w:rPr>
              <w:sym w:font="Wingdings" w:char="F0FD"/>
            </w:r>
          </w:p>
        </w:tc>
        <w:tc>
          <w:tcPr>
            <w:tcW w:w="1165" w:type="dxa"/>
            <w:vAlign w:val="center"/>
          </w:tcPr>
          <w:p w14:paraId="1F2EC88C" w14:textId="77777777" w:rsidR="005703D7" w:rsidRDefault="005703D7" w:rsidP="009B6050">
            <w:pPr>
              <w:spacing w:beforeLines="60" w:before="144" w:afterLines="60" w:after="144"/>
              <w:contextualSpacing/>
              <w:jc w:val="center"/>
              <w:rPr>
                <w:rFonts w:ascii="Century Gothic" w:hAnsi="Century Gothic"/>
                <w:lang w:val="es-ES"/>
              </w:rPr>
            </w:pPr>
          </w:p>
        </w:tc>
      </w:tr>
      <w:tr w:rsidR="00012005" w14:paraId="6FEE242B" w14:textId="77777777" w:rsidTr="00CE63EE">
        <w:trPr>
          <w:cantSplit/>
        </w:trPr>
        <w:tc>
          <w:tcPr>
            <w:tcW w:w="5637" w:type="dxa"/>
          </w:tcPr>
          <w:p w14:paraId="36DCECC4" w14:textId="77777777" w:rsidR="00012005" w:rsidRPr="005703D7" w:rsidRDefault="00012005" w:rsidP="009B6050">
            <w:pPr>
              <w:spacing w:before="300" w:afterLines="300" w:after="720"/>
              <w:contextualSpacing/>
              <w:rPr>
                <w:rFonts w:ascii="Century Gothic" w:hAnsi="Century Gothic"/>
                <w:lang w:val="es-ES"/>
              </w:rPr>
            </w:pPr>
            <w:r>
              <w:rPr>
                <w:rFonts w:ascii="Century Gothic" w:hAnsi="Century Gothic"/>
                <w:lang w:val="es-ES"/>
              </w:rPr>
              <w:t xml:space="preserve">Promover </w:t>
            </w:r>
            <w:r w:rsidRPr="00012005">
              <w:rPr>
                <w:rFonts w:ascii="Century Gothic" w:hAnsi="Century Gothic"/>
                <w:lang w:val="es-ES"/>
              </w:rPr>
              <w:t>códigos de buenas prácticas para los departamentos de compras de las grandes empresas</w:t>
            </w:r>
            <w:r>
              <w:rPr>
                <w:rFonts w:ascii="Century Gothic" w:hAnsi="Century Gothic"/>
                <w:lang w:val="es-ES"/>
              </w:rPr>
              <w:t xml:space="preserve"> para facilitar a la PYME ser proveedores.</w:t>
            </w:r>
          </w:p>
        </w:tc>
        <w:tc>
          <w:tcPr>
            <w:tcW w:w="850" w:type="dxa"/>
            <w:vAlign w:val="center"/>
          </w:tcPr>
          <w:p w14:paraId="5473DA24" w14:textId="77777777" w:rsidR="00012005" w:rsidRDefault="00012005" w:rsidP="009B6050">
            <w:pPr>
              <w:spacing w:beforeLines="60" w:before="144" w:afterLines="60" w:after="144"/>
              <w:contextualSpacing/>
              <w:jc w:val="center"/>
              <w:rPr>
                <w:rFonts w:ascii="Century Gothic" w:hAnsi="Century Gothic"/>
                <w:lang w:val="es-ES"/>
              </w:rPr>
            </w:pPr>
          </w:p>
        </w:tc>
        <w:tc>
          <w:tcPr>
            <w:tcW w:w="1559" w:type="dxa"/>
            <w:vAlign w:val="center"/>
          </w:tcPr>
          <w:p w14:paraId="7B848718" w14:textId="77777777" w:rsidR="00012005" w:rsidRPr="00C12C92" w:rsidRDefault="00012005" w:rsidP="009B6050">
            <w:pPr>
              <w:spacing w:beforeLines="60" w:before="144" w:afterLines="60" w:after="144"/>
              <w:contextualSpacing/>
              <w:jc w:val="center"/>
              <w:rPr>
                <w:rFonts w:ascii="Century Gothic" w:hAnsi="Century Gothic"/>
                <w:sz w:val="24"/>
                <w:szCs w:val="24"/>
                <w:lang w:val="es-ES"/>
              </w:rPr>
            </w:pPr>
            <w:r w:rsidRPr="00C12C92">
              <w:rPr>
                <w:rFonts w:ascii="Century Gothic" w:hAnsi="Century Gothic"/>
                <w:sz w:val="24"/>
                <w:szCs w:val="24"/>
                <w:lang w:val="es-ES"/>
              </w:rPr>
              <w:sym w:font="Wingdings" w:char="F0FD"/>
            </w:r>
          </w:p>
        </w:tc>
        <w:tc>
          <w:tcPr>
            <w:tcW w:w="1165" w:type="dxa"/>
            <w:vAlign w:val="center"/>
          </w:tcPr>
          <w:p w14:paraId="263F92C4" w14:textId="77777777" w:rsidR="00012005" w:rsidRDefault="00012005" w:rsidP="009B6050">
            <w:pPr>
              <w:spacing w:beforeLines="60" w:before="144" w:afterLines="60" w:after="144"/>
              <w:contextualSpacing/>
              <w:jc w:val="center"/>
              <w:rPr>
                <w:rFonts w:ascii="Century Gothic" w:hAnsi="Century Gothic"/>
                <w:lang w:val="es-ES"/>
              </w:rPr>
            </w:pPr>
          </w:p>
        </w:tc>
      </w:tr>
      <w:tr w:rsidR="00012005" w14:paraId="54AB0D24" w14:textId="77777777" w:rsidTr="00CE63EE">
        <w:trPr>
          <w:cantSplit/>
        </w:trPr>
        <w:tc>
          <w:tcPr>
            <w:tcW w:w="5637" w:type="dxa"/>
          </w:tcPr>
          <w:p w14:paraId="1DEE83F4" w14:textId="77777777" w:rsidR="00012005" w:rsidRDefault="00012005" w:rsidP="009B6050">
            <w:pPr>
              <w:spacing w:before="300" w:afterLines="300" w:after="720"/>
              <w:contextualSpacing/>
              <w:rPr>
                <w:rFonts w:ascii="Century Gothic" w:hAnsi="Century Gothic"/>
                <w:lang w:val="es-ES"/>
              </w:rPr>
            </w:pPr>
            <w:r>
              <w:rPr>
                <w:rFonts w:ascii="Century Gothic" w:hAnsi="Century Gothic"/>
                <w:lang w:val="es-ES"/>
              </w:rPr>
              <w:t>Promover los protocolos familiares entre las empresas familiares</w:t>
            </w:r>
          </w:p>
        </w:tc>
        <w:tc>
          <w:tcPr>
            <w:tcW w:w="850" w:type="dxa"/>
            <w:vAlign w:val="center"/>
          </w:tcPr>
          <w:p w14:paraId="6248E4B5" w14:textId="77777777" w:rsidR="00012005" w:rsidRDefault="00012005" w:rsidP="009B6050">
            <w:pPr>
              <w:spacing w:beforeLines="60" w:before="144" w:afterLines="60" w:after="144"/>
              <w:contextualSpacing/>
              <w:jc w:val="center"/>
              <w:rPr>
                <w:rFonts w:ascii="Century Gothic" w:hAnsi="Century Gothic"/>
                <w:lang w:val="es-ES"/>
              </w:rPr>
            </w:pPr>
          </w:p>
        </w:tc>
        <w:tc>
          <w:tcPr>
            <w:tcW w:w="1559" w:type="dxa"/>
            <w:vAlign w:val="center"/>
          </w:tcPr>
          <w:p w14:paraId="217ACF05" w14:textId="77777777" w:rsidR="00012005" w:rsidRPr="00C12C92" w:rsidRDefault="00012005" w:rsidP="009B6050">
            <w:pPr>
              <w:spacing w:beforeLines="60" w:before="144" w:afterLines="60" w:after="144"/>
              <w:contextualSpacing/>
              <w:jc w:val="center"/>
              <w:rPr>
                <w:rFonts w:ascii="Century Gothic" w:hAnsi="Century Gothic"/>
                <w:sz w:val="24"/>
                <w:szCs w:val="24"/>
                <w:lang w:val="es-ES"/>
              </w:rPr>
            </w:pPr>
            <w:r w:rsidRPr="00C12C92">
              <w:rPr>
                <w:rFonts w:ascii="Century Gothic" w:hAnsi="Century Gothic"/>
                <w:sz w:val="24"/>
                <w:szCs w:val="24"/>
                <w:lang w:val="es-ES"/>
              </w:rPr>
              <w:sym w:font="Wingdings" w:char="F0FD"/>
            </w:r>
          </w:p>
        </w:tc>
        <w:tc>
          <w:tcPr>
            <w:tcW w:w="1165" w:type="dxa"/>
            <w:vAlign w:val="center"/>
          </w:tcPr>
          <w:p w14:paraId="7F64AF6E" w14:textId="77777777" w:rsidR="00012005" w:rsidRDefault="00012005" w:rsidP="009B6050">
            <w:pPr>
              <w:spacing w:beforeLines="60" w:before="144" w:afterLines="60" w:after="144"/>
              <w:contextualSpacing/>
              <w:jc w:val="center"/>
              <w:rPr>
                <w:rFonts w:ascii="Century Gothic" w:hAnsi="Century Gothic"/>
                <w:lang w:val="es-ES"/>
              </w:rPr>
            </w:pPr>
          </w:p>
        </w:tc>
      </w:tr>
      <w:tr w:rsidR="00012005" w14:paraId="349EC86A" w14:textId="77777777" w:rsidTr="00CE63EE">
        <w:trPr>
          <w:cantSplit/>
        </w:trPr>
        <w:tc>
          <w:tcPr>
            <w:tcW w:w="5637" w:type="dxa"/>
          </w:tcPr>
          <w:p w14:paraId="4123F36C" w14:textId="77777777" w:rsidR="00012005" w:rsidRDefault="00012005" w:rsidP="009B6050">
            <w:pPr>
              <w:spacing w:before="300" w:afterLines="300" w:after="720"/>
              <w:contextualSpacing/>
              <w:rPr>
                <w:rFonts w:ascii="Century Gothic" w:hAnsi="Century Gothic"/>
                <w:lang w:val="es-ES"/>
              </w:rPr>
            </w:pPr>
            <w:r>
              <w:rPr>
                <w:rFonts w:ascii="Century Gothic" w:hAnsi="Century Gothic"/>
                <w:lang w:val="es-ES"/>
              </w:rPr>
              <w:t>Participación de l</w:t>
            </w:r>
            <w:r w:rsidRPr="00012005">
              <w:rPr>
                <w:rFonts w:ascii="Century Gothic" w:hAnsi="Century Gothic"/>
                <w:lang w:val="es-ES"/>
              </w:rPr>
              <w:t>as PYME se inserten en las grandes cadenas globales.</w:t>
            </w:r>
          </w:p>
        </w:tc>
        <w:tc>
          <w:tcPr>
            <w:tcW w:w="850" w:type="dxa"/>
            <w:vAlign w:val="center"/>
          </w:tcPr>
          <w:p w14:paraId="1B3E4BCE" w14:textId="77777777" w:rsidR="00012005" w:rsidRDefault="00012005" w:rsidP="009B6050">
            <w:pPr>
              <w:spacing w:beforeLines="60" w:before="144" w:afterLines="60" w:after="144"/>
              <w:contextualSpacing/>
              <w:jc w:val="center"/>
              <w:rPr>
                <w:rFonts w:ascii="Century Gothic" w:hAnsi="Century Gothic"/>
                <w:lang w:val="es-ES"/>
              </w:rPr>
            </w:pPr>
          </w:p>
        </w:tc>
        <w:tc>
          <w:tcPr>
            <w:tcW w:w="1559" w:type="dxa"/>
            <w:vAlign w:val="center"/>
          </w:tcPr>
          <w:p w14:paraId="3FEEE1F2" w14:textId="77777777" w:rsidR="00012005" w:rsidRPr="00C12C92" w:rsidRDefault="00012005" w:rsidP="009B6050">
            <w:pPr>
              <w:spacing w:beforeLines="60" w:before="144" w:afterLines="60" w:after="144"/>
              <w:contextualSpacing/>
              <w:jc w:val="center"/>
              <w:rPr>
                <w:rFonts w:ascii="Century Gothic" w:hAnsi="Century Gothic"/>
                <w:sz w:val="24"/>
                <w:szCs w:val="24"/>
                <w:lang w:val="es-ES"/>
              </w:rPr>
            </w:pPr>
            <w:r w:rsidRPr="00C12C92">
              <w:rPr>
                <w:rFonts w:ascii="Century Gothic" w:hAnsi="Century Gothic"/>
                <w:sz w:val="24"/>
                <w:szCs w:val="24"/>
                <w:lang w:val="es-ES"/>
              </w:rPr>
              <w:sym w:font="Wingdings" w:char="F0FD"/>
            </w:r>
          </w:p>
        </w:tc>
        <w:tc>
          <w:tcPr>
            <w:tcW w:w="1165" w:type="dxa"/>
            <w:vAlign w:val="center"/>
          </w:tcPr>
          <w:p w14:paraId="4A5EDF06" w14:textId="77777777" w:rsidR="00012005" w:rsidRDefault="00012005" w:rsidP="009B6050">
            <w:pPr>
              <w:spacing w:beforeLines="60" w:before="144" w:afterLines="60" w:after="144"/>
              <w:contextualSpacing/>
              <w:jc w:val="center"/>
              <w:rPr>
                <w:rFonts w:ascii="Century Gothic" w:hAnsi="Century Gothic"/>
                <w:lang w:val="es-ES"/>
              </w:rPr>
            </w:pPr>
          </w:p>
        </w:tc>
      </w:tr>
    </w:tbl>
    <w:p w14:paraId="31A35AB5" w14:textId="2BD2787B" w:rsidR="00B80C8C" w:rsidRDefault="00B80C8C">
      <w:pPr>
        <w:spacing w:after="0"/>
        <w:jc w:val="left"/>
        <w:rPr>
          <w:rFonts w:ascii="Century Gothic" w:hAnsi="Century Gothic" w:cs="Arial"/>
          <w:b/>
          <w:color w:val="003399"/>
          <w:sz w:val="24"/>
          <w:lang w:val="es-ES"/>
        </w:rPr>
      </w:pPr>
    </w:p>
    <w:p w14:paraId="0A98B789" w14:textId="5C0673D8" w:rsidR="00537F3A" w:rsidRDefault="00537F3A" w:rsidP="00537F3A">
      <w:pPr>
        <w:pStyle w:val="Ttulo3"/>
        <w:numPr>
          <w:ilvl w:val="1"/>
          <w:numId w:val="28"/>
        </w:numPr>
      </w:pPr>
      <w:bookmarkStart w:id="43" w:name="_Toc525300103"/>
      <w:bookmarkStart w:id="44" w:name="_Toc526423235"/>
      <w:r>
        <w:t>Listado de participantes</w:t>
      </w:r>
      <w:bookmarkEnd w:id="43"/>
      <w:bookmarkEnd w:id="44"/>
    </w:p>
    <w:tbl>
      <w:tblPr>
        <w:tblW w:w="92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03"/>
        <w:gridCol w:w="5811"/>
      </w:tblGrid>
      <w:tr w:rsidR="00C348B1" w:rsidRPr="007E0C67" w14:paraId="670C7E4B" w14:textId="77777777" w:rsidTr="00A95DB5">
        <w:trPr>
          <w:trHeight w:val="404"/>
        </w:trPr>
        <w:tc>
          <w:tcPr>
            <w:tcW w:w="3403" w:type="dxa"/>
            <w:shd w:val="clear" w:color="auto" w:fill="auto"/>
            <w:tcMar>
              <w:top w:w="72" w:type="dxa"/>
              <w:left w:w="144" w:type="dxa"/>
              <w:bottom w:w="72" w:type="dxa"/>
              <w:right w:w="144" w:type="dxa"/>
            </w:tcMar>
            <w:vAlign w:val="center"/>
          </w:tcPr>
          <w:p w14:paraId="2286FD45" w14:textId="48E36C92" w:rsidR="00C348B1" w:rsidRPr="007E0C67" w:rsidRDefault="007E0C67" w:rsidP="007E0C67">
            <w:pPr>
              <w:spacing w:after="0"/>
              <w:contextualSpacing/>
              <w:jc w:val="center"/>
              <w:rPr>
                <w:rFonts w:ascii="Century Gothic" w:hAnsi="Century Gothic"/>
                <w:b/>
                <w:lang w:val="es-ES"/>
              </w:rPr>
            </w:pPr>
            <w:r w:rsidRPr="007E0C67">
              <w:rPr>
                <w:rFonts w:ascii="Century Gothic" w:hAnsi="Century Gothic"/>
                <w:b/>
                <w:lang w:val="es-ES"/>
              </w:rPr>
              <w:t>Workshop /fecha</w:t>
            </w:r>
          </w:p>
        </w:tc>
        <w:tc>
          <w:tcPr>
            <w:tcW w:w="5811" w:type="dxa"/>
            <w:shd w:val="clear" w:color="auto" w:fill="auto"/>
            <w:tcMar>
              <w:top w:w="72" w:type="dxa"/>
              <w:left w:w="144" w:type="dxa"/>
              <w:bottom w:w="72" w:type="dxa"/>
              <w:right w:w="144" w:type="dxa"/>
            </w:tcMar>
            <w:vAlign w:val="center"/>
          </w:tcPr>
          <w:p w14:paraId="2FAEFC29" w14:textId="58ED5F67" w:rsidR="00C348B1" w:rsidRPr="007E0C67" w:rsidRDefault="007E0C67" w:rsidP="007E0C67">
            <w:pPr>
              <w:spacing w:after="0"/>
              <w:contextualSpacing/>
              <w:jc w:val="center"/>
              <w:rPr>
                <w:rFonts w:ascii="Century Gothic" w:hAnsi="Century Gothic"/>
                <w:b/>
                <w:lang w:val="es-ES"/>
              </w:rPr>
            </w:pPr>
            <w:r w:rsidRPr="007E0C67">
              <w:rPr>
                <w:rFonts w:ascii="Century Gothic" w:hAnsi="Century Gothic"/>
                <w:b/>
                <w:lang w:val="es-ES"/>
              </w:rPr>
              <w:t>Participantes</w:t>
            </w:r>
          </w:p>
        </w:tc>
      </w:tr>
      <w:tr w:rsidR="00537F3A" w:rsidRPr="00B52775" w14:paraId="58B148C7" w14:textId="77777777" w:rsidTr="00A95DB5">
        <w:trPr>
          <w:trHeight w:val="404"/>
        </w:trPr>
        <w:tc>
          <w:tcPr>
            <w:tcW w:w="3403" w:type="dxa"/>
            <w:shd w:val="clear" w:color="auto" w:fill="auto"/>
            <w:tcMar>
              <w:top w:w="72" w:type="dxa"/>
              <w:left w:w="144" w:type="dxa"/>
              <w:bottom w:w="72" w:type="dxa"/>
              <w:right w:w="144" w:type="dxa"/>
            </w:tcMar>
            <w:hideMark/>
          </w:tcPr>
          <w:p w14:paraId="73698C85" w14:textId="754C302D" w:rsidR="00537F3A" w:rsidRDefault="00537F3A" w:rsidP="00537F3A">
            <w:pPr>
              <w:spacing w:after="120"/>
              <w:rPr>
                <w:rFonts w:ascii="Century Gothic" w:hAnsi="Century Gothic" w:cs="Arial"/>
                <w:lang w:val="es-ES"/>
              </w:rPr>
            </w:pPr>
            <w:r w:rsidRPr="00B52775">
              <w:rPr>
                <w:rFonts w:ascii="Century Gothic" w:hAnsi="Century Gothic" w:cs="Arial"/>
                <w:lang w:val="es-ES"/>
              </w:rPr>
              <w:t>Workshop con PYME</w:t>
            </w:r>
          </w:p>
          <w:p w14:paraId="3F1073F7" w14:textId="40C57D6D" w:rsidR="00537F3A" w:rsidRPr="00B52775" w:rsidRDefault="00537F3A" w:rsidP="00537F3A">
            <w:pPr>
              <w:spacing w:after="120"/>
              <w:rPr>
                <w:rFonts w:ascii="Century Gothic" w:hAnsi="Century Gothic" w:cs="Arial"/>
                <w:lang w:val="es-ES"/>
              </w:rPr>
            </w:pPr>
            <w:r w:rsidRPr="00B52775">
              <w:rPr>
                <w:rFonts w:ascii="Century Gothic" w:hAnsi="Century Gothic" w:cs="Arial"/>
                <w:lang w:val="es-ES"/>
              </w:rPr>
              <w:t>21 junio</w:t>
            </w:r>
          </w:p>
        </w:tc>
        <w:tc>
          <w:tcPr>
            <w:tcW w:w="5811" w:type="dxa"/>
            <w:shd w:val="clear" w:color="auto" w:fill="auto"/>
            <w:tcMar>
              <w:top w:w="72" w:type="dxa"/>
              <w:left w:w="144" w:type="dxa"/>
              <w:bottom w:w="72" w:type="dxa"/>
              <w:right w:w="144" w:type="dxa"/>
            </w:tcMar>
            <w:hideMark/>
          </w:tcPr>
          <w:p w14:paraId="39353185" w14:textId="77777777" w:rsidR="00220403" w:rsidRDefault="00D67D34" w:rsidP="00D67D34">
            <w:pPr>
              <w:pStyle w:val="Prrafodelista"/>
              <w:numPr>
                <w:ilvl w:val="0"/>
                <w:numId w:val="60"/>
              </w:numPr>
              <w:spacing w:after="0"/>
              <w:rPr>
                <w:rFonts w:ascii="Century Gothic" w:hAnsi="Century Gothic" w:cs="Arial"/>
                <w:lang w:val="es-ES"/>
              </w:rPr>
            </w:pPr>
            <w:r w:rsidRPr="00D67D34">
              <w:rPr>
                <w:rFonts w:ascii="Century Gothic" w:hAnsi="Century Gothic" w:cs="Arial"/>
                <w:lang w:val="es-ES"/>
              </w:rPr>
              <w:t>Jose Manuel Romero</w:t>
            </w:r>
            <w:r>
              <w:rPr>
                <w:rFonts w:ascii="Century Gothic" w:hAnsi="Century Gothic" w:cs="Arial"/>
                <w:lang w:val="es-ES"/>
              </w:rPr>
              <w:t>. MOLECOR.</w:t>
            </w:r>
          </w:p>
          <w:p w14:paraId="597D460F" w14:textId="77777777" w:rsidR="00D67D34" w:rsidRDefault="00D67D34" w:rsidP="00D67D34">
            <w:pPr>
              <w:pStyle w:val="Prrafodelista"/>
              <w:numPr>
                <w:ilvl w:val="0"/>
                <w:numId w:val="60"/>
              </w:numPr>
              <w:spacing w:after="0"/>
              <w:rPr>
                <w:rFonts w:ascii="Century Gothic" w:hAnsi="Century Gothic" w:cs="Arial"/>
                <w:lang w:val="es-ES"/>
              </w:rPr>
            </w:pPr>
            <w:r>
              <w:rPr>
                <w:rFonts w:ascii="Century Gothic" w:hAnsi="Century Gothic" w:cs="Arial"/>
                <w:lang w:val="es-ES"/>
              </w:rPr>
              <w:t xml:space="preserve">Enrique Cat. </w:t>
            </w:r>
            <w:r w:rsidRPr="00D67D34">
              <w:rPr>
                <w:rFonts w:ascii="Century Gothic" w:hAnsi="Century Gothic" w:cs="Arial"/>
                <w:lang w:val="es-ES"/>
              </w:rPr>
              <w:t>Nostoc Biotech</w:t>
            </w:r>
            <w:r>
              <w:rPr>
                <w:rFonts w:ascii="Century Gothic" w:hAnsi="Century Gothic" w:cs="Arial"/>
                <w:lang w:val="es-ES"/>
              </w:rPr>
              <w:t>.</w:t>
            </w:r>
          </w:p>
          <w:p w14:paraId="46562477" w14:textId="5EE6C69C" w:rsidR="00D67D34" w:rsidRDefault="00A95DB5" w:rsidP="00D67D34">
            <w:pPr>
              <w:pStyle w:val="Prrafodelista"/>
              <w:numPr>
                <w:ilvl w:val="0"/>
                <w:numId w:val="60"/>
              </w:numPr>
              <w:spacing w:after="0"/>
              <w:rPr>
                <w:rFonts w:ascii="Century Gothic" w:hAnsi="Century Gothic" w:cs="Arial"/>
                <w:lang w:val="es-ES"/>
              </w:rPr>
            </w:pPr>
            <w:r w:rsidRPr="00D67D34">
              <w:rPr>
                <w:rFonts w:ascii="Century Gothic" w:hAnsi="Century Gothic" w:cs="Arial"/>
                <w:lang w:val="es-ES"/>
              </w:rPr>
              <w:t xml:space="preserve">Javier </w:t>
            </w:r>
            <w:r w:rsidR="00D67D34" w:rsidRPr="00D67D34">
              <w:rPr>
                <w:rFonts w:ascii="Century Gothic" w:hAnsi="Century Gothic" w:cs="Arial"/>
                <w:lang w:val="es-ES"/>
              </w:rPr>
              <w:t>Domínguez</w:t>
            </w:r>
            <w:r w:rsidR="00D67D34">
              <w:rPr>
                <w:rFonts w:ascii="Century Gothic" w:hAnsi="Century Gothic" w:cs="Arial"/>
                <w:lang w:val="es-ES"/>
              </w:rPr>
              <w:t xml:space="preserve">. </w:t>
            </w:r>
            <w:r w:rsidR="00D67D34" w:rsidRPr="00D67D34">
              <w:rPr>
                <w:rFonts w:ascii="Century Gothic" w:hAnsi="Century Gothic" w:cs="Arial"/>
                <w:lang w:val="es-ES"/>
              </w:rPr>
              <w:t>Destilería Urbana SANTAMANÍA</w:t>
            </w:r>
            <w:r w:rsidR="00D67D34">
              <w:rPr>
                <w:rFonts w:ascii="Century Gothic" w:hAnsi="Century Gothic" w:cs="Arial"/>
                <w:lang w:val="es-ES"/>
              </w:rPr>
              <w:t>.</w:t>
            </w:r>
          </w:p>
          <w:p w14:paraId="26CD7A2A" w14:textId="77777777" w:rsidR="00D67D34" w:rsidRDefault="00D67D34" w:rsidP="00D67D34">
            <w:pPr>
              <w:pStyle w:val="Prrafodelista"/>
              <w:numPr>
                <w:ilvl w:val="0"/>
                <w:numId w:val="60"/>
              </w:numPr>
              <w:spacing w:after="0"/>
              <w:rPr>
                <w:rFonts w:ascii="Century Gothic" w:hAnsi="Century Gothic" w:cs="Arial"/>
                <w:lang w:val="es-ES"/>
              </w:rPr>
            </w:pPr>
            <w:r w:rsidRPr="00D67D34">
              <w:rPr>
                <w:rFonts w:ascii="Century Gothic" w:hAnsi="Century Gothic" w:cs="Arial"/>
                <w:lang w:val="es-ES"/>
              </w:rPr>
              <w:t xml:space="preserve">David Castro. </w:t>
            </w:r>
            <w:r>
              <w:rPr>
                <w:rFonts w:ascii="Century Gothic" w:hAnsi="Century Gothic" w:cs="Arial"/>
                <w:lang w:val="es-ES"/>
              </w:rPr>
              <w:t>C</w:t>
            </w:r>
            <w:r w:rsidRPr="00D67D34">
              <w:rPr>
                <w:rFonts w:ascii="Century Gothic" w:hAnsi="Century Gothic" w:cs="Arial"/>
                <w:lang w:val="es-ES"/>
              </w:rPr>
              <w:t>ERVEZAS LA CIBELES</w:t>
            </w:r>
            <w:r>
              <w:rPr>
                <w:rFonts w:ascii="Century Gothic" w:hAnsi="Century Gothic" w:cs="Arial"/>
                <w:lang w:val="es-ES"/>
              </w:rPr>
              <w:t>.</w:t>
            </w:r>
          </w:p>
          <w:p w14:paraId="42623EE5" w14:textId="77777777" w:rsidR="00A95DB5" w:rsidRPr="00BB5008" w:rsidRDefault="00A95DB5" w:rsidP="00A95DB5">
            <w:pPr>
              <w:pStyle w:val="Prrafodelista"/>
              <w:numPr>
                <w:ilvl w:val="0"/>
                <w:numId w:val="60"/>
              </w:numPr>
              <w:spacing w:after="0"/>
              <w:rPr>
                <w:rFonts w:ascii="Century Gothic" w:hAnsi="Century Gothic" w:cs="Arial"/>
              </w:rPr>
            </w:pPr>
            <w:r w:rsidRPr="00BB5008">
              <w:rPr>
                <w:rFonts w:ascii="Century Gothic" w:hAnsi="Century Gothic" w:cs="Arial"/>
              </w:rPr>
              <w:t>Rudy Ostlender. Hydrover Water Solutions S.L.U.</w:t>
            </w:r>
          </w:p>
          <w:p w14:paraId="753DA35E" w14:textId="0E171589" w:rsidR="00A95DB5" w:rsidRPr="00A95DB5" w:rsidRDefault="00A95DB5" w:rsidP="00A95DB5">
            <w:pPr>
              <w:pStyle w:val="Prrafodelista"/>
              <w:numPr>
                <w:ilvl w:val="0"/>
                <w:numId w:val="60"/>
              </w:numPr>
              <w:spacing w:after="0"/>
              <w:rPr>
                <w:rFonts w:ascii="Century Gothic" w:hAnsi="Century Gothic" w:cs="Arial"/>
                <w:lang w:val="es-ES"/>
              </w:rPr>
            </w:pPr>
            <w:r w:rsidRPr="00A95DB5">
              <w:rPr>
                <w:rFonts w:ascii="Century Gothic" w:hAnsi="Century Gothic" w:cs="Arial"/>
                <w:lang w:val="es-ES"/>
              </w:rPr>
              <w:t>Ramón Rodrigáñez</w:t>
            </w:r>
            <w:r>
              <w:rPr>
                <w:rFonts w:ascii="Century Gothic" w:hAnsi="Century Gothic" w:cs="Arial"/>
                <w:lang w:val="es-ES"/>
              </w:rPr>
              <w:t xml:space="preserve">. </w:t>
            </w:r>
            <w:r w:rsidRPr="00A95DB5">
              <w:rPr>
                <w:rFonts w:ascii="Century Gothic" w:hAnsi="Century Gothic" w:cs="Arial"/>
                <w:lang w:val="es-ES"/>
              </w:rPr>
              <w:t>Espaella</w:t>
            </w:r>
            <w:r>
              <w:rPr>
                <w:rFonts w:ascii="Century Gothic" w:hAnsi="Century Gothic" w:cs="Arial"/>
                <w:lang w:val="es-ES"/>
              </w:rPr>
              <w:t>.</w:t>
            </w:r>
          </w:p>
        </w:tc>
      </w:tr>
      <w:tr w:rsidR="00537F3A" w:rsidRPr="00B52775" w14:paraId="229DC5C6" w14:textId="77777777" w:rsidTr="00A95DB5">
        <w:trPr>
          <w:trHeight w:val="342"/>
        </w:trPr>
        <w:tc>
          <w:tcPr>
            <w:tcW w:w="3403" w:type="dxa"/>
            <w:shd w:val="clear" w:color="auto" w:fill="auto"/>
            <w:tcMar>
              <w:top w:w="72" w:type="dxa"/>
              <w:left w:w="144" w:type="dxa"/>
              <w:bottom w:w="72" w:type="dxa"/>
              <w:right w:w="144" w:type="dxa"/>
            </w:tcMar>
            <w:hideMark/>
          </w:tcPr>
          <w:p w14:paraId="5BE5BBA2" w14:textId="57882E9F" w:rsidR="007E0C67" w:rsidRDefault="007E0C67" w:rsidP="00537F3A">
            <w:pPr>
              <w:spacing w:after="120"/>
              <w:rPr>
                <w:rFonts w:ascii="Century Gothic" w:hAnsi="Century Gothic" w:cs="Arial"/>
                <w:lang w:val="es-ES"/>
              </w:rPr>
            </w:pPr>
            <w:r w:rsidRPr="00B52775">
              <w:rPr>
                <w:rFonts w:ascii="Century Gothic" w:hAnsi="Century Gothic" w:cs="Arial"/>
                <w:lang w:val="es-ES"/>
              </w:rPr>
              <w:t>Workshop con representantes académicos</w:t>
            </w:r>
            <w:r w:rsidR="00A95DB5">
              <w:rPr>
                <w:rFonts w:ascii="Century Gothic" w:hAnsi="Century Gothic" w:cs="Arial"/>
                <w:lang w:val="es-ES"/>
              </w:rPr>
              <w:t xml:space="preserve"> y expertos</w:t>
            </w:r>
          </w:p>
          <w:p w14:paraId="2441EF68" w14:textId="2DA2DC2F" w:rsidR="00537F3A" w:rsidRPr="00B52775" w:rsidRDefault="00537F3A" w:rsidP="00537F3A">
            <w:pPr>
              <w:spacing w:after="120"/>
              <w:rPr>
                <w:rFonts w:ascii="Century Gothic" w:hAnsi="Century Gothic" w:cs="Arial"/>
                <w:lang w:val="es-ES"/>
              </w:rPr>
            </w:pPr>
            <w:r w:rsidRPr="00B52775">
              <w:rPr>
                <w:rFonts w:ascii="Century Gothic" w:hAnsi="Century Gothic" w:cs="Arial"/>
                <w:lang w:val="es-ES"/>
              </w:rPr>
              <w:t>22 junio</w:t>
            </w:r>
          </w:p>
        </w:tc>
        <w:tc>
          <w:tcPr>
            <w:tcW w:w="5811" w:type="dxa"/>
            <w:shd w:val="clear" w:color="auto" w:fill="auto"/>
            <w:tcMar>
              <w:top w:w="72" w:type="dxa"/>
              <w:left w:w="144" w:type="dxa"/>
              <w:bottom w:w="72" w:type="dxa"/>
              <w:right w:w="144" w:type="dxa"/>
            </w:tcMar>
            <w:hideMark/>
          </w:tcPr>
          <w:p w14:paraId="711F0F4E" w14:textId="7564653F" w:rsidR="00220403" w:rsidRDefault="00220403" w:rsidP="00FC104A">
            <w:pPr>
              <w:pStyle w:val="Prrafodelista"/>
              <w:numPr>
                <w:ilvl w:val="0"/>
                <w:numId w:val="60"/>
              </w:numPr>
              <w:spacing w:after="0"/>
              <w:rPr>
                <w:rFonts w:ascii="Century Gothic" w:hAnsi="Century Gothic" w:cs="Arial"/>
                <w:lang w:val="es-ES"/>
              </w:rPr>
            </w:pPr>
            <w:r w:rsidRPr="00220403">
              <w:rPr>
                <w:rFonts w:ascii="Century Gothic" w:hAnsi="Century Gothic" w:cs="Arial"/>
                <w:lang w:val="es-ES"/>
              </w:rPr>
              <w:t>Iñaki Ortega</w:t>
            </w:r>
            <w:r>
              <w:rPr>
                <w:rFonts w:ascii="Century Gothic" w:hAnsi="Century Gothic" w:cs="Arial"/>
                <w:lang w:val="es-ES"/>
              </w:rPr>
              <w:t>.</w:t>
            </w:r>
            <w:r w:rsidR="00FC104A">
              <w:rPr>
                <w:rFonts w:ascii="Century Gothic" w:hAnsi="Century Gothic" w:cs="Arial"/>
                <w:lang w:val="es-ES"/>
              </w:rPr>
              <w:t xml:space="preserve"> </w:t>
            </w:r>
            <w:r w:rsidR="00FC104A" w:rsidRPr="00FC104A">
              <w:rPr>
                <w:rFonts w:ascii="Century Gothic" w:hAnsi="Century Gothic" w:cs="Arial"/>
                <w:lang w:val="es-ES"/>
              </w:rPr>
              <w:t>Doctor en Economía y Director en la Deusto Business School en Madrid</w:t>
            </w:r>
            <w:r w:rsidR="00FC104A">
              <w:rPr>
                <w:rFonts w:ascii="Century Gothic" w:hAnsi="Century Gothic" w:cs="Arial"/>
                <w:lang w:val="es-ES"/>
              </w:rPr>
              <w:t>.</w:t>
            </w:r>
          </w:p>
          <w:p w14:paraId="4F9B2928" w14:textId="6B986837" w:rsidR="00220403" w:rsidRPr="00FC104A" w:rsidRDefault="00220403" w:rsidP="00FC104A">
            <w:pPr>
              <w:pStyle w:val="Prrafodelista"/>
              <w:numPr>
                <w:ilvl w:val="0"/>
                <w:numId w:val="60"/>
              </w:numPr>
              <w:spacing w:after="0"/>
              <w:rPr>
                <w:rFonts w:ascii="Century Gothic" w:hAnsi="Century Gothic" w:cs="Arial"/>
                <w:lang w:val="es-ES"/>
              </w:rPr>
            </w:pPr>
            <w:r w:rsidRPr="00FC104A">
              <w:rPr>
                <w:rFonts w:ascii="Century Gothic" w:hAnsi="Century Gothic" w:cs="Arial"/>
                <w:lang w:val="es-ES"/>
              </w:rPr>
              <w:t>Daniel Soriano.</w:t>
            </w:r>
            <w:r w:rsidR="00FC104A" w:rsidRPr="00FC104A">
              <w:rPr>
                <w:rFonts w:ascii="Century Gothic" w:hAnsi="Century Gothic" w:cs="Arial"/>
                <w:lang w:val="es-ES"/>
              </w:rPr>
              <w:t xml:space="preserve"> Director del Centro de Emprendimiento e Innovación. IE Business School</w:t>
            </w:r>
          </w:p>
          <w:p w14:paraId="31C522AC" w14:textId="1BF2793A" w:rsidR="00220403" w:rsidRPr="00FC104A" w:rsidRDefault="00220403" w:rsidP="00FC104A">
            <w:pPr>
              <w:pStyle w:val="Prrafodelista"/>
              <w:numPr>
                <w:ilvl w:val="0"/>
                <w:numId w:val="60"/>
              </w:numPr>
              <w:spacing w:after="0"/>
              <w:rPr>
                <w:rFonts w:ascii="Century Gothic" w:hAnsi="Century Gothic" w:cs="Arial"/>
                <w:lang w:val="es-ES"/>
              </w:rPr>
            </w:pPr>
            <w:r w:rsidRPr="00FC104A">
              <w:rPr>
                <w:rFonts w:ascii="Century Gothic" w:hAnsi="Century Gothic" w:cs="Arial"/>
                <w:lang w:val="es-ES"/>
              </w:rPr>
              <w:t>Isidro de Pablo.</w:t>
            </w:r>
            <w:r w:rsidR="00FC104A" w:rsidRPr="00FC104A">
              <w:rPr>
                <w:rFonts w:ascii="Century Gothic" w:hAnsi="Century Gothic" w:cs="Arial"/>
                <w:lang w:val="es-ES"/>
              </w:rPr>
              <w:t xml:space="preserve"> Catedrático, Dpto. de Organización de Empresas. Universidad Autónoma de Madrid</w:t>
            </w:r>
          </w:p>
          <w:p w14:paraId="4BC4C8D3" w14:textId="5A0F2C77" w:rsidR="00220403" w:rsidRPr="00FC104A" w:rsidRDefault="00220403" w:rsidP="00FC104A">
            <w:pPr>
              <w:pStyle w:val="Prrafodelista"/>
              <w:numPr>
                <w:ilvl w:val="0"/>
                <w:numId w:val="60"/>
              </w:numPr>
              <w:spacing w:after="0"/>
              <w:rPr>
                <w:rFonts w:ascii="Century Gothic" w:hAnsi="Century Gothic" w:cs="Arial"/>
                <w:lang w:val="es-ES"/>
              </w:rPr>
            </w:pPr>
            <w:r w:rsidRPr="00FC104A">
              <w:rPr>
                <w:rFonts w:ascii="Century Gothic" w:hAnsi="Century Gothic" w:cs="Arial"/>
                <w:lang w:val="es-ES"/>
              </w:rPr>
              <w:t>Vicente Salas</w:t>
            </w:r>
            <w:r w:rsidR="00FC104A" w:rsidRPr="00FC104A">
              <w:rPr>
                <w:rFonts w:ascii="Century Gothic" w:hAnsi="Century Gothic" w:cs="Arial"/>
                <w:lang w:val="es-ES"/>
              </w:rPr>
              <w:t>. Catedrático, Dpto. de Dirección y Organización de Empresas. Facultad de Economía y Empresa. Universidad de Zaragoza</w:t>
            </w:r>
          </w:p>
          <w:p w14:paraId="3AC9E120" w14:textId="77777777" w:rsidR="00537F3A" w:rsidRDefault="00220403" w:rsidP="00FC104A">
            <w:pPr>
              <w:pStyle w:val="Prrafodelista"/>
              <w:numPr>
                <w:ilvl w:val="0"/>
                <w:numId w:val="60"/>
              </w:numPr>
              <w:spacing w:after="0"/>
              <w:rPr>
                <w:rFonts w:ascii="Century Gothic" w:hAnsi="Century Gothic" w:cs="Arial"/>
                <w:lang w:val="es-ES"/>
              </w:rPr>
            </w:pPr>
            <w:r>
              <w:rPr>
                <w:rFonts w:ascii="Century Gothic" w:hAnsi="Century Gothic" w:cs="Arial"/>
                <w:lang w:val="es-ES"/>
              </w:rPr>
              <w:t>María Callejón.</w:t>
            </w:r>
            <w:r w:rsidR="00FC104A">
              <w:rPr>
                <w:rFonts w:ascii="Century Gothic" w:hAnsi="Century Gothic" w:cs="Arial"/>
                <w:lang w:val="es-ES"/>
              </w:rPr>
              <w:t xml:space="preserve"> </w:t>
            </w:r>
            <w:r w:rsidR="00FC104A" w:rsidRPr="00FC104A">
              <w:rPr>
                <w:rFonts w:ascii="Century Gothic" w:hAnsi="Century Gothic" w:cs="Arial"/>
                <w:lang w:val="es-ES"/>
              </w:rPr>
              <w:t>Catedrática. Demografía empresarial, organización industrial y políticas de innovación</w:t>
            </w:r>
            <w:r w:rsidR="00FC104A">
              <w:rPr>
                <w:rFonts w:ascii="Century Gothic" w:hAnsi="Century Gothic" w:cs="Arial"/>
                <w:lang w:val="es-ES"/>
              </w:rPr>
              <w:t xml:space="preserve">. </w:t>
            </w:r>
            <w:r w:rsidR="00FC104A" w:rsidRPr="00FC104A">
              <w:rPr>
                <w:rFonts w:ascii="Century Gothic" w:hAnsi="Century Gothic" w:cs="Arial"/>
                <w:lang w:val="es-ES"/>
              </w:rPr>
              <w:t>Universidad de Barcelona</w:t>
            </w:r>
            <w:r w:rsidR="00A95DB5">
              <w:rPr>
                <w:rFonts w:ascii="Century Gothic" w:hAnsi="Century Gothic" w:cs="Arial"/>
                <w:lang w:val="es-ES"/>
              </w:rPr>
              <w:t>.</w:t>
            </w:r>
          </w:p>
          <w:p w14:paraId="606090B9" w14:textId="77777777" w:rsidR="00A95DB5" w:rsidRDefault="00A95DB5" w:rsidP="00A95DB5">
            <w:pPr>
              <w:pStyle w:val="Prrafodelista"/>
              <w:numPr>
                <w:ilvl w:val="0"/>
                <w:numId w:val="60"/>
              </w:numPr>
              <w:spacing w:after="0"/>
              <w:rPr>
                <w:rFonts w:ascii="Century Gothic" w:hAnsi="Century Gothic" w:cs="Arial"/>
                <w:lang w:val="es-ES"/>
              </w:rPr>
            </w:pPr>
            <w:r>
              <w:rPr>
                <w:rFonts w:ascii="Century Gothic" w:hAnsi="Century Gothic" w:cs="Arial"/>
                <w:lang w:val="es-ES"/>
              </w:rPr>
              <w:t xml:space="preserve">José Antonio Herce. </w:t>
            </w:r>
            <w:r w:rsidRPr="00A95DB5">
              <w:rPr>
                <w:rFonts w:ascii="Century Gothic" w:hAnsi="Century Gothic" w:cs="Arial"/>
                <w:lang w:val="es-ES"/>
              </w:rPr>
              <w:t>Analistas Financieros Internacionales</w:t>
            </w:r>
          </w:p>
          <w:p w14:paraId="108A3EF4" w14:textId="5C7A6301" w:rsidR="00A95DB5" w:rsidRPr="00A95DB5" w:rsidRDefault="00A95DB5" w:rsidP="00A95DB5">
            <w:pPr>
              <w:pStyle w:val="Prrafodelista"/>
              <w:numPr>
                <w:ilvl w:val="0"/>
                <w:numId w:val="60"/>
              </w:numPr>
              <w:spacing w:after="0"/>
              <w:ind w:left="357" w:hanging="357"/>
              <w:rPr>
                <w:rFonts w:ascii="Century Gothic" w:hAnsi="Century Gothic" w:cs="Arial"/>
                <w:lang w:val="es-ES"/>
              </w:rPr>
            </w:pPr>
            <w:r w:rsidRPr="00A95DB5">
              <w:rPr>
                <w:rFonts w:ascii="Century Gothic" w:hAnsi="Century Gothic" w:cs="Arial"/>
                <w:lang w:val="es-ES"/>
              </w:rPr>
              <w:t>Ramón Pueyo. KPMG</w:t>
            </w:r>
            <w:r>
              <w:rPr>
                <w:rFonts w:ascii="Century Gothic" w:hAnsi="Century Gothic" w:cs="Arial"/>
                <w:lang w:val="es-ES"/>
              </w:rPr>
              <w:t>.</w:t>
            </w:r>
          </w:p>
        </w:tc>
      </w:tr>
      <w:tr w:rsidR="00537F3A" w:rsidRPr="00B52775" w14:paraId="0899726E" w14:textId="77777777" w:rsidTr="00A95DB5">
        <w:trPr>
          <w:trHeight w:val="335"/>
        </w:trPr>
        <w:tc>
          <w:tcPr>
            <w:tcW w:w="3403" w:type="dxa"/>
            <w:shd w:val="clear" w:color="auto" w:fill="auto"/>
            <w:tcMar>
              <w:top w:w="72" w:type="dxa"/>
              <w:left w:w="144" w:type="dxa"/>
              <w:bottom w:w="72" w:type="dxa"/>
              <w:right w:w="144" w:type="dxa"/>
            </w:tcMar>
            <w:hideMark/>
          </w:tcPr>
          <w:p w14:paraId="115A27C3" w14:textId="28AFA730" w:rsidR="007E0C67" w:rsidRDefault="007E0C67" w:rsidP="00537F3A">
            <w:pPr>
              <w:spacing w:after="120"/>
              <w:rPr>
                <w:rFonts w:ascii="Century Gothic" w:hAnsi="Century Gothic" w:cs="Arial"/>
                <w:lang w:val="es-ES"/>
              </w:rPr>
            </w:pPr>
            <w:r w:rsidRPr="00B52775">
              <w:rPr>
                <w:rFonts w:ascii="Century Gothic" w:hAnsi="Century Gothic" w:cs="Arial"/>
                <w:lang w:val="es-ES"/>
              </w:rPr>
              <w:t>Workshop con otros agentes del ecosistema emprendedor</w:t>
            </w:r>
          </w:p>
          <w:p w14:paraId="19B8FA13" w14:textId="437F9A95" w:rsidR="00537F3A" w:rsidRPr="00B52775" w:rsidRDefault="00537F3A" w:rsidP="00537F3A">
            <w:pPr>
              <w:spacing w:after="120"/>
              <w:rPr>
                <w:rFonts w:ascii="Century Gothic" w:hAnsi="Century Gothic" w:cs="Arial"/>
                <w:lang w:val="es-ES"/>
              </w:rPr>
            </w:pPr>
            <w:r w:rsidRPr="00B52775">
              <w:rPr>
                <w:rFonts w:ascii="Century Gothic" w:hAnsi="Century Gothic" w:cs="Arial"/>
                <w:lang w:val="es-ES"/>
              </w:rPr>
              <w:t>23 junio</w:t>
            </w:r>
          </w:p>
        </w:tc>
        <w:tc>
          <w:tcPr>
            <w:tcW w:w="5811" w:type="dxa"/>
            <w:shd w:val="clear" w:color="auto" w:fill="auto"/>
            <w:tcMar>
              <w:top w:w="72" w:type="dxa"/>
              <w:left w:w="144" w:type="dxa"/>
              <w:bottom w:w="72" w:type="dxa"/>
              <w:right w:w="144" w:type="dxa"/>
            </w:tcMar>
            <w:hideMark/>
          </w:tcPr>
          <w:p w14:paraId="60E14B62" w14:textId="262B1CD4" w:rsidR="00537F3A" w:rsidRDefault="0029775F"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 xml:space="preserve">Carlos Ruiz Fonseca. </w:t>
            </w:r>
            <w:r w:rsidR="00220403">
              <w:rPr>
                <w:rFonts w:ascii="Century Gothic" w:hAnsi="Century Gothic" w:cs="Arial"/>
                <w:lang w:val="es-ES"/>
              </w:rPr>
              <w:t>CEPYME.</w:t>
            </w:r>
          </w:p>
          <w:p w14:paraId="38C2BBA6" w14:textId="2A5552C8" w:rsidR="00220403" w:rsidRDefault="0029775F"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 xml:space="preserve">Dominique Barthel. ASCRI. </w:t>
            </w:r>
          </w:p>
          <w:p w14:paraId="07B29ADD" w14:textId="77777777" w:rsidR="0029775F" w:rsidRDefault="0029775F"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Jesús Fernández. ISBA SGR.</w:t>
            </w:r>
          </w:p>
          <w:p w14:paraId="6F1F36BA" w14:textId="66750F13" w:rsidR="0029775F" w:rsidRDefault="0029775F"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Ángel Jurado. CCOO</w:t>
            </w:r>
          </w:p>
          <w:p w14:paraId="33D02A63" w14:textId="4F181862" w:rsidR="00AC3C45" w:rsidRDefault="00AC3C45"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Gonzalo Pino. UGT.</w:t>
            </w:r>
          </w:p>
          <w:p w14:paraId="23416102" w14:textId="77777777" w:rsidR="0029775F" w:rsidRDefault="0029775F"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Raquel Jiménez. Red Emprendeverde.</w:t>
            </w:r>
          </w:p>
          <w:p w14:paraId="16318130" w14:textId="77777777" w:rsidR="0029775F" w:rsidRDefault="0029775F"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Francesc Solé Parellada. Fundación CYD</w:t>
            </w:r>
          </w:p>
          <w:p w14:paraId="2489D8B5" w14:textId="77777777" w:rsidR="0029775F" w:rsidRDefault="0029775F"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Instituto Empresa familiar.</w:t>
            </w:r>
          </w:p>
          <w:p w14:paraId="43DE2234" w14:textId="77777777" w:rsidR="00533545" w:rsidRDefault="00533545"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COTEC</w:t>
            </w:r>
          </w:p>
          <w:p w14:paraId="685E66C5" w14:textId="1021FC80" w:rsidR="004F3D17" w:rsidRPr="00220403" w:rsidRDefault="004F3D17" w:rsidP="00220403">
            <w:pPr>
              <w:pStyle w:val="Prrafodelista"/>
              <w:numPr>
                <w:ilvl w:val="0"/>
                <w:numId w:val="59"/>
              </w:numPr>
              <w:spacing w:after="0"/>
              <w:ind w:left="357" w:hanging="357"/>
              <w:rPr>
                <w:rFonts w:ascii="Century Gothic" w:hAnsi="Century Gothic" w:cs="Arial"/>
                <w:lang w:val="es-ES"/>
              </w:rPr>
            </w:pPr>
            <w:r>
              <w:rPr>
                <w:rFonts w:ascii="Century Gothic" w:hAnsi="Century Gothic" w:cs="Arial"/>
                <w:lang w:val="es-ES"/>
              </w:rPr>
              <w:t>Cámara de Comercio de España.</w:t>
            </w:r>
          </w:p>
        </w:tc>
      </w:tr>
    </w:tbl>
    <w:p w14:paraId="4464DC2D" w14:textId="77777777" w:rsidR="00537F3A" w:rsidRDefault="00537F3A">
      <w:pPr>
        <w:spacing w:after="0"/>
        <w:jc w:val="left"/>
        <w:rPr>
          <w:rFonts w:ascii="Century Gothic" w:hAnsi="Century Gothic" w:cs="Arial"/>
          <w:b/>
          <w:color w:val="003399"/>
          <w:sz w:val="24"/>
          <w:lang w:val="es-ES"/>
        </w:rPr>
      </w:pPr>
    </w:p>
    <w:p w14:paraId="4C38814C" w14:textId="7228BDC3" w:rsidR="00B52775" w:rsidRPr="00DB0F5A" w:rsidRDefault="00721528" w:rsidP="00591E04">
      <w:pPr>
        <w:pStyle w:val="Ttulo1"/>
        <w:pageBreakBefore/>
        <w:numPr>
          <w:ilvl w:val="0"/>
          <w:numId w:val="28"/>
        </w:numPr>
        <w:tabs>
          <w:tab w:val="left" w:pos="1701"/>
        </w:tabs>
        <w:spacing w:before="0" w:line="276" w:lineRule="auto"/>
        <w:rPr>
          <w:rFonts w:cs="Arial"/>
          <w:color w:val="003399"/>
          <w:sz w:val="28"/>
          <w:szCs w:val="22"/>
          <w:lang w:val="es-ES"/>
        </w:rPr>
      </w:pPr>
      <w:bookmarkStart w:id="45" w:name="_Toc523847362"/>
      <w:bookmarkStart w:id="46" w:name="_Toc525300104"/>
      <w:bookmarkStart w:id="47" w:name="_Toc526423236"/>
      <w:r w:rsidRPr="00DB0F5A">
        <w:rPr>
          <w:rFonts w:cs="Arial"/>
          <w:color w:val="003399"/>
          <w:sz w:val="28"/>
          <w:szCs w:val="22"/>
          <w:lang w:val="es-ES"/>
        </w:rPr>
        <w:t>Definición de PYME</w:t>
      </w:r>
      <w:bookmarkEnd w:id="45"/>
      <w:bookmarkEnd w:id="46"/>
      <w:bookmarkEnd w:id="47"/>
    </w:p>
    <w:p w14:paraId="2EC51B59" w14:textId="77777777" w:rsidR="00721528" w:rsidRPr="00721528" w:rsidRDefault="00721528" w:rsidP="00721528">
      <w:pPr>
        <w:spacing w:before="60" w:afterLines="60" w:after="144"/>
        <w:contextualSpacing/>
        <w:rPr>
          <w:rFonts w:ascii="Century Gothic" w:hAnsi="Century Gothic"/>
          <w:lang w:val="es-ES"/>
        </w:rPr>
      </w:pPr>
      <w:r w:rsidRPr="00721528">
        <w:rPr>
          <w:rFonts w:ascii="Century Gothic" w:hAnsi="Century Gothic"/>
          <w:lang w:val="es-ES"/>
        </w:rPr>
        <w:t>La Definición de PYME está recogida en el Anexo I del Reglamento (UE) nº 651/2014 de la Comisión.</w:t>
      </w:r>
    </w:p>
    <w:p w14:paraId="5AB6FDE5" w14:textId="77777777" w:rsidR="00721528" w:rsidRPr="00721528" w:rsidRDefault="00721528" w:rsidP="00721528">
      <w:pPr>
        <w:spacing w:before="60" w:afterLines="60" w:after="144"/>
        <w:contextualSpacing/>
        <w:rPr>
          <w:rFonts w:ascii="Century Gothic" w:hAnsi="Century Gothic"/>
          <w:lang w:val="es-ES"/>
        </w:rPr>
      </w:pPr>
    </w:p>
    <w:p w14:paraId="39372EDB" w14:textId="77777777" w:rsidR="00721528" w:rsidRPr="00721528" w:rsidRDefault="00721528" w:rsidP="00721528">
      <w:pPr>
        <w:spacing w:before="60" w:afterLines="60" w:after="144"/>
        <w:contextualSpacing/>
        <w:rPr>
          <w:rFonts w:ascii="Century Gothic" w:hAnsi="Century Gothic"/>
          <w:lang w:val="es-ES"/>
        </w:rPr>
      </w:pPr>
      <w:r w:rsidRPr="00721528">
        <w:rPr>
          <w:rFonts w:ascii="Century Gothic" w:hAnsi="Century Gothic"/>
          <w:lang w:val="es-ES"/>
        </w:rPr>
        <w:t>El texto define los tipos de empresa y fija un método transparente para calcular los límites financieros y el número de empleados.</w:t>
      </w:r>
    </w:p>
    <w:p w14:paraId="150D5A48" w14:textId="77777777" w:rsidR="00721528" w:rsidRPr="00721528" w:rsidRDefault="00721528" w:rsidP="00721528">
      <w:pPr>
        <w:spacing w:before="60" w:afterLines="60" w:after="144"/>
        <w:contextualSpacing/>
        <w:rPr>
          <w:rFonts w:ascii="Century Gothic" w:hAnsi="Century Gothic"/>
          <w:lang w:val="es-ES"/>
        </w:rPr>
      </w:pPr>
    </w:p>
    <w:tbl>
      <w:tblPr>
        <w:tblStyle w:val="Tablaconcuadrcula"/>
        <w:tblW w:w="0" w:type="auto"/>
        <w:tblInd w:w="108" w:type="dxa"/>
        <w:tblLook w:val="04A0" w:firstRow="1" w:lastRow="0" w:firstColumn="1" w:lastColumn="0" w:noHBand="0" w:noVBand="1"/>
      </w:tblPr>
      <w:tblGrid>
        <w:gridCol w:w="2410"/>
        <w:gridCol w:w="2087"/>
        <w:gridCol w:w="2303"/>
        <w:gridCol w:w="2303"/>
      </w:tblGrid>
      <w:tr w:rsidR="00721528" w:rsidRPr="00985291" w14:paraId="69AA1431" w14:textId="77777777" w:rsidTr="0074174B">
        <w:trPr>
          <w:cnfStyle w:val="100000000000" w:firstRow="1" w:lastRow="0" w:firstColumn="0" w:lastColumn="0" w:oddVBand="0" w:evenVBand="0" w:oddHBand="0" w:evenHBand="0" w:firstRowFirstColumn="0" w:firstRowLastColumn="0" w:lastRowFirstColumn="0" w:lastRowLastColumn="0"/>
        </w:trPr>
        <w:tc>
          <w:tcPr>
            <w:tcW w:w="2410" w:type="dxa"/>
          </w:tcPr>
          <w:p w14:paraId="3C4D4403" w14:textId="77777777" w:rsidR="00721528" w:rsidRPr="00985291" w:rsidRDefault="00721528" w:rsidP="0074174B">
            <w:pPr>
              <w:jc w:val="center"/>
              <w:rPr>
                <w:b/>
                <w:lang w:val="es-ES"/>
              </w:rPr>
            </w:pPr>
            <w:r w:rsidRPr="00985291">
              <w:rPr>
                <w:b/>
                <w:lang w:val="es-ES"/>
              </w:rPr>
              <w:t>Categoría de empresa</w:t>
            </w:r>
          </w:p>
        </w:tc>
        <w:tc>
          <w:tcPr>
            <w:tcW w:w="2087" w:type="dxa"/>
          </w:tcPr>
          <w:p w14:paraId="7B370858" w14:textId="77777777" w:rsidR="00721528" w:rsidRPr="00985291" w:rsidRDefault="00721528" w:rsidP="0074174B">
            <w:pPr>
              <w:jc w:val="center"/>
              <w:rPr>
                <w:b/>
                <w:lang w:val="es-ES"/>
              </w:rPr>
            </w:pPr>
            <w:r w:rsidRPr="00985291">
              <w:rPr>
                <w:b/>
                <w:lang w:val="es-ES"/>
              </w:rPr>
              <w:t>Número empleados</w:t>
            </w:r>
          </w:p>
        </w:tc>
        <w:tc>
          <w:tcPr>
            <w:tcW w:w="2303" w:type="dxa"/>
          </w:tcPr>
          <w:p w14:paraId="09480F55" w14:textId="77777777" w:rsidR="00721528" w:rsidRPr="00985291" w:rsidRDefault="00721528" w:rsidP="0074174B">
            <w:pPr>
              <w:jc w:val="center"/>
              <w:rPr>
                <w:b/>
                <w:lang w:val="es-ES"/>
              </w:rPr>
            </w:pPr>
            <w:r w:rsidRPr="00985291">
              <w:rPr>
                <w:b/>
                <w:lang w:val="es-ES"/>
              </w:rPr>
              <w:t>Volumen de negocio</w:t>
            </w:r>
          </w:p>
        </w:tc>
        <w:tc>
          <w:tcPr>
            <w:tcW w:w="2303" w:type="dxa"/>
          </w:tcPr>
          <w:p w14:paraId="2C80F0FE" w14:textId="77777777" w:rsidR="00721528" w:rsidRPr="00985291" w:rsidRDefault="00721528" w:rsidP="0074174B">
            <w:pPr>
              <w:jc w:val="center"/>
              <w:rPr>
                <w:b/>
                <w:lang w:val="es-ES"/>
              </w:rPr>
            </w:pPr>
            <w:r w:rsidRPr="00985291">
              <w:rPr>
                <w:b/>
                <w:lang w:val="es-ES"/>
              </w:rPr>
              <w:t>Balance general</w:t>
            </w:r>
          </w:p>
        </w:tc>
      </w:tr>
      <w:tr w:rsidR="00721528" w14:paraId="602AC83E" w14:textId="77777777" w:rsidTr="0074174B">
        <w:tc>
          <w:tcPr>
            <w:tcW w:w="2410" w:type="dxa"/>
          </w:tcPr>
          <w:p w14:paraId="3CD5866D" w14:textId="77777777" w:rsidR="00721528" w:rsidRDefault="00721528" w:rsidP="0074174B">
            <w:pPr>
              <w:jc w:val="center"/>
              <w:rPr>
                <w:lang w:val="es-ES"/>
              </w:rPr>
            </w:pPr>
            <w:r w:rsidRPr="00C0564D">
              <w:rPr>
                <w:lang w:val="es-ES"/>
              </w:rPr>
              <w:t>Micro</w:t>
            </w:r>
          </w:p>
        </w:tc>
        <w:tc>
          <w:tcPr>
            <w:tcW w:w="2087" w:type="dxa"/>
          </w:tcPr>
          <w:p w14:paraId="6692C947" w14:textId="77777777" w:rsidR="00721528" w:rsidRDefault="00721528" w:rsidP="0074174B">
            <w:pPr>
              <w:jc w:val="center"/>
              <w:rPr>
                <w:lang w:val="es-ES"/>
              </w:rPr>
            </w:pPr>
            <w:r w:rsidRPr="00C0564D">
              <w:rPr>
                <w:lang w:val="es-ES"/>
              </w:rPr>
              <w:t>&lt;10</w:t>
            </w:r>
          </w:p>
        </w:tc>
        <w:tc>
          <w:tcPr>
            <w:tcW w:w="2303" w:type="dxa"/>
          </w:tcPr>
          <w:p w14:paraId="2840A626" w14:textId="77777777" w:rsidR="00721528" w:rsidRDefault="00721528" w:rsidP="0074174B">
            <w:pPr>
              <w:jc w:val="center"/>
              <w:rPr>
                <w:lang w:val="es-ES"/>
              </w:rPr>
            </w:pPr>
            <w:r w:rsidRPr="00C0564D">
              <w:rPr>
                <w:lang w:val="es-ES"/>
              </w:rPr>
              <w:t>&lt;= 2 millones EUR</w:t>
            </w:r>
          </w:p>
        </w:tc>
        <w:tc>
          <w:tcPr>
            <w:tcW w:w="2303" w:type="dxa"/>
          </w:tcPr>
          <w:p w14:paraId="5332D539" w14:textId="77777777" w:rsidR="00721528" w:rsidRDefault="00721528" w:rsidP="0074174B">
            <w:pPr>
              <w:jc w:val="center"/>
              <w:rPr>
                <w:lang w:val="es-ES"/>
              </w:rPr>
            </w:pPr>
            <w:r w:rsidRPr="00C0564D">
              <w:rPr>
                <w:lang w:val="es-ES"/>
              </w:rPr>
              <w:t>&lt;= 2 millones EUR</w:t>
            </w:r>
          </w:p>
        </w:tc>
      </w:tr>
      <w:tr w:rsidR="00721528" w14:paraId="4D911052" w14:textId="77777777" w:rsidTr="0074174B">
        <w:tc>
          <w:tcPr>
            <w:tcW w:w="2410" w:type="dxa"/>
          </w:tcPr>
          <w:p w14:paraId="6450D8E0" w14:textId="77777777" w:rsidR="00721528" w:rsidRDefault="00721528" w:rsidP="0074174B">
            <w:pPr>
              <w:jc w:val="center"/>
              <w:rPr>
                <w:lang w:val="es-ES"/>
              </w:rPr>
            </w:pPr>
            <w:r w:rsidRPr="00C0564D">
              <w:rPr>
                <w:lang w:val="es-ES"/>
              </w:rPr>
              <w:t>Pequeña</w:t>
            </w:r>
          </w:p>
        </w:tc>
        <w:tc>
          <w:tcPr>
            <w:tcW w:w="2087" w:type="dxa"/>
          </w:tcPr>
          <w:p w14:paraId="0C9CE7DD" w14:textId="77777777" w:rsidR="00721528" w:rsidRDefault="00721528" w:rsidP="0074174B">
            <w:pPr>
              <w:jc w:val="center"/>
              <w:rPr>
                <w:lang w:val="es-ES"/>
              </w:rPr>
            </w:pPr>
            <w:r w:rsidRPr="00C0564D">
              <w:rPr>
                <w:lang w:val="es-ES"/>
              </w:rPr>
              <w:t>&lt;50</w:t>
            </w:r>
          </w:p>
        </w:tc>
        <w:tc>
          <w:tcPr>
            <w:tcW w:w="2303" w:type="dxa"/>
          </w:tcPr>
          <w:p w14:paraId="7A77BEA2" w14:textId="77777777" w:rsidR="00721528" w:rsidRDefault="00721528" w:rsidP="0074174B">
            <w:pPr>
              <w:jc w:val="center"/>
              <w:rPr>
                <w:lang w:val="es-ES"/>
              </w:rPr>
            </w:pPr>
            <w:r w:rsidRPr="00C0564D">
              <w:rPr>
                <w:lang w:val="es-ES"/>
              </w:rPr>
              <w:t>&lt;= 10 millones EUR</w:t>
            </w:r>
          </w:p>
        </w:tc>
        <w:tc>
          <w:tcPr>
            <w:tcW w:w="2303" w:type="dxa"/>
          </w:tcPr>
          <w:p w14:paraId="5ED93347" w14:textId="77777777" w:rsidR="00721528" w:rsidRDefault="00721528" w:rsidP="0074174B">
            <w:pPr>
              <w:jc w:val="center"/>
              <w:rPr>
                <w:lang w:val="es-ES"/>
              </w:rPr>
            </w:pPr>
            <w:r w:rsidRPr="00C0564D">
              <w:rPr>
                <w:lang w:val="es-ES"/>
              </w:rPr>
              <w:t>&lt;= 10 millones EUR</w:t>
            </w:r>
          </w:p>
        </w:tc>
      </w:tr>
      <w:tr w:rsidR="00721528" w14:paraId="1270FC64" w14:textId="77777777" w:rsidTr="0074174B">
        <w:tc>
          <w:tcPr>
            <w:tcW w:w="2410" w:type="dxa"/>
          </w:tcPr>
          <w:p w14:paraId="512BF859" w14:textId="77777777" w:rsidR="00721528" w:rsidRDefault="00721528" w:rsidP="0074174B">
            <w:pPr>
              <w:jc w:val="center"/>
              <w:rPr>
                <w:lang w:val="es-ES"/>
              </w:rPr>
            </w:pPr>
            <w:r w:rsidRPr="00C0564D">
              <w:rPr>
                <w:lang w:val="es-ES"/>
              </w:rPr>
              <w:t>Mediana</w:t>
            </w:r>
          </w:p>
        </w:tc>
        <w:tc>
          <w:tcPr>
            <w:tcW w:w="2087" w:type="dxa"/>
          </w:tcPr>
          <w:p w14:paraId="1EE35104" w14:textId="77777777" w:rsidR="00721528" w:rsidRDefault="00721528" w:rsidP="0074174B">
            <w:pPr>
              <w:jc w:val="center"/>
              <w:rPr>
                <w:lang w:val="es-ES"/>
              </w:rPr>
            </w:pPr>
            <w:r w:rsidRPr="00C0564D">
              <w:rPr>
                <w:lang w:val="es-ES"/>
              </w:rPr>
              <w:t>&lt;250</w:t>
            </w:r>
          </w:p>
        </w:tc>
        <w:tc>
          <w:tcPr>
            <w:tcW w:w="2303" w:type="dxa"/>
          </w:tcPr>
          <w:p w14:paraId="11A7C266" w14:textId="77777777" w:rsidR="00721528" w:rsidRDefault="00721528" w:rsidP="0074174B">
            <w:pPr>
              <w:jc w:val="center"/>
              <w:rPr>
                <w:lang w:val="es-ES"/>
              </w:rPr>
            </w:pPr>
            <w:r w:rsidRPr="00C0564D">
              <w:rPr>
                <w:lang w:val="es-ES"/>
              </w:rPr>
              <w:t>&lt;= 50 millones EUR</w:t>
            </w:r>
          </w:p>
        </w:tc>
        <w:tc>
          <w:tcPr>
            <w:tcW w:w="2303" w:type="dxa"/>
          </w:tcPr>
          <w:p w14:paraId="6BD98284" w14:textId="77777777" w:rsidR="00721528" w:rsidRDefault="00721528" w:rsidP="0074174B">
            <w:pPr>
              <w:jc w:val="center"/>
              <w:rPr>
                <w:lang w:val="es-ES"/>
              </w:rPr>
            </w:pPr>
            <w:r w:rsidRPr="00C0564D">
              <w:rPr>
                <w:lang w:val="es-ES"/>
              </w:rPr>
              <w:t>&lt;= 43 millones EUR</w:t>
            </w:r>
          </w:p>
        </w:tc>
      </w:tr>
    </w:tbl>
    <w:p w14:paraId="138F3450" w14:textId="77777777" w:rsidR="00721528" w:rsidRPr="00721528" w:rsidRDefault="00721528" w:rsidP="00721528">
      <w:pPr>
        <w:spacing w:before="60" w:afterLines="60" w:after="144"/>
        <w:contextualSpacing/>
        <w:rPr>
          <w:rFonts w:ascii="Century Gothic" w:hAnsi="Century Gothic"/>
          <w:sz w:val="18"/>
          <w:szCs w:val="18"/>
          <w:lang w:val="es-ES"/>
        </w:rPr>
      </w:pPr>
      <w:r w:rsidRPr="00721528">
        <w:rPr>
          <w:rFonts w:ascii="Century Gothic" w:hAnsi="Century Gothic"/>
          <w:sz w:val="18"/>
          <w:szCs w:val="18"/>
          <w:lang w:val="es-ES"/>
        </w:rPr>
        <w:t>Nota. En estas definiciones se incluyen los empresarios autónomos.</w:t>
      </w:r>
    </w:p>
    <w:p w14:paraId="77D6AC70" w14:textId="77777777" w:rsidR="00721528" w:rsidRPr="00721528" w:rsidRDefault="00721528" w:rsidP="00721528">
      <w:pPr>
        <w:spacing w:before="60" w:afterLines="60" w:after="144"/>
        <w:contextualSpacing/>
        <w:rPr>
          <w:rFonts w:ascii="Century Gothic" w:hAnsi="Century Gothic"/>
          <w:lang w:val="es-ES"/>
        </w:rPr>
      </w:pPr>
    </w:p>
    <w:p w14:paraId="01A23A8E" w14:textId="77777777" w:rsidR="00721528" w:rsidRPr="00721528" w:rsidRDefault="00721528" w:rsidP="00721528">
      <w:pPr>
        <w:spacing w:before="60" w:afterLines="60" w:after="144"/>
        <w:contextualSpacing/>
        <w:rPr>
          <w:rFonts w:ascii="Century Gothic" w:hAnsi="Century Gothic"/>
          <w:lang w:val="es-ES"/>
        </w:rPr>
      </w:pPr>
      <w:r w:rsidRPr="00721528">
        <w:rPr>
          <w:rFonts w:ascii="Century Gothic" w:hAnsi="Century Gothic"/>
          <w:lang w:val="es-ES"/>
        </w:rPr>
        <w:t>Para la consideración de micro, pequeña o mediana empresas se ha de cumplir el requisito del número de empleados y uno de los dos requisitos económicos, el del volumen de negocio o el del balance general.</w:t>
      </w:r>
    </w:p>
    <w:p w14:paraId="47AD026C" w14:textId="77777777" w:rsidR="00721528" w:rsidRPr="00721528" w:rsidRDefault="00721528" w:rsidP="00721528">
      <w:pPr>
        <w:spacing w:before="60" w:afterLines="60" w:after="144"/>
        <w:contextualSpacing/>
        <w:rPr>
          <w:rFonts w:ascii="Century Gothic" w:hAnsi="Century Gothic"/>
          <w:lang w:val="es-ES"/>
        </w:rPr>
      </w:pPr>
    </w:p>
    <w:p w14:paraId="5342C2D9" w14:textId="5F7E9136" w:rsidR="00721528" w:rsidRPr="00721528" w:rsidRDefault="00721528" w:rsidP="00721528">
      <w:pPr>
        <w:spacing w:before="60" w:afterLines="60" w:after="144"/>
        <w:contextualSpacing/>
        <w:rPr>
          <w:lang w:val="es-ES"/>
        </w:rPr>
      </w:pPr>
      <w:r w:rsidRPr="00721528">
        <w:rPr>
          <w:rFonts w:ascii="Century Gothic" w:hAnsi="Century Gothic"/>
          <w:lang w:val="es-ES"/>
        </w:rPr>
        <w:t xml:space="preserve">Más información en: </w:t>
      </w:r>
      <w:r w:rsidRPr="00B80C8C">
        <w:rPr>
          <w:rFonts w:ascii="Century Gothic" w:hAnsi="Century Gothic"/>
          <w:lang w:val="es-ES"/>
        </w:rPr>
        <w:t>http://www.ipyme.org/es-ES/UnionEuropea/UnionEuropea/PoliticaEuropea/Marco/Paginas/NuevaDefinicionPYME.aspx</w:t>
      </w:r>
      <w:r w:rsidRPr="00721528">
        <w:rPr>
          <w:lang w:val="es-ES"/>
        </w:rPr>
        <w:tab/>
      </w:r>
    </w:p>
    <w:sectPr w:rsidR="00721528" w:rsidRPr="00721528" w:rsidSect="00C66145">
      <w:headerReference w:type="default" r:id="rId55"/>
      <w:footerReference w:type="default" r:id="rId56"/>
      <w:endnotePr>
        <w:numFmt w:val="decimal"/>
      </w:endnotePr>
      <w:pgSz w:w="11907" w:h="16840" w:code="9"/>
      <w:pgMar w:top="1418" w:right="1418" w:bottom="1418" w:left="1418" w:header="720" w:footer="58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CE58E" w14:textId="77777777" w:rsidR="00864FD6" w:rsidRDefault="00864FD6">
      <w:r>
        <w:separator/>
      </w:r>
    </w:p>
  </w:endnote>
  <w:endnote w:type="continuationSeparator" w:id="0">
    <w:p w14:paraId="7571931B" w14:textId="77777777" w:rsidR="00864FD6" w:rsidRDefault="00864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Pro">
    <w:altName w:val="Segoe UI"/>
    <w:charset w:val="00"/>
    <w:family w:val="swiss"/>
    <w:pitch w:val="variable"/>
    <w:sig w:usb0="00000001" w:usb1="5000E0FB" w:usb2="00000000" w:usb3="00000000" w:csb0="000001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A224F" w14:textId="3D3F6F69" w:rsidR="00FC104A" w:rsidRPr="009160AC" w:rsidRDefault="00FC104A" w:rsidP="00660539">
    <w:pPr>
      <w:tabs>
        <w:tab w:val="right" w:pos="9072"/>
        <w:tab w:val="right" w:pos="13892"/>
      </w:tabs>
      <w:spacing w:before="120" w:after="0"/>
      <w:rPr>
        <w:rFonts w:ascii="Century Gothic" w:hAnsi="Century Gothic"/>
        <w:noProof/>
        <w:color w:val="505050"/>
        <w:sz w:val="18"/>
        <w:szCs w:val="18"/>
        <w:lang w:val="es-ES" w:eastAsia="es-ES"/>
      </w:rPr>
    </w:pPr>
    <w:r>
      <w:rPr>
        <w:rFonts w:ascii="Century Gothic" w:hAnsi="Century Gothic"/>
        <w:noProof/>
        <w:color w:val="505050"/>
        <w:sz w:val="18"/>
        <w:szCs w:val="18"/>
        <w:lang w:val="es-ES" w:eastAsia="es-ES"/>
      </w:rPr>
      <w:t>SG</w:t>
    </w:r>
    <w:r w:rsidRPr="009160AC">
      <w:rPr>
        <w:rFonts w:ascii="Century Gothic" w:hAnsi="Century Gothic"/>
        <w:noProof/>
        <w:color w:val="505050"/>
        <w:sz w:val="18"/>
        <w:szCs w:val="18"/>
        <w:lang w:val="es-ES" w:eastAsia="es-ES"/>
      </w:rPr>
      <w:t xml:space="preserve"> de Industria y de la Pequeña y Mediana Empresa</w:t>
    </w:r>
    <w:r>
      <w:rPr>
        <w:rFonts w:ascii="Century Gothic" w:hAnsi="Century Gothic"/>
        <w:noProof/>
        <w:color w:val="505050"/>
        <w:sz w:val="18"/>
        <w:szCs w:val="18"/>
        <w:lang w:val="es-ES" w:eastAsia="es-ES"/>
      </w:rPr>
      <w:tab/>
    </w:r>
    <w:r w:rsidRPr="009160AC">
      <w:rPr>
        <w:rFonts w:ascii="Century Gothic" w:hAnsi="Century Gothic"/>
        <w:noProof/>
        <w:color w:val="505050"/>
        <w:sz w:val="18"/>
        <w:szCs w:val="18"/>
        <w:lang w:val="es-ES" w:eastAsia="es-ES"/>
      </w:rPr>
      <w:t xml:space="preserve">página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PAGE </w:instrText>
    </w:r>
    <w:r w:rsidRPr="009160AC">
      <w:rPr>
        <w:rFonts w:ascii="Century Gothic" w:hAnsi="Century Gothic"/>
        <w:noProof/>
        <w:color w:val="505050"/>
        <w:sz w:val="18"/>
        <w:szCs w:val="18"/>
        <w:lang w:val="es-ES" w:eastAsia="es-ES"/>
      </w:rPr>
      <w:fldChar w:fldCharType="separate"/>
    </w:r>
    <w:r w:rsidR="003A71CF">
      <w:rPr>
        <w:rFonts w:ascii="Century Gothic" w:hAnsi="Century Gothic"/>
        <w:noProof/>
        <w:color w:val="505050"/>
        <w:sz w:val="18"/>
        <w:szCs w:val="18"/>
        <w:lang w:val="es-ES" w:eastAsia="es-ES"/>
      </w:rPr>
      <w:t>1</w:t>
    </w:r>
    <w:r w:rsidRPr="009160AC">
      <w:rPr>
        <w:rFonts w:ascii="Century Gothic" w:hAnsi="Century Gothic"/>
        <w:noProof/>
        <w:color w:val="505050"/>
        <w:sz w:val="18"/>
        <w:szCs w:val="18"/>
        <w:lang w:val="es-ES" w:eastAsia="es-ES"/>
      </w:rPr>
      <w:fldChar w:fldCharType="end"/>
    </w:r>
    <w:r w:rsidRPr="009160AC">
      <w:rPr>
        <w:rFonts w:ascii="Century Gothic" w:hAnsi="Century Gothic"/>
        <w:noProof/>
        <w:color w:val="505050"/>
        <w:sz w:val="18"/>
        <w:szCs w:val="18"/>
        <w:lang w:val="es-ES" w:eastAsia="es-ES"/>
      </w:rPr>
      <w:t xml:space="preserve"> de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NUMPAGES </w:instrText>
    </w:r>
    <w:r w:rsidRPr="009160AC">
      <w:rPr>
        <w:rFonts w:ascii="Century Gothic" w:hAnsi="Century Gothic"/>
        <w:noProof/>
        <w:color w:val="505050"/>
        <w:sz w:val="18"/>
        <w:szCs w:val="18"/>
        <w:lang w:val="es-ES" w:eastAsia="es-ES"/>
      </w:rPr>
      <w:fldChar w:fldCharType="separate"/>
    </w:r>
    <w:r w:rsidR="003A71CF">
      <w:rPr>
        <w:rFonts w:ascii="Century Gothic" w:hAnsi="Century Gothic"/>
        <w:noProof/>
        <w:color w:val="505050"/>
        <w:sz w:val="18"/>
        <w:szCs w:val="18"/>
        <w:lang w:val="es-ES" w:eastAsia="es-ES"/>
      </w:rPr>
      <w:t>4</w:t>
    </w:r>
    <w:r w:rsidRPr="009160AC">
      <w:rPr>
        <w:rFonts w:ascii="Century Gothic" w:hAnsi="Century Gothic"/>
        <w:noProof/>
        <w:color w:val="505050"/>
        <w:sz w:val="18"/>
        <w:szCs w:val="18"/>
        <w:lang w:val="es-ES" w:eastAsia="es-ES"/>
      </w:rPr>
      <w:fldChar w:fldCharType="end"/>
    </w:r>
  </w:p>
  <w:p w14:paraId="6BF32DAD" w14:textId="77777777" w:rsidR="00FC104A" w:rsidRPr="009160AC" w:rsidRDefault="00FC104A" w:rsidP="005846FD">
    <w:pPr>
      <w:pStyle w:val="Piedepgina"/>
      <w:rPr>
        <w:rFonts w:ascii="Century Gothic" w:hAnsi="Century Gothic"/>
        <w:sz w:val="18"/>
        <w:szCs w:val="18"/>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14193" w14:textId="6FEB254D" w:rsidR="00FC104A" w:rsidRPr="009160AC" w:rsidRDefault="00FC104A" w:rsidP="00660539">
    <w:pPr>
      <w:tabs>
        <w:tab w:val="right" w:pos="9072"/>
        <w:tab w:val="right" w:pos="13892"/>
      </w:tabs>
      <w:spacing w:before="120" w:after="0"/>
      <w:rPr>
        <w:rFonts w:ascii="Century Gothic" w:hAnsi="Century Gothic"/>
        <w:noProof/>
        <w:color w:val="505050"/>
        <w:sz w:val="18"/>
        <w:szCs w:val="18"/>
        <w:lang w:val="es-ES" w:eastAsia="es-ES"/>
      </w:rPr>
    </w:pPr>
    <w:r>
      <w:rPr>
        <w:rFonts w:ascii="Century Gothic" w:hAnsi="Century Gothic"/>
        <w:noProof/>
        <w:color w:val="505050"/>
        <w:sz w:val="18"/>
        <w:szCs w:val="18"/>
        <w:lang w:val="es-ES" w:eastAsia="es-ES"/>
      </w:rPr>
      <w:t>SG</w:t>
    </w:r>
    <w:r w:rsidRPr="009160AC">
      <w:rPr>
        <w:rFonts w:ascii="Century Gothic" w:hAnsi="Century Gothic"/>
        <w:noProof/>
        <w:color w:val="505050"/>
        <w:sz w:val="18"/>
        <w:szCs w:val="18"/>
        <w:lang w:val="es-ES" w:eastAsia="es-ES"/>
      </w:rPr>
      <w:t xml:space="preserve"> de Industria y de la Pequeña y Mediana Empresa</w:t>
    </w:r>
    <w:r>
      <w:rPr>
        <w:rFonts w:ascii="Century Gothic" w:hAnsi="Century Gothic"/>
        <w:noProof/>
        <w:color w:val="505050"/>
        <w:sz w:val="18"/>
        <w:szCs w:val="18"/>
        <w:lang w:val="es-ES" w:eastAsia="es-ES"/>
      </w:rPr>
      <w:tab/>
    </w:r>
    <w:r w:rsidRPr="009160AC">
      <w:rPr>
        <w:rFonts w:ascii="Century Gothic" w:hAnsi="Century Gothic"/>
        <w:noProof/>
        <w:color w:val="505050"/>
        <w:sz w:val="18"/>
        <w:szCs w:val="18"/>
        <w:lang w:val="es-ES" w:eastAsia="es-ES"/>
      </w:rPr>
      <w:t xml:space="preserve">página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PAGE </w:instrText>
    </w:r>
    <w:r w:rsidRPr="009160AC">
      <w:rPr>
        <w:rFonts w:ascii="Century Gothic" w:hAnsi="Century Gothic"/>
        <w:noProof/>
        <w:color w:val="505050"/>
        <w:sz w:val="18"/>
        <w:szCs w:val="18"/>
        <w:lang w:val="es-ES" w:eastAsia="es-ES"/>
      </w:rPr>
      <w:fldChar w:fldCharType="separate"/>
    </w:r>
    <w:r w:rsidR="003A71CF">
      <w:rPr>
        <w:rFonts w:ascii="Century Gothic" w:hAnsi="Century Gothic"/>
        <w:noProof/>
        <w:color w:val="505050"/>
        <w:sz w:val="18"/>
        <w:szCs w:val="18"/>
        <w:lang w:val="es-ES" w:eastAsia="es-ES"/>
      </w:rPr>
      <w:t>8</w:t>
    </w:r>
    <w:r w:rsidRPr="009160AC">
      <w:rPr>
        <w:rFonts w:ascii="Century Gothic" w:hAnsi="Century Gothic"/>
        <w:noProof/>
        <w:color w:val="505050"/>
        <w:sz w:val="18"/>
        <w:szCs w:val="18"/>
        <w:lang w:val="es-ES" w:eastAsia="es-ES"/>
      </w:rPr>
      <w:fldChar w:fldCharType="end"/>
    </w:r>
    <w:r w:rsidRPr="009160AC">
      <w:rPr>
        <w:rFonts w:ascii="Century Gothic" w:hAnsi="Century Gothic"/>
        <w:noProof/>
        <w:color w:val="505050"/>
        <w:sz w:val="18"/>
        <w:szCs w:val="18"/>
        <w:lang w:val="es-ES" w:eastAsia="es-ES"/>
      </w:rPr>
      <w:t xml:space="preserve"> de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NUMPAGES </w:instrText>
    </w:r>
    <w:r w:rsidRPr="009160AC">
      <w:rPr>
        <w:rFonts w:ascii="Century Gothic" w:hAnsi="Century Gothic"/>
        <w:noProof/>
        <w:color w:val="505050"/>
        <w:sz w:val="18"/>
        <w:szCs w:val="18"/>
        <w:lang w:val="es-ES" w:eastAsia="es-ES"/>
      </w:rPr>
      <w:fldChar w:fldCharType="separate"/>
    </w:r>
    <w:r w:rsidR="003A71CF">
      <w:rPr>
        <w:rFonts w:ascii="Century Gothic" w:hAnsi="Century Gothic"/>
        <w:noProof/>
        <w:color w:val="505050"/>
        <w:sz w:val="18"/>
        <w:szCs w:val="18"/>
        <w:lang w:val="es-ES" w:eastAsia="es-ES"/>
      </w:rPr>
      <w:t>8</w:t>
    </w:r>
    <w:r w:rsidRPr="009160AC">
      <w:rPr>
        <w:rFonts w:ascii="Century Gothic" w:hAnsi="Century Gothic"/>
        <w:noProof/>
        <w:color w:val="505050"/>
        <w:sz w:val="18"/>
        <w:szCs w:val="18"/>
        <w:lang w:val="es-ES" w:eastAsia="es-ES"/>
      </w:rPr>
      <w:fldChar w:fldCharType="end"/>
    </w:r>
  </w:p>
  <w:p w14:paraId="558DA3C8" w14:textId="77777777" w:rsidR="00FC104A" w:rsidRPr="009160AC" w:rsidRDefault="00FC104A" w:rsidP="005846FD">
    <w:pPr>
      <w:pStyle w:val="Piedepgina"/>
      <w:rPr>
        <w:rFonts w:ascii="Century Gothic" w:hAnsi="Century Gothic"/>
        <w:sz w:val="18"/>
        <w:szCs w:val="18"/>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D3B9E" w14:textId="22278D3A" w:rsidR="00FC104A" w:rsidRPr="009160AC" w:rsidRDefault="00FC104A" w:rsidP="004D4E6B">
    <w:pPr>
      <w:tabs>
        <w:tab w:val="right" w:pos="13892"/>
      </w:tabs>
      <w:spacing w:before="120" w:after="0"/>
      <w:rPr>
        <w:rFonts w:ascii="Century Gothic" w:hAnsi="Century Gothic"/>
        <w:noProof/>
        <w:color w:val="505050"/>
        <w:sz w:val="18"/>
        <w:szCs w:val="18"/>
        <w:lang w:val="es-ES" w:eastAsia="es-ES"/>
      </w:rPr>
    </w:pPr>
    <w:r>
      <w:rPr>
        <w:rFonts w:ascii="Century Gothic" w:hAnsi="Century Gothic"/>
        <w:noProof/>
        <w:color w:val="505050"/>
        <w:sz w:val="18"/>
        <w:szCs w:val="18"/>
        <w:lang w:val="es-ES" w:eastAsia="es-ES"/>
      </w:rPr>
      <w:t>SG</w:t>
    </w:r>
    <w:r w:rsidRPr="009160AC">
      <w:rPr>
        <w:rFonts w:ascii="Century Gothic" w:hAnsi="Century Gothic"/>
        <w:noProof/>
        <w:color w:val="505050"/>
        <w:sz w:val="18"/>
        <w:szCs w:val="18"/>
        <w:lang w:val="es-ES" w:eastAsia="es-ES"/>
      </w:rPr>
      <w:t xml:space="preserve"> de Industria y de la Pequeña y Mediana Empresa</w:t>
    </w:r>
    <w:r w:rsidRPr="009160AC">
      <w:rPr>
        <w:rFonts w:ascii="Century Gothic" w:hAnsi="Century Gothic"/>
        <w:noProof/>
        <w:color w:val="505050"/>
        <w:sz w:val="18"/>
        <w:szCs w:val="18"/>
        <w:lang w:val="es-ES" w:eastAsia="es-ES"/>
      </w:rPr>
      <w:tab/>
      <w:t xml:space="preserve">página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PAGE </w:instrText>
    </w:r>
    <w:r w:rsidRPr="009160AC">
      <w:rPr>
        <w:rFonts w:ascii="Century Gothic" w:hAnsi="Century Gothic"/>
        <w:noProof/>
        <w:color w:val="505050"/>
        <w:sz w:val="18"/>
        <w:szCs w:val="18"/>
        <w:lang w:val="es-ES" w:eastAsia="es-ES"/>
      </w:rPr>
      <w:fldChar w:fldCharType="separate"/>
    </w:r>
    <w:r w:rsidR="003A71CF">
      <w:rPr>
        <w:rFonts w:ascii="Century Gothic" w:hAnsi="Century Gothic"/>
        <w:noProof/>
        <w:color w:val="505050"/>
        <w:sz w:val="18"/>
        <w:szCs w:val="18"/>
        <w:lang w:val="es-ES" w:eastAsia="es-ES"/>
      </w:rPr>
      <w:t>10</w:t>
    </w:r>
    <w:r w:rsidRPr="009160AC">
      <w:rPr>
        <w:rFonts w:ascii="Century Gothic" w:hAnsi="Century Gothic"/>
        <w:noProof/>
        <w:color w:val="505050"/>
        <w:sz w:val="18"/>
        <w:szCs w:val="18"/>
        <w:lang w:val="es-ES" w:eastAsia="es-ES"/>
      </w:rPr>
      <w:fldChar w:fldCharType="end"/>
    </w:r>
    <w:r w:rsidRPr="009160AC">
      <w:rPr>
        <w:rFonts w:ascii="Century Gothic" w:hAnsi="Century Gothic"/>
        <w:noProof/>
        <w:color w:val="505050"/>
        <w:sz w:val="18"/>
        <w:szCs w:val="18"/>
        <w:lang w:val="es-ES" w:eastAsia="es-ES"/>
      </w:rPr>
      <w:t xml:space="preserve"> de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NUMPAGES </w:instrText>
    </w:r>
    <w:r w:rsidRPr="009160AC">
      <w:rPr>
        <w:rFonts w:ascii="Century Gothic" w:hAnsi="Century Gothic"/>
        <w:noProof/>
        <w:color w:val="505050"/>
        <w:sz w:val="18"/>
        <w:szCs w:val="18"/>
        <w:lang w:val="es-ES" w:eastAsia="es-ES"/>
      </w:rPr>
      <w:fldChar w:fldCharType="separate"/>
    </w:r>
    <w:r w:rsidR="003A71CF">
      <w:rPr>
        <w:rFonts w:ascii="Century Gothic" w:hAnsi="Century Gothic"/>
        <w:noProof/>
        <w:color w:val="505050"/>
        <w:sz w:val="18"/>
        <w:szCs w:val="18"/>
        <w:lang w:val="es-ES" w:eastAsia="es-ES"/>
      </w:rPr>
      <w:t>10</w:t>
    </w:r>
    <w:r w:rsidRPr="009160AC">
      <w:rPr>
        <w:rFonts w:ascii="Century Gothic" w:hAnsi="Century Gothic"/>
        <w:noProof/>
        <w:color w:val="505050"/>
        <w:sz w:val="18"/>
        <w:szCs w:val="18"/>
        <w:lang w:val="es-ES" w:eastAsia="es-ES"/>
      </w:rPr>
      <w:fldChar w:fldCharType="end"/>
    </w:r>
  </w:p>
  <w:p w14:paraId="4DB4E78D" w14:textId="77777777" w:rsidR="00FC104A" w:rsidRPr="009160AC" w:rsidRDefault="00FC104A" w:rsidP="005846FD">
    <w:pPr>
      <w:pStyle w:val="Piedepgina"/>
      <w:rPr>
        <w:rFonts w:ascii="Century Gothic" w:hAnsi="Century Gothic"/>
        <w:sz w:val="18"/>
        <w:szCs w:val="18"/>
        <w:lang w:val="es-E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5A496" w14:textId="15B63232" w:rsidR="00FC104A" w:rsidRPr="009160AC" w:rsidRDefault="00FC104A" w:rsidP="004D4E6B">
    <w:pPr>
      <w:tabs>
        <w:tab w:val="right" w:pos="9072"/>
        <w:tab w:val="right" w:pos="13892"/>
      </w:tabs>
      <w:spacing w:before="120" w:after="0"/>
      <w:rPr>
        <w:rFonts w:ascii="Century Gothic" w:hAnsi="Century Gothic"/>
        <w:noProof/>
        <w:color w:val="505050"/>
        <w:sz w:val="18"/>
        <w:szCs w:val="18"/>
        <w:lang w:val="es-ES" w:eastAsia="es-ES"/>
      </w:rPr>
    </w:pPr>
    <w:r>
      <w:rPr>
        <w:rFonts w:ascii="Century Gothic" w:hAnsi="Century Gothic"/>
        <w:noProof/>
        <w:color w:val="505050"/>
        <w:sz w:val="18"/>
        <w:szCs w:val="18"/>
        <w:lang w:val="es-ES" w:eastAsia="es-ES"/>
      </w:rPr>
      <w:t>SG</w:t>
    </w:r>
    <w:r w:rsidRPr="009160AC">
      <w:rPr>
        <w:rFonts w:ascii="Century Gothic" w:hAnsi="Century Gothic"/>
        <w:noProof/>
        <w:color w:val="505050"/>
        <w:sz w:val="18"/>
        <w:szCs w:val="18"/>
        <w:lang w:val="es-ES" w:eastAsia="es-ES"/>
      </w:rPr>
      <w:t xml:space="preserve"> de Industria y de la Pequeña y Mediana Empresa</w:t>
    </w:r>
    <w:r>
      <w:rPr>
        <w:rFonts w:ascii="Century Gothic" w:hAnsi="Century Gothic"/>
        <w:noProof/>
        <w:color w:val="505050"/>
        <w:sz w:val="18"/>
        <w:szCs w:val="18"/>
        <w:lang w:val="es-ES" w:eastAsia="es-ES"/>
      </w:rPr>
      <w:tab/>
    </w:r>
    <w:r w:rsidRPr="009160AC">
      <w:rPr>
        <w:rFonts w:ascii="Century Gothic" w:hAnsi="Century Gothic"/>
        <w:noProof/>
        <w:color w:val="505050"/>
        <w:sz w:val="18"/>
        <w:szCs w:val="18"/>
        <w:lang w:val="es-ES" w:eastAsia="es-ES"/>
      </w:rPr>
      <w:t xml:space="preserve">página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PAGE </w:instrText>
    </w:r>
    <w:r w:rsidRPr="009160AC">
      <w:rPr>
        <w:rFonts w:ascii="Century Gothic" w:hAnsi="Century Gothic"/>
        <w:noProof/>
        <w:color w:val="505050"/>
        <w:sz w:val="18"/>
        <w:szCs w:val="18"/>
        <w:lang w:val="es-ES" w:eastAsia="es-ES"/>
      </w:rPr>
      <w:fldChar w:fldCharType="separate"/>
    </w:r>
    <w:r w:rsidR="003A71CF">
      <w:rPr>
        <w:rFonts w:ascii="Century Gothic" w:hAnsi="Century Gothic"/>
        <w:noProof/>
        <w:color w:val="505050"/>
        <w:sz w:val="18"/>
        <w:szCs w:val="18"/>
        <w:lang w:val="es-ES" w:eastAsia="es-ES"/>
      </w:rPr>
      <w:t>20</w:t>
    </w:r>
    <w:r w:rsidRPr="009160AC">
      <w:rPr>
        <w:rFonts w:ascii="Century Gothic" w:hAnsi="Century Gothic"/>
        <w:noProof/>
        <w:color w:val="505050"/>
        <w:sz w:val="18"/>
        <w:szCs w:val="18"/>
        <w:lang w:val="es-ES" w:eastAsia="es-ES"/>
      </w:rPr>
      <w:fldChar w:fldCharType="end"/>
    </w:r>
    <w:r w:rsidRPr="009160AC">
      <w:rPr>
        <w:rFonts w:ascii="Century Gothic" w:hAnsi="Century Gothic"/>
        <w:noProof/>
        <w:color w:val="505050"/>
        <w:sz w:val="18"/>
        <w:szCs w:val="18"/>
        <w:lang w:val="es-ES" w:eastAsia="es-ES"/>
      </w:rPr>
      <w:t xml:space="preserve"> de </w:t>
    </w:r>
    <w:r w:rsidRPr="009160AC">
      <w:rPr>
        <w:rFonts w:ascii="Century Gothic" w:hAnsi="Century Gothic"/>
        <w:noProof/>
        <w:color w:val="505050"/>
        <w:sz w:val="18"/>
        <w:szCs w:val="18"/>
        <w:lang w:val="es-ES" w:eastAsia="es-ES"/>
      </w:rPr>
      <w:fldChar w:fldCharType="begin"/>
    </w:r>
    <w:r w:rsidRPr="009160AC">
      <w:rPr>
        <w:rFonts w:ascii="Century Gothic" w:hAnsi="Century Gothic"/>
        <w:noProof/>
        <w:color w:val="505050"/>
        <w:sz w:val="18"/>
        <w:szCs w:val="18"/>
        <w:lang w:val="es-ES" w:eastAsia="es-ES"/>
      </w:rPr>
      <w:instrText xml:space="preserve"> NUMPAGES </w:instrText>
    </w:r>
    <w:r w:rsidRPr="009160AC">
      <w:rPr>
        <w:rFonts w:ascii="Century Gothic" w:hAnsi="Century Gothic"/>
        <w:noProof/>
        <w:color w:val="505050"/>
        <w:sz w:val="18"/>
        <w:szCs w:val="18"/>
        <w:lang w:val="es-ES" w:eastAsia="es-ES"/>
      </w:rPr>
      <w:fldChar w:fldCharType="separate"/>
    </w:r>
    <w:r w:rsidR="003A71CF">
      <w:rPr>
        <w:rFonts w:ascii="Century Gothic" w:hAnsi="Century Gothic"/>
        <w:noProof/>
        <w:color w:val="505050"/>
        <w:sz w:val="18"/>
        <w:szCs w:val="18"/>
        <w:lang w:val="es-ES" w:eastAsia="es-ES"/>
      </w:rPr>
      <w:t>20</w:t>
    </w:r>
    <w:r w:rsidRPr="009160AC">
      <w:rPr>
        <w:rFonts w:ascii="Century Gothic" w:hAnsi="Century Gothic"/>
        <w:noProof/>
        <w:color w:val="505050"/>
        <w:sz w:val="18"/>
        <w:szCs w:val="18"/>
        <w:lang w:val="es-ES" w:eastAsia="es-ES"/>
      </w:rPr>
      <w:fldChar w:fldCharType="end"/>
    </w:r>
  </w:p>
  <w:p w14:paraId="2387F55F" w14:textId="77777777" w:rsidR="00FC104A" w:rsidRPr="009160AC" w:rsidRDefault="00FC104A" w:rsidP="005846FD">
    <w:pPr>
      <w:pStyle w:val="Piedepgina"/>
      <w:rPr>
        <w:rFonts w:ascii="Century Gothic" w:hAnsi="Century Gothic"/>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4DA27" w14:textId="77777777" w:rsidR="00864FD6" w:rsidRDefault="00864FD6">
      <w:r>
        <w:separator/>
      </w:r>
    </w:p>
  </w:footnote>
  <w:footnote w:type="continuationSeparator" w:id="0">
    <w:p w14:paraId="267F6A79" w14:textId="77777777" w:rsidR="00864FD6" w:rsidRDefault="00864FD6">
      <w:r>
        <w:continuationSeparator/>
      </w:r>
    </w:p>
  </w:footnote>
  <w:footnote w:id="1">
    <w:p w14:paraId="7F37E55C" w14:textId="5779F970" w:rsidR="00FC104A" w:rsidRPr="0096181A" w:rsidRDefault="00FC104A" w:rsidP="00B80C8C">
      <w:pPr>
        <w:pStyle w:val="Textonotapie"/>
        <w:tabs>
          <w:tab w:val="left" w:pos="284"/>
        </w:tabs>
        <w:ind w:left="284" w:hanging="284"/>
      </w:pPr>
      <w:r>
        <w:rPr>
          <w:rStyle w:val="Refdenotaalpie"/>
        </w:rPr>
        <w:footnoteRef/>
      </w:r>
      <w:r>
        <w:t xml:space="preserve"> </w:t>
      </w:r>
      <w:r>
        <w:tab/>
        <w:t>Recordar que l</w:t>
      </w:r>
      <w:r w:rsidRPr="0096181A">
        <w:t xml:space="preserve">a LIS (Ley 27/2014) ya recoge dos deducciones con esta finalidad, que se encuentran reguladas en </w:t>
      </w:r>
      <w:r>
        <w:t>su</w:t>
      </w:r>
      <w:r w:rsidRPr="0096181A">
        <w:t xml:space="preserve"> artículo 37. En concreto, </w:t>
      </w:r>
      <w:r>
        <w:t>se establece</w:t>
      </w:r>
      <w:r w:rsidRPr="0096181A">
        <w:t xml:space="preserve"> una deducción de 3.000 euros por el primer trabajador, menor de 30 años, que contraten a través de un contrato de trabajo por tiempo indefinido, regulado en el artículo 4 de la Ley 3/2012, de 6 de julio, de medidas urgentes para la reforma del mercado laboral. Esta deducción la pueden aplicar empresas de menos de 50 trabajadores.</w:t>
      </w:r>
      <w:r>
        <w:t xml:space="preserve"> </w:t>
      </w:r>
      <w:r w:rsidRPr="0096181A">
        <w:t>Asimismo, se regula otra deducción, para entidades que tengan una plantilla inferior a 50 trabajadores, que concierten los anteriores contratos de trabajo por tiempo indefinido con desempleados beneficiarios de una prestación contributiva por desempleo.</w:t>
      </w:r>
    </w:p>
    <w:p w14:paraId="765017E6" w14:textId="352BB705" w:rsidR="00FC104A" w:rsidRDefault="00FC104A">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ECEA9" w14:textId="53EFB0D9" w:rsidR="00FC104A" w:rsidRDefault="00FC104A">
    <w:pPr>
      <w:pStyle w:val="Encabezado"/>
    </w:pPr>
    <w:r>
      <w:rPr>
        <w:noProof/>
        <w:lang w:val="es-ES" w:eastAsia="es-ES"/>
      </w:rPr>
      <mc:AlternateContent>
        <mc:Choice Requires="wps">
          <w:drawing>
            <wp:anchor distT="0" distB="0" distL="114300" distR="114300" simplePos="0" relativeHeight="251661312" behindDoc="0" locked="0" layoutInCell="1" allowOverlap="1" wp14:anchorId="2D6060E1" wp14:editId="65716EBA">
              <wp:simplePos x="0" y="0"/>
              <wp:positionH relativeFrom="column">
                <wp:posOffset>155575</wp:posOffset>
              </wp:positionH>
              <wp:positionV relativeFrom="paragraph">
                <wp:posOffset>120015</wp:posOffset>
              </wp:positionV>
              <wp:extent cx="2190115" cy="518795"/>
              <wp:effectExtent l="0" t="0" r="0" b="0"/>
              <wp:wrapNone/>
              <wp:docPr id="2"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1C783" w14:textId="350F47DC" w:rsidR="00FC104A" w:rsidRPr="00C719B5" w:rsidRDefault="00FC104A" w:rsidP="004D4E6B">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r w:rsidR="000D3ABC">
                            <w:rPr>
                              <w:rFonts w:ascii="Century Gothic" w:hAnsi="Century Gothic" w:cs="Arial"/>
                              <w:color w:val="808080"/>
                              <w:lang w:val="es-ES_tradnl"/>
                            </w:rPr>
                            <w:t xml:space="preserve"> - Anexos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060E1" id="_x0000_t202" coordsize="21600,21600" o:spt="202" path="m,l,21600r21600,l21600,xe">
              <v:stroke joinstyle="miter"/>
              <v:path gradientshapeok="t" o:connecttype="rect"/>
            </v:shapetype>
            <v:shape id="Cuadro de texto 34" o:spid="_x0000_s1026" type="#_x0000_t202" style="position:absolute;left:0;text-align:left;margin-left:12.25pt;margin-top:9.45pt;width:172.45pt;height:4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wouwIAAME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" filled="f" stroked="f">
              <v:textbox>
                <w:txbxContent>
                  <w:p w14:paraId="3D21C783" w14:textId="350F47DC" w:rsidR="00FC104A" w:rsidRPr="00C719B5" w:rsidRDefault="00FC104A" w:rsidP="004D4E6B">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r w:rsidR="000D3ABC">
                      <w:rPr>
                        <w:rFonts w:ascii="Century Gothic" w:hAnsi="Century Gothic" w:cs="Arial"/>
                        <w:color w:val="808080"/>
                        <w:lang w:val="es-ES_tradnl"/>
                      </w:rPr>
                      <w:t xml:space="preserve"> - Anexos</w:t>
                    </w:r>
                  </w:p>
                </w:txbxContent>
              </v:textbox>
            </v:shape>
          </w:pict>
        </mc:Fallback>
      </mc:AlternateContent>
    </w:r>
    <w:r>
      <w:rPr>
        <w:noProof/>
        <w:lang w:val="es-ES" w:eastAsia="es-ES"/>
      </w:rPr>
      <w:drawing>
        <wp:anchor distT="0" distB="0" distL="114300" distR="114300" simplePos="0" relativeHeight="251659264" behindDoc="1" locked="0" layoutInCell="1" allowOverlap="1" wp14:anchorId="459CBCCF" wp14:editId="7249A021">
          <wp:simplePos x="0" y="0"/>
          <wp:positionH relativeFrom="column">
            <wp:posOffset>2987689</wp:posOffset>
          </wp:positionH>
          <wp:positionV relativeFrom="margin">
            <wp:posOffset>-954701</wp:posOffset>
          </wp:positionV>
          <wp:extent cx="2906411" cy="754912"/>
          <wp:effectExtent l="0" t="0" r="0" b="762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 - Ministerio - DGIPYME color.emf"/>
                  <pic:cNvPicPr/>
                </pic:nvPicPr>
                <pic:blipFill>
                  <a:blip r:embed="rId1">
                    <a:extLst>
                      <a:ext uri="{28A0092B-C50C-407E-A947-70E740481C1C}">
                        <a14:useLocalDpi xmlns:a14="http://schemas.microsoft.com/office/drawing/2010/main" val="0"/>
                      </a:ext>
                    </a:extLst>
                  </a:blip>
                  <a:stretch>
                    <a:fillRect/>
                  </a:stretch>
                </pic:blipFill>
                <pic:spPr>
                  <a:xfrm>
                    <a:off x="0" y="0"/>
                    <a:ext cx="2906411" cy="75491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3A7E2" w14:textId="340DCE5B" w:rsidR="00FC104A" w:rsidRDefault="00FC104A">
    <w:pPr>
      <w:pStyle w:val="Encabezado"/>
    </w:pPr>
    <w:r>
      <w:rPr>
        <w:noProof/>
        <w:lang w:val="es-ES" w:eastAsia="es-ES"/>
      </w:rPr>
      <w:drawing>
        <wp:anchor distT="0" distB="0" distL="114300" distR="114300" simplePos="0" relativeHeight="251657216" behindDoc="1" locked="0" layoutInCell="1" allowOverlap="1" wp14:anchorId="6AAE789E" wp14:editId="1A3E5F81">
          <wp:simplePos x="0" y="0"/>
          <wp:positionH relativeFrom="column">
            <wp:posOffset>6078454</wp:posOffset>
          </wp:positionH>
          <wp:positionV relativeFrom="margin">
            <wp:posOffset>-874949</wp:posOffset>
          </wp:positionV>
          <wp:extent cx="2906411" cy="754912"/>
          <wp:effectExtent l="0" t="0" r="0" b="762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 - Ministerio - DGIPYME color.emf"/>
                  <pic:cNvPicPr/>
                </pic:nvPicPr>
                <pic:blipFill>
                  <a:blip r:embed="rId1">
                    <a:extLst>
                      <a:ext uri="{28A0092B-C50C-407E-A947-70E740481C1C}">
                        <a14:useLocalDpi xmlns:a14="http://schemas.microsoft.com/office/drawing/2010/main" val="0"/>
                      </a:ext>
                    </a:extLst>
                  </a:blip>
                  <a:stretch>
                    <a:fillRect/>
                  </a:stretch>
                </pic:blipFill>
                <pic:spPr>
                  <a:xfrm>
                    <a:off x="0" y="0"/>
                    <a:ext cx="2906411" cy="754912"/>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5168" behindDoc="0" locked="0" layoutInCell="1" allowOverlap="1" wp14:anchorId="77EDCF8F" wp14:editId="6BDA84D7">
              <wp:simplePos x="0" y="0"/>
              <wp:positionH relativeFrom="column">
                <wp:posOffset>3175</wp:posOffset>
              </wp:positionH>
              <wp:positionV relativeFrom="paragraph">
                <wp:posOffset>-32385</wp:posOffset>
              </wp:positionV>
              <wp:extent cx="2190115" cy="518795"/>
              <wp:effectExtent l="0" t="0" r="0" b="0"/>
              <wp:wrapNone/>
              <wp:docPr id="8"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DCB80" w14:textId="77777777" w:rsidR="00FC104A" w:rsidRPr="00C719B5" w:rsidRDefault="00FC104A" w:rsidP="00163085">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DCF8F" id="_x0000_t202" coordsize="21600,21600" o:spt="202" path="m,l,21600r21600,l21600,xe">
              <v:stroke joinstyle="miter"/>
              <v:path gradientshapeok="t" o:connecttype="rect"/>
            </v:shapetype>
            <v:shape id="_x0000_s1027" type="#_x0000_t202" style="position:absolute;left:0;text-align:left;margin-left:.25pt;margin-top:-2.55pt;width:172.45pt;height:4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jvgIAAMg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" filled="f" stroked="f">
              <v:textbox>
                <w:txbxContent>
                  <w:p w14:paraId="768DCB80" w14:textId="77777777" w:rsidR="00FC104A" w:rsidRPr="00C719B5" w:rsidRDefault="00FC104A" w:rsidP="00163085">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p>
                </w:txbxContent>
              </v:textbox>
            </v:shape>
          </w:pict>
        </mc:Fallback>
      </mc:AlternateContent>
    </w:r>
    <w:r w:rsidR="003A71CF">
      <w:rPr>
        <w:noProof/>
        <w:lang w:val="es-ES" w:eastAsia="es-ES"/>
      </w:rPr>
      <mc:AlternateContent>
        <mc:Choice Requires="wps">
          <w:drawing>
            <wp:anchor distT="0" distB="0" distL="114300" distR="114300" simplePos="0" relativeHeight="251676672" behindDoc="1" locked="0" layoutInCell="0" allowOverlap="1" wp14:anchorId="53EAECDD" wp14:editId="1120D811">
              <wp:simplePos x="0" y="0"/>
              <wp:positionH relativeFrom="margin">
                <wp:align>center</wp:align>
              </wp:positionH>
              <wp:positionV relativeFrom="margin">
                <wp:align>center</wp:align>
              </wp:positionV>
              <wp:extent cx="6442075" cy="1170940"/>
              <wp:effectExtent l="0" t="1876425" r="0" b="1858010"/>
              <wp:wrapNone/>
              <wp:docPr id="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2075" cy="11709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80F040" w14:textId="77777777" w:rsidR="003A71CF" w:rsidRDefault="003A71CF" w:rsidP="003A71CF">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EAECDD" id="WordArt 10" o:spid="_x0000_s1028" type="#_x0000_t202" style="position:absolute;left:0;text-align:left;margin-left:0;margin-top:0;width:507.25pt;height:92.2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" o:allowincell="f" filled="f" stroked="f">
              <v:stroke joinstyle="round"/>
              <o:lock v:ext="edit" shapetype="t"/>
              <v:textbox style="mso-fit-shape-to-text:t">
                <w:txbxContent>
                  <w:p w14:paraId="7980F040" w14:textId="77777777" w:rsidR="003A71CF" w:rsidRDefault="003A71CF" w:rsidP="003A71CF">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BORRADOR</w:t>
                    </w:r>
                  </w:p>
                </w:txbxContent>
              </v:textbox>
              <w10:wrap anchorx="margin" anchory="margin"/>
            </v:shape>
          </w:pict>
        </mc:Fallback>
      </mc:AlternateContent>
    </w:r>
  </w:p>
  <w:p w14:paraId="570C7F7D" w14:textId="77777777" w:rsidR="00FC104A" w:rsidRDefault="00FC104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A06D2" w14:textId="16B1EE60" w:rsidR="00FC104A" w:rsidRDefault="00FC104A">
    <w:pPr>
      <w:pStyle w:val="Encabezado"/>
    </w:pPr>
    <w:r>
      <w:rPr>
        <w:noProof/>
        <w:lang w:val="es-ES" w:eastAsia="es-ES"/>
      </w:rPr>
      <w:drawing>
        <wp:anchor distT="0" distB="0" distL="114300" distR="114300" simplePos="0" relativeHeight="251684864" behindDoc="1" locked="0" layoutInCell="1" allowOverlap="1" wp14:anchorId="61F59CF4" wp14:editId="41ED9ABB">
          <wp:simplePos x="0" y="0"/>
          <wp:positionH relativeFrom="column">
            <wp:posOffset>3142749</wp:posOffset>
          </wp:positionH>
          <wp:positionV relativeFrom="margin">
            <wp:posOffset>-874949</wp:posOffset>
          </wp:positionV>
          <wp:extent cx="2906411" cy="754912"/>
          <wp:effectExtent l="0" t="0" r="0" b="7620"/>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bierno - Ministerio - DGIPYME color.emf"/>
                  <pic:cNvPicPr/>
                </pic:nvPicPr>
                <pic:blipFill>
                  <a:blip r:embed="rId1">
                    <a:extLst>
                      <a:ext uri="{28A0092B-C50C-407E-A947-70E740481C1C}">
                        <a14:useLocalDpi xmlns:a14="http://schemas.microsoft.com/office/drawing/2010/main" val="0"/>
                      </a:ext>
                    </a:extLst>
                  </a:blip>
                  <a:stretch>
                    <a:fillRect/>
                  </a:stretch>
                </pic:blipFill>
                <pic:spPr>
                  <a:xfrm>
                    <a:off x="0" y="0"/>
                    <a:ext cx="2906411" cy="754912"/>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79744" behindDoc="0" locked="0" layoutInCell="1" allowOverlap="1" wp14:anchorId="6A192CA6" wp14:editId="3E7B809D">
              <wp:simplePos x="0" y="0"/>
              <wp:positionH relativeFrom="column">
                <wp:posOffset>3175</wp:posOffset>
              </wp:positionH>
              <wp:positionV relativeFrom="paragraph">
                <wp:posOffset>-32385</wp:posOffset>
              </wp:positionV>
              <wp:extent cx="2190115" cy="518795"/>
              <wp:effectExtent l="0" t="0" r="0" b="0"/>
              <wp:wrapNone/>
              <wp:docPr id="11"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AA73" w14:textId="77777777" w:rsidR="00FC104A" w:rsidRPr="00C719B5" w:rsidRDefault="00FC104A" w:rsidP="00163085">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92CA6" id="_x0000_t202" coordsize="21600,21600" o:spt="202" path="m,l,21600r21600,l21600,xe">
              <v:stroke joinstyle="miter"/>
              <v:path gradientshapeok="t" o:connecttype="rect"/>
            </v:shapetype>
            <v:shape id="_x0000_s1029" type="#_x0000_t202" style="position:absolute;left:0;text-align:left;margin-left:.25pt;margin-top:-2.55pt;width:172.45pt;height: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" filled="f" stroked="f">
              <v:textbox>
                <w:txbxContent>
                  <w:p w14:paraId="1E6DAA73" w14:textId="77777777" w:rsidR="00FC104A" w:rsidRPr="00C719B5" w:rsidRDefault="00FC104A" w:rsidP="00163085">
                    <w:pPr>
                      <w:jc w:val="center"/>
                      <w:rPr>
                        <w:rFonts w:ascii="Century Gothic" w:hAnsi="Century Gothic" w:cs="Arial"/>
                        <w:color w:val="808080"/>
                        <w:lang w:val="es-ES_tradnl"/>
                      </w:rPr>
                    </w:pPr>
                    <w:r w:rsidRPr="00C719B5">
                      <w:rPr>
                        <w:rFonts w:ascii="Century Gothic" w:hAnsi="Century Gothic" w:cs="Arial"/>
                        <w:color w:val="808080"/>
                        <w:lang w:val="es-ES_tradnl"/>
                      </w:rPr>
                      <w:t>Marco estratégico en política PYME</w:t>
                    </w:r>
                  </w:p>
                </w:txbxContent>
              </v:textbox>
            </v:shape>
          </w:pict>
        </mc:Fallback>
      </mc:AlternateContent>
    </w:r>
    <w:r w:rsidR="003A71CF">
      <w:rPr>
        <w:noProof/>
        <w:lang w:val="es-ES" w:eastAsia="es-ES"/>
      </w:rPr>
      <mc:AlternateContent>
        <mc:Choice Requires="wps">
          <w:drawing>
            <wp:anchor distT="0" distB="0" distL="114300" distR="114300" simplePos="0" relativeHeight="251680768" behindDoc="1" locked="0" layoutInCell="0" allowOverlap="1" wp14:anchorId="2F06440E" wp14:editId="1FABA3A7">
              <wp:simplePos x="0" y="0"/>
              <wp:positionH relativeFrom="margin">
                <wp:align>center</wp:align>
              </wp:positionH>
              <wp:positionV relativeFrom="margin">
                <wp:align>center</wp:align>
              </wp:positionV>
              <wp:extent cx="6442075" cy="1170940"/>
              <wp:effectExtent l="0" t="1876425" r="0" b="1858010"/>
              <wp:wrapNone/>
              <wp:docPr id="1"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42075" cy="11709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BC1AFB" w14:textId="77777777" w:rsidR="003A71CF" w:rsidRDefault="003A71CF" w:rsidP="003A71CF">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BORRADOR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06440E" id="WordArt 11" o:spid="_x0000_s1030" type="#_x0000_t202" style="position:absolute;left:0;text-align:left;margin-left:0;margin-top:0;width:507.25pt;height:92.2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" o:allowincell="f" filled="f" stroked="f">
              <v:stroke joinstyle="round"/>
              <o:lock v:ext="edit" shapetype="t"/>
              <v:textbox style="mso-fit-shape-to-text:t">
                <w:txbxContent>
                  <w:p w14:paraId="2DBC1AFB" w14:textId="77777777" w:rsidR="003A71CF" w:rsidRDefault="003A71CF" w:rsidP="003A71CF">
                    <w:pPr>
                      <w:pStyle w:val="NormalWeb"/>
                      <w:spacing w:before="0" w:beforeAutospacing="0" w:after="0" w:afterAutospacing="0"/>
                      <w:jc w:val="center"/>
                    </w:pPr>
                    <w:r>
                      <w:rPr>
                        <w:rFonts w:ascii="Verdana" w:eastAsia="Verdana" w:hAnsi="Verdana" w:cs="Verdana"/>
                        <w:color w:val="C0C0C0"/>
                        <w:sz w:val="2"/>
                        <w:szCs w:val="2"/>
                        <w14:textFill>
                          <w14:solidFill>
                            <w14:srgbClr w14:val="C0C0C0">
                              <w14:alpha w14:val="50000"/>
                            </w14:srgbClr>
                          </w14:solidFill>
                        </w14:textFill>
                      </w:rPr>
                      <w:t>BORRADOR</w:t>
                    </w:r>
                  </w:p>
                </w:txbxContent>
              </v:textbox>
              <w10:wrap anchorx="margin" anchory="margin"/>
            </v:shape>
          </w:pict>
        </mc:Fallback>
      </mc:AlternateContent>
    </w:r>
  </w:p>
  <w:p w14:paraId="65145FC2" w14:textId="77777777" w:rsidR="00FC104A" w:rsidRDefault="00FC104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Listaconnmeros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aconvietas5"/>
      <w:lvlText w:val=""/>
      <w:lvlJc w:val="left"/>
      <w:pPr>
        <w:tabs>
          <w:tab w:val="num" w:pos="1492"/>
        </w:tabs>
        <w:ind w:left="1492" w:hanging="360"/>
      </w:pPr>
      <w:rPr>
        <w:rFonts w:ascii="Symbol" w:hAnsi="Symbol" w:hint="default"/>
      </w:rPr>
    </w:lvl>
  </w:abstractNum>
  <w:abstractNum w:abstractNumId="2" w15:restartNumberingAfterBreak="0">
    <w:nsid w:val="08FB4534"/>
    <w:multiLevelType w:val="hybridMultilevel"/>
    <w:tmpl w:val="621889BA"/>
    <w:lvl w:ilvl="0" w:tplc="7FE26C16">
      <w:start w:val="1"/>
      <w:numFmt w:val="lowerRoman"/>
      <w:pStyle w:val="Style2"/>
      <w:lvlText w:val="%1."/>
      <w:lvlJc w:val="right"/>
      <w:pPr>
        <w:ind w:left="2254" w:hanging="360"/>
      </w:pPr>
    </w:lvl>
    <w:lvl w:ilvl="1" w:tplc="08090019" w:tentative="1">
      <w:start w:val="1"/>
      <w:numFmt w:val="lowerLetter"/>
      <w:lvlText w:val="%2."/>
      <w:lvlJc w:val="left"/>
      <w:pPr>
        <w:ind w:left="2974" w:hanging="360"/>
      </w:pPr>
    </w:lvl>
    <w:lvl w:ilvl="2" w:tplc="0809001B" w:tentative="1">
      <w:start w:val="1"/>
      <w:numFmt w:val="lowerRoman"/>
      <w:lvlText w:val="%3."/>
      <w:lvlJc w:val="right"/>
      <w:pPr>
        <w:ind w:left="3694" w:hanging="180"/>
      </w:pPr>
    </w:lvl>
    <w:lvl w:ilvl="3" w:tplc="0809000F" w:tentative="1">
      <w:start w:val="1"/>
      <w:numFmt w:val="decimal"/>
      <w:lvlText w:val="%4."/>
      <w:lvlJc w:val="left"/>
      <w:pPr>
        <w:ind w:left="4414" w:hanging="360"/>
      </w:pPr>
    </w:lvl>
    <w:lvl w:ilvl="4" w:tplc="08090019" w:tentative="1">
      <w:start w:val="1"/>
      <w:numFmt w:val="lowerLetter"/>
      <w:lvlText w:val="%5."/>
      <w:lvlJc w:val="left"/>
      <w:pPr>
        <w:ind w:left="5134" w:hanging="360"/>
      </w:pPr>
    </w:lvl>
    <w:lvl w:ilvl="5" w:tplc="0809001B" w:tentative="1">
      <w:start w:val="1"/>
      <w:numFmt w:val="lowerRoman"/>
      <w:lvlText w:val="%6."/>
      <w:lvlJc w:val="right"/>
      <w:pPr>
        <w:ind w:left="5854" w:hanging="180"/>
      </w:pPr>
    </w:lvl>
    <w:lvl w:ilvl="6" w:tplc="0809000F" w:tentative="1">
      <w:start w:val="1"/>
      <w:numFmt w:val="decimal"/>
      <w:lvlText w:val="%7."/>
      <w:lvlJc w:val="left"/>
      <w:pPr>
        <w:ind w:left="6574" w:hanging="360"/>
      </w:pPr>
    </w:lvl>
    <w:lvl w:ilvl="7" w:tplc="08090019" w:tentative="1">
      <w:start w:val="1"/>
      <w:numFmt w:val="lowerLetter"/>
      <w:lvlText w:val="%8."/>
      <w:lvlJc w:val="left"/>
      <w:pPr>
        <w:ind w:left="7294" w:hanging="360"/>
      </w:pPr>
    </w:lvl>
    <w:lvl w:ilvl="8" w:tplc="0809001B" w:tentative="1">
      <w:start w:val="1"/>
      <w:numFmt w:val="lowerRoman"/>
      <w:lvlText w:val="%9."/>
      <w:lvlJc w:val="right"/>
      <w:pPr>
        <w:ind w:left="8014" w:hanging="180"/>
      </w:pPr>
    </w:lvl>
  </w:abstractNum>
  <w:abstractNum w:abstractNumId="3" w15:restartNumberingAfterBreak="0">
    <w:nsid w:val="0CF676B4"/>
    <w:multiLevelType w:val="hybridMultilevel"/>
    <w:tmpl w:val="49F495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D5B079E"/>
    <w:multiLevelType w:val="hybridMultilevel"/>
    <w:tmpl w:val="CE787DF2"/>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67D56"/>
    <w:multiLevelType w:val="hybridMultilevel"/>
    <w:tmpl w:val="2CCAB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004E9"/>
    <w:multiLevelType w:val="hybridMultilevel"/>
    <w:tmpl w:val="2A264A7E"/>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DA26A5"/>
    <w:multiLevelType w:val="hybridMultilevel"/>
    <w:tmpl w:val="09EAD200"/>
    <w:lvl w:ilvl="0" w:tplc="C09EEE00">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530A4"/>
    <w:multiLevelType w:val="multilevel"/>
    <w:tmpl w:val="8CE23BCC"/>
    <w:lvl w:ilvl="0">
      <w:start w:val="1"/>
      <w:numFmt w:val="decimal"/>
      <w:pStyle w:val="Listaconnme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CB44E30"/>
    <w:multiLevelType w:val="hybridMultilevel"/>
    <w:tmpl w:val="BC60206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34306"/>
    <w:multiLevelType w:val="multilevel"/>
    <w:tmpl w:val="406E0E74"/>
    <w:lvl w:ilvl="0">
      <w:start w:val="1"/>
      <w:numFmt w:val="decimal"/>
      <w:pStyle w:val="Ttulo1"/>
      <w:lvlText w:val="%1."/>
      <w:lvlJc w:val="left"/>
      <w:pPr>
        <w:tabs>
          <w:tab w:val="num" w:pos="480"/>
        </w:tabs>
        <w:ind w:left="480" w:hanging="480"/>
      </w:pPr>
    </w:lvl>
    <w:lvl w:ilvl="1">
      <w:start w:val="1"/>
      <w:numFmt w:val="decimal"/>
      <w:pStyle w:val="Ttulo2"/>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2DD3599"/>
    <w:multiLevelType w:val="multilevel"/>
    <w:tmpl w:val="4EAA5BA6"/>
    <w:lvl w:ilvl="0">
      <w:start w:val="1"/>
      <w:numFmt w:val="decimal"/>
      <w:pStyle w:val="Listaconnme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41876DD"/>
    <w:multiLevelType w:val="hybridMultilevel"/>
    <w:tmpl w:val="B80C37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25A2699E"/>
    <w:multiLevelType w:val="hybridMultilevel"/>
    <w:tmpl w:val="B25636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5F736D3"/>
    <w:multiLevelType w:val="hybridMultilevel"/>
    <w:tmpl w:val="15188328"/>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BA479D"/>
    <w:multiLevelType w:val="hybridMultilevel"/>
    <w:tmpl w:val="5008A70E"/>
    <w:lvl w:ilvl="0" w:tplc="EDBCF99A">
      <w:start w:val="1"/>
      <w:numFmt w:val="bullet"/>
      <w:pStyle w:val="Bullet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8F46330"/>
    <w:multiLevelType w:val="hybridMultilevel"/>
    <w:tmpl w:val="EC0C1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9" w15:restartNumberingAfterBreak="0">
    <w:nsid w:val="2CAB4527"/>
    <w:multiLevelType w:val="multilevel"/>
    <w:tmpl w:val="26C24C12"/>
    <w:lvl w:ilvl="0">
      <w:start w:val="1"/>
      <w:numFmt w:val="decimal"/>
      <w:pStyle w:val="Listaconnme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FA163D1"/>
    <w:multiLevelType w:val="hybridMultilevel"/>
    <w:tmpl w:val="0DF00F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17C1173"/>
    <w:multiLevelType w:val="hybridMultilevel"/>
    <w:tmpl w:val="929A91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0D1E31"/>
    <w:multiLevelType w:val="hybridMultilevel"/>
    <w:tmpl w:val="D808516C"/>
    <w:lvl w:ilvl="0" w:tplc="08090003">
      <w:start w:val="1"/>
      <w:numFmt w:val="bullet"/>
      <w:lvlText w:val="o"/>
      <w:lvlJc w:val="left"/>
      <w:pPr>
        <w:ind w:left="776" w:hanging="360"/>
      </w:pPr>
      <w:rPr>
        <w:rFonts w:ascii="Courier New" w:hAnsi="Courier New" w:cs="Courier New"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3"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4"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A452FAE"/>
    <w:multiLevelType w:val="hybridMultilevel"/>
    <w:tmpl w:val="8856AFB4"/>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AFB6DC8"/>
    <w:multiLevelType w:val="singleLevel"/>
    <w:tmpl w:val="D97CFDF8"/>
    <w:lvl w:ilvl="0">
      <w:start w:val="1"/>
      <w:numFmt w:val="bullet"/>
      <w:pStyle w:val="Listaconvietas2"/>
      <w:lvlText w:val=""/>
      <w:lvlJc w:val="left"/>
      <w:pPr>
        <w:tabs>
          <w:tab w:val="num" w:pos="1485"/>
        </w:tabs>
        <w:ind w:left="1485" w:hanging="283"/>
      </w:pPr>
      <w:rPr>
        <w:rFonts w:ascii="Symbol" w:hAnsi="Symbol"/>
      </w:rPr>
    </w:lvl>
  </w:abstractNum>
  <w:abstractNum w:abstractNumId="27" w15:restartNumberingAfterBreak="0">
    <w:nsid w:val="3CF00E18"/>
    <w:multiLevelType w:val="singleLevel"/>
    <w:tmpl w:val="4E1A982C"/>
    <w:lvl w:ilvl="0">
      <w:start w:val="1"/>
      <w:numFmt w:val="bullet"/>
      <w:pStyle w:val="Listaconvietas"/>
      <w:lvlText w:val=""/>
      <w:lvlJc w:val="left"/>
      <w:pPr>
        <w:tabs>
          <w:tab w:val="num" w:pos="283"/>
        </w:tabs>
        <w:ind w:left="283" w:hanging="283"/>
      </w:pPr>
      <w:rPr>
        <w:rFonts w:ascii="Symbol" w:hAnsi="Symbol"/>
      </w:rPr>
    </w:lvl>
  </w:abstractNum>
  <w:abstractNum w:abstractNumId="28" w15:restartNumberingAfterBreak="0">
    <w:nsid w:val="3F2D7572"/>
    <w:multiLevelType w:val="hybridMultilevel"/>
    <w:tmpl w:val="DBD03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D4B35"/>
    <w:multiLevelType w:val="hybridMultilevel"/>
    <w:tmpl w:val="0DDE6E6C"/>
    <w:lvl w:ilvl="0" w:tplc="7D44F622">
      <w:start w:val="1"/>
      <w:numFmt w:val="bullet"/>
      <w:pStyle w:val="PM2-BulletLis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15:restartNumberingAfterBreak="0">
    <w:nsid w:val="46F60D6F"/>
    <w:multiLevelType w:val="hybridMultilevel"/>
    <w:tmpl w:val="223E1DC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499B0986"/>
    <w:multiLevelType w:val="hybridMultilevel"/>
    <w:tmpl w:val="CF1602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4A1A19C1"/>
    <w:multiLevelType w:val="hybridMultilevel"/>
    <w:tmpl w:val="F782D32A"/>
    <w:lvl w:ilvl="0" w:tplc="A408312C">
      <w:start w:val="1"/>
      <w:numFmt w:val="bullet"/>
      <w:pStyle w:val="brol"/>
      <w:lvlText w:val="o"/>
      <w:lvlJc w:val="left"/>
      <w:pPr>
        <w:ind w:left="842" w:hanging="360"/>
      </w:pPr>
      <w:rPr>
        <w:rFonts w:ascii="Courier New" w:hAnsi="Courier New" w:cs="Courier New"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34" w15:restartNumberingAfterBreak="0">
    <w:nsid w:val="4A334B49"/>
    <w:multiLevelType w:val="hybridMultilevel"/>
    <w:tmpl w:val="062E6E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7" w15:restartNumberingAfterBreak="0">
    <w:nsid w:val="511D7AEA"/>
    <w:multiLevelType w:val="hybridMultilevel"/>
    <w:tmpl w:val="5FE446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517378BD"/>
    <w:multiLevelType w:val="hybridMultilevel"/>
    <w:tmpl w:val="5B2ABAF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51E2238F"/>
    <w:multiLevelType w:val="hybridMultilevel"/>
    <w:tmpl w:val="661E18C2"/>
    <w:lvl w:ilvl="0" w:tplc="264A725A">
      <w:start w:val="1"/>
      <w:numFmt w:val="bullet"/>
      <w:pStyle w:val="brol3"/>
      <w:lvlText w:val=""/>
      <w:lvlJc w:val="left"/>
      <w:pPr>
        <w:ind w:left="2114" w:hanging="360"/>
      </w:pPr>
      <w:rPr>
        <w:rFonts w:ascii="Wingdings" w:hAnsi="Wingdings" w:hint="default"/>
      </w:rPr>
    </w:lvl>
    <w:lvl w:ilvl="1" w:tplc="08090003" w:tentative="1">
      <w:start w:val="1"/>
      <w:numFmt w:val="bullet"/>
      <w:lvlText w:val="o"/>
      <w:lvlJc w:val="left"/>
      <w:pPr>
        <w:ind w:left="2834" w:hanging="360"/>
      </w:pPr>
      <w:rPr>
        <w:rFonts w:ascii="Courier New" w:hAnsi="Courier New" w:cs="Courier New" w:hint="default"/>
      </w:rPr>
    </w:lvl>
    <w:lvl w:ilvl="2" w:tplc="08090005" w:tentative="1">
      <w:start w:val="1"/>
      <w:numFmt w:val="bullet"/>
      <w:lvlText w:val=""/>
      <w:lvlJc w:val="left"/>
      <w:pPr>
        <w:ind w:left="3554" w:hanging="360"/>
      </w:pPr>
      <w:rPr>
        <w:rFonts w:ascii="Wingdings" w:hAnsi="Wingdings" w:hint="default"/>
      </w:rPr>
    </w:lvl>
    <w:lvl w:ilvl="3" w:tplc="08090001" w:tentative="1">
      <w:start w:val="1"/>
      <w:numFmt w:val="bullet"/>
      <w:lvlText w:val=""/>
      <w:lvlJc w:val="left"/>
      <w:pPr>
        <w:ind w:left="4274" w:hanging="360"/>
      </w:pPr>
      <w:rPr>
        <w:rFonts w:ascii="Symbol" w:hAnsi="Symbol" w:hint="default"/>
      </w:rPr>
    </w:lvl>
    <w:lvl w:ilvl="4" w:tplc="08090003" w:tentative="1">
      <w:start w:val="1"/>
      <w:numFmt w:val="bullet"/>
      <w:lvlText w:val="o"/>
      <w:lvlJc w:val="left"/>
      <w:pPr>
        <w:ind w:left="4994" w:hanging="360"/>
      </w:pPr>
      <w:rPr>
        <w:rFonts w:ascii="Courier New" w:hAnsi="Courier New" w:cs="Courier New" w:hint="default"/>
      </w:rPr>
    </w:lvl>
    <w:lvl w:ilvl="5" w:tplc="08090005" w:tentative="1">
      <w:start w:val="1"/>
      <w:numFmt w:val="bullet"/>
      <w:lvlText w:val=""/>
      <w:lvlJc w:val="left"/>
      <w:pPr>
        <w:ind w:left="5714" w:hanging="360"/>
      </w:pPr>
      <w:rPr>
        <w:rFonts w:ascii="Wingdings" w:hAnsi="Wingdings" w:hint="default"/>
      </w:rPr>
    </w:lvl>
    <w:lvl w:ilvl="6" w:tplc="08090001" w:tentative="1">
      <w:start w:val="1"/>
      <w:numFmt w:val="bullet"/>
      <w:lvlText w:val=""/>
      <w:lvlJc w:val="left"/>
      <w:pPr>
        <w:ind w:left="6434" w:hanging="360"/>
      </w:pPr>
      <w:rPr>
        <w:rFonts w:ascii="Symbol" w:hAnsi="Symbol" w:hint="default"/>
      </w:rPr>
    </w:lvl>
    <w:lvl w:ilvl="7" w:tplc="08090003" w:tentative="1">
      <w:start w:val="1"/>
      <w:numFmt w:val="bullet"/>
      <w:lvlText w:val="o"/>
      <w:lvlJc w:val="left"/>
      <w:pPr>
        <w:ind w:left="7154" w:hanging="360"/>
      </w:pPr>
      <w:rPr>
        <w:rFonts w:ascii="Courier New" w:hAnsi="Courier New" w:cs="Courier New" w:hint="default"/>
      </w:rPr>
    </w:lvl>
    <w:lvl w:ilvl="8" w:tplc="08090005" w:tentative="1">
      <w:start w:val="1"/>
      <w:numFmt w:val="bullet"/>
      <w:lvlText w:val=""/>
      <w:lvlJc w:val="left"/>
      <w:pPr>
        <w:ind w:left="7874" w:hanging="360"/>
      </w:pPr>
      <w:rPr>
        <w:rFonts w:ascii="Wingdings" w:hAnsi="Wingdings" w:hint="default"/>
      </w:rPr>
    </w:lvl>
  </w:abstractNum>
  <w:abstractNum w:abstractNumId="40" w15:restartNumberingAfterBreak="0">
    <w:nsid w:val="532F6FC0"/>
    <w:multiLevelType w:val="hybridMultilevel"/>
    <w:tmpl w:val="EB6A01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2" w15:restartNumberingAfterBreak="0">
    <w:nsid w:val="59803FA1"/>
    <w:multiLevelType w:val="hybridMultilevel"/>
    <w:tmpl w:val="CC7E9E7A"/>
    <w:lvl w:ilvl="0" w:tplc="8010568C">
      <w:start w:val="1"/>
      <w:numFmt w:val="decimal"/>
      <w:pStyle w:val="Ttulo5"/>
      <w:lvlText w:val="%1."/>
      <w:lvlJc w:val="left"/>
      <w:pPr>
        <w:ind w:left="720" w:hanging="360"/>
      </w:pPr>
      <w:rPr>
        <w:rFonts w:ascii="Arial" w:hAnsi="Arial" w:hint="default"/>
        <w:b/>
        <w:i w:val="0"/>
        <w:caps w:val="0"/>
        <w:strike w:val="0"/>
        <w:dstrike w:val="0"/>
        <w:vanish w:val="0"/>
        <w:color w:val="003399"/>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A495F8E"/>
    <w:multiLevelType w:val="hybridMultilevel"/>
    <w:tmpl w:val="3AEAA16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5" w15:restartNumberingAfterBreak="0">
    <w:nsid w:val="5F5345C9"/>
    <w:multiLevelType w:val="hybridMultilevel"/>
    <w:tmpl w:val="EDFEA830"/>
    <w:lvl w:ilvl="0" w:tplc="0809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7" w15:restartNumberingAfterBreak="0">
    <w:nsid w:val="61E7244D"/>
    <w:multiLevelType w:val="hybridMultilevel"/>
    <w:tmpl w:val="C8FE59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15:restartNumberingAfterBreak="0">
    <w:nsid w:val="620F2440"/>
    <w:multiLevelType w:val="singleLevel"/>
    <w:tmpl w:val="6860A420"/>
    <w:lvl w:ilvl="0">
      <w:start w:val="1"/>
      <w:numFmt w:val="bullet"/>
      <w:pStyle w:val="Listaconvietas3"/>
      <w:lvlText w:val=""/>
      <w:lvlJc w:val="left"/>
      <w:pPr>
        <w:tabs>
          <w:tab w:val="num" w:pos="1485"/>
        </w:tabs>
        <w:ind w:left="1485" w:hanging="283"/>
      </w:pPr>
      <w:rPr>
        <w:rFonts w:ascii="Symbol" w:hAnsi="Symbol"/>
      </w:rPr>
    </w:lvl>
  </w:abstractNum>
  <w:abstractNum w:abstractNumId="49" w15:restartNumberingAfterBreak="0">
    <w:nsid w:val="66C43E33"/>
    <w:multiLevelType w:val="hybridMultilevel"/>
    <w:tmpl w:val="25243D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6AD235A6"/>
    <w:multiLevelType w:val="hybridMultilevel"/>
    <w:tmpl w:val="C65C6330"/>
    <w:lvl w:ilvl="0" w:tplc="42201926">
      <w:start w:val="1"/>
      <w:numFmt w:val="lowerLetter"/>
      <w:pStyle w:val="Numbering-alphabets-indented"/>
      <w:lvlText w:val="%1)"/>
      <w:lvlJc w:val="left"/>
      <w:pPr>
        <w:ind w:left="1440" w:hanging="360"/>
      </w:pPr>
      <w:rPr>
        <w:rFonts w:cs="Times New Roman"/>
      </w:rPr>
    </w:lvl>
    <w:lvl w:ilvl="1" w:tplc="40090003" w:tentative="1">
      <w:start w:val="1"/>
      <w:numFmt w:val="lowerLetter"/>
      <w:lvlText w:val="%2."/>
      <w:lvlJc w:val="left"/>
      <w:pPr>
        <w:ind w:left="2160" w:hanging="360"/>
      </w:pPr>
      <w:rPr>
        <w:rFonts w:cs="Times New Roman"/>
      </w:rPr>
    </w:lvl>
    <w:lvl w:ilvl="2" w:tplc="40090005" w:tentative="1">
      <w:start w:val="1"/>
      <w:numFmt w:val="lowerRoman"/>
      <w:lvlText w:val="%3."/>
      <w:lvlJc w:val="right"/>
      <w:pPr>
        <w:ind w:left="2880" w:hanging="180"/>
      </w:pPr>
      <w:rPr>
        <w:rFonts w:cs="Times New Roman"/>
      </w:rPr>
    </w:lvl>
    <w:lvl w:ilvl="3" w:tplc="40090001" w:tentative="1">
      <w:start w:val="1"/>
      <w:numFmt w:val="decimal"/>
      <w:lvlText w:val="%4."/>
      <w:lvlJc w:val="left"/>
      <w:pPr>
        <w:ind w:left="3600" w:hanging="360"/>
      </w:pPr>
      <w:rPr>
        <w:rFonts w:cs="Times New Roman"/>
      </w:rPr>
    </w:lvl>
    <w:lvl w:ilvl="4" w:tplc="40090003" w:tentative="1">
      <w:start w:val="1"/>
      <w:numFmt w:val="lowerLetter"/>
      <w:lvlText w:val="%5."/>
      <w:lvlJc w:val="left"/>
      <w:pPr>
        <w:ind w:left="4320" w:hanging="360"/>
      </w:pPr>
      <w:rPr>
        <w:rFonts w:cs="Times New Roman"/>
      </w:rPr>
    </w:lvl>
    <w:lvl w:ilvl="5" w:tplc="40090005" w:tentative="1">
      <w:start w:val="1"/>
      <w:numFmt w:val="lowerRoman"/>
      <w:lvlText w:val="%6."/>
      <w:lvlJc w:val="right"/>
      <w:pPr>
        <w:ind w:left="5040" w:hanging="180"/>
      </w:pPr>
      <w:rPr>
        <w:rFonts w:cs="Times New Roman"/>
      </w:rPr>
    </w:lvl>
    <w:lvl w:ilvl="6" w:tplc="40090001" w:tentative="1">
      <w:start w:val="1"/>
      <w:numFmt w:val="decimal"/>
      <w:lvlText w:val="%7."/>
      <w:lvlJc w:val="left"/>
      <w:pPr>
        <w:ind w:left="5760" w:hanging="360"/>
      </w:pPr>
      <w:rPr>
        <w:rFonts w:cs="Times New Roman"/>
      </w:rPr>
    </w:lvl>
    <w:lvl w:ilvl="7" w:tplc="40090003" w:tentative="1">
      <w:start w:val="1"/>
      <w:numFmt w:val="lowerLetter"/>
      <w:lvlText w:val="%8."/>
      <w:lvlJc w:val="left"/>
      <w:pPr>
        <w:ind w:left="6480" w:hanging="360"/>
      </w:pPr>
      <w:rPr>
        <w:rFonts w:cs="Times New Roman"/>
      </w:rPr>
    </w:lvl>
    <w:lvl w:ilvl="8" w:tplc="40090005" w:tentative="1">
      <w:start w:val="1"/>
      <w:numFmt w:val="lowerRoman"/>
      <w:lvlText w:val="%9."/>
      <w:lvlJc w:val="right"/>
      <w:pPr>
        <w:ind w:left="7200" w:hanging="180"/>
      </w:pPr>
      <w:rPr>
        <w:rFonts w:cs="Times New Roman"/>
      </w:rPr>
    </w:lvl>
  </w:abstractNum>
  <w:abstractNum w:abstractNumId="51" w15:restartNumberingAfterBreak="0">
    <w:nsid w:val="6DF118C0"/>
    <w:multiLevelType w:val="singleLevel"/>
    <w:tmpl w:val="B90C8B88"/>
    <w:lvl w:ilvl="0">
      <w:start w:val="1"/>
      <w:numFmt w:val="bullet"/>
      <w:pStyle w:val="Listaconvietas4"/>
      <w:lvlText w:val=""/>
      <w:lvlJc w:val="left"/>
      <w:pPr>
        <w:tabs>
          <w:tab w:val="num" w:pos="1485"/>
        </w:tabs>
        <w:ind w:left="1485" w:hanging="283"/>
      </w:pPr>
      <w:rPr>
        <w:rFonts w:ascii="Symbol" w:hAnsi="Symbol"/>
      </w:rPr>
    </w:lvl>
  </w:abstractNum>
  <w:abstractNum w:abstractNumId="52" w15:restartNumberingAfterBreak="0">
    <w:nsid w:val="71CB444A"/>
    <w:multiLevelType w:val="hybridMultilevel"/>
    <w:tmpl w:val="3F0613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15:restartNumberingAfterBreak="0">
    <w:nsid w:val="722304D7"/>
    <w:multiLevelType w:val="multilevel"/>
    <w:tmpl w:val="9DE2758E"/>
    <w:lvl w:ilvl="0">
      <w:start w:val="1"/>
      <w:numFmt w:val="decimal"/>
      <w:pStyle w:val="Listaconnme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794E7B72"/>
    <w:multiLevelType w:val="hybridMultilevel"/>
    <w:tmpl w:val="6CDEE32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65145E"/>
    <w:multiLevelType w:val="multilevel"/>
    <w:tmpl w:val="4A32EC30"/>
    <w:lvl w:ilvl="0">
      <w:start w:val="1"/>
      <w:numFmt w:val="upperRoman"/>
      <w:lvlText w:val="ANEXO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u w:val="none"/>
      </w:rPr>
    </w:lvl>
    <w:lvl w:ilvl="3">
      <w:start w:val="1"/>
      <w:numFmt w:val="decimal"/>
      <w:pStyle w:val="Ttulo4"/>
      <w:suff w:val="space"/>
      <w:lvlText w:val="%1.%2.%3.%4."/>
      <w:lvlJc w:val="left"/>
      <w:pPr>
        <w:ind w:left="0" w:firstLine="0"/>
      </w:pPr>
      <w:rPr>
        <w:rFonts w:hint="default"/>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num w:numId="1">
    <w:abstractNumId w:val="1"/>
  </w:num>
  <w:num w:numId="2">
    <w:abstractNumId w:val="0"/>
  </w:num>
  <w:num w:numId="3">
    <w:abstractNumId w:val="11"/>
  </w:num>
  <w:num w:numId="4">
    <w:abstractNumId w:val="27"/>
  </w:num>
  <w:num w:numId="5">
    <w:abstractNumId w:val="18"/>
  </w:num>
  <w:num w:numId="6">
    <w:abstractNumId w:val="26"/>
  </w:num>
  <w:num w:numId="7">
    <w:abstractNumId w:val="48"/>
  </w:num>
  <w:num w:numId="8">
    <w:abstractNumId w:val="51"/>
  </w:num>
  <w:num w:numId="9">
    <w:abstractNumId w:val="23"/>
  </w:num>
  <w:num w:numId="10">
    <w:abstractNumId w:val="46"/>
  </w:num>
  <w:num w:numId="11">
    <w:abstractNumId w:val="44"/>
  </w:num>
  <w:num w:numId="12">
    <w:abstractNumId w:val="30"/>
  </w:num>
  <w:num w:numId="13">
    <w:abstractNumId w:val="41"/>
  </w:num>
  <w:num w:numId="14">
    <w:abstractNumId w:val="12"/>
  </w:num>
  <w:num w:numId="15">
    <w:abstractNumId w:val="24"/>
  </w:num>
  <w:num w:numId="16">
    <w:abstractNumId w:val="9"/>
  </w:num>
  <w:num w:numId="17">
    <w:abstractNumId w:val="19"/>
  </w:num>
  <w:num w:numId="18">
    <w:abstractNumId w:val="53"/>
  </w:num>
  <w:num w:numId="19">
    <w:abstractNumId w:val="35"/>
  </w:num>
  <w:num w:numId="20">
    <w:abstractNumId w:val="5"/>
  </w:num>
  <w:num w:numId="21">
    <w:abstractNumId w:val="36"/>
  </w:num>
  <w:num w:numId="22">
    <w:abstractNumId w:val="55"/>
  </w:num>
  <w:num w:numId="23">
    <w:abstractNumId w:val="50"/>
  </w:num>
  <w:num w:numId="24">
    <w:abstractNumId w:val="29"/>
  </w:num>
  <w:num w:numId="25">
    <w:abstractNumId w:val="33"/>
  </w:num>
  <w:num w:numId="26">
    <w:abstractNumId w:val="39"/>
  </w:num>
  <w:num w:numId="27">
    <w:abstractNumId w:val="2"/>
  </w:num>
  <w:num w:numId="28">
    <w:abstractNumId w:val="56"/>
  </w:num>
  <w:num w:numId="29">
    <w:abstractNumId w:val="16"/>
  </w:num>
  <w:num w:numId="30">
    <w:abstractNumId w:val="17"/>
  </w:num>
  <w:num w:numId="31">
    <w:abstractNumId w:val="42"/>
  </w:num>
  <w:num w:numId="32">
    <w:abstractNumId w:val="6"/>
  </w:num>
  <w:num w:numId="33">
    <w:abstractNumId w:val="28"/>
  </w:num>
  <w:num w:numId="34">
    <w:abstractNumId w:val="21"/>
  </w:num>
  <w:num w:numId="35">
    <w:abstractNumId w:val="10"/>
  </w:num>
  <w:num w:numId="36">
    <w:abstractNumId w:val="8"/>
  </w:num>
  <w:num w:numId="37">
    <w:abstractNumId w:val="38"/>
  </w:num>
  <w:num w:numId="38">
    <w:abstractNumId w:val="22"/>
  </w:num>
  <w:num w:numId="39">
    <w:abstractNumId w:val="34"/>
  </w:num>
  <w:num w:numId="40">
    <w:abstractNumId w:val="15"/>
  </w:num>
  <w:num w:numId="41">
    <w:abstractNumId w:val="4"/>
  </w:num>
  <w:num w:numId="42">
    <w:abstractNumId w:val="45"/>
  </w:num>
  <w:num w:numId="43">
    <w:abstractNumId w:val="7"/>
  </w:num>
  <w:num w:numId="44">
    <w:abstractNumId w:val="25"/>
  </w:num>
  <w:num w:numId="45">
    <w:abstractNumId w:val="31"/>
  </w:num>
  <w:num w:numId="46">
    <w:abstractNumId w:val="32"/>
  </w:num>
  <w:num w:numId="47">
    <w:abstractNumId w:val="49"/>
  </w:num>
  <w:num w:numId="48">
    <w:abstractNumId w:val="54"/>
  </w:num>
  <w:num w:numId="49">
    <w:abstractNumId w:val="52"/>
  </w:num>
  <w:num w:numId="50">
    <w:abstractNumId w:val="43"/>
  </w:num>
  <w:num w:numId="51">
    <w:abstractNumId w:val="40"/>
  </w:num>
  <w:num w:numId="52">
    <w:abstractNumId w:val="14"/>
  </w:num>
  <w:num w:numId="53">
    <w:abstractNumId w:val="13"/>
  </w:num>
  <w:num w:numId="54">
    <w:abstractNumId w:val="47"/>
  </w:num>
  <w:num w:numId="55">
    <w:abstractNumId w:val="3"/>
  </w:num>
  <w:num w:numId="56">
    <w:abstractNumId w:val="56"/>
  </w:num>
  <w:num w:numId="57">
    <w:abstractNumId w:val="11"/>
  </w:num>
  <w:num w:numId="58">
    <w:abstractNumId w:val="56"/>
  </w:num>
  <w:num w:numId="59">
    <w:abstractNumId w:val="20"/>
  </w:num>
  <w:num w:numId="60">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Heading"/>
  <w:drawingGridHorizontalSpacing w:val="120"/>
  <w:displayHorizontalDrawingGridEvery w:val="0"/>
  <w:displayVerticalDrawingGridEvery w:val="0"/>
  <w:noPunctuationKerning/>
  <w:characterSpacingControl w:val="doNotCompress"/>
  <w:hdrShapeDefaults>
    <o:shapedefaults v:ext="edit" spidmax="2060" style="mso-position-vertical-relative:margin" fillcolor="#002395" stroke="f">
      <v:fill color="#002395"/>
      <v:stroke on="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0985"/>
    <w:rsid w:val="00001268"/>
    <w:rsid w:val="00001760"/>
    <w:rsid w:val="00002EFB"/>
    <w:rsid w:val="00004892"/>
    <w:rsid w:val="00006F7D"/>
    <w:rsid w:val="000074CA"/>
    <w:rsid w:val="00007E96"/>
    <w:rsid w:val="00007F75"/>
    <w:rsid w:val="000101A9"/>
    <w:rsid w:val="0001083E"/>
    <w:rsid w:val="0001171E"/>
    <w:rsid w:val="00012005"/>
    <w:rsid w:val="00012209"/>
    <w:rsid w:val="0001353D"/>
    <w:rsid w:val="00013982"/>
    <w:rsid w:val="00014038"/>
    <w:rsid w:val="00015B9D"/>
    <w:rsid w:val="0001640B"/>
    <w:rsid w:val="00016534"/>
    <w:rsid w:val="0001748A"/>
    <w:rsid w:val="00021471"/>
    <w:rsid w:val="0002370B"/>
    <w:rsid w:val="000239F9"/>
    <w:rsid w:val="00023FCA"/>
    <w:rsid w:val="0002439A"/>
    <w:rsid w:val="00024424"/>
    <w:rsid w:val="00026FC9"/>
    <w:rsid w:val="000274AF"/>
    <w:rsid w:val="00027E8C"/>
    <w:rsid w:val="00030154"/>
    <w:rsid w:val="00032D88"/>
    <w:rsid w:val="0003531E"/>
    <w:rsid w:val="00037A99"/>
    <w:rsid w:val="00040188"/>
    <w:rsid w:val="00040214"/>
    <w:rsid w:val="00040994"/>
    <w:rsid w:val="0004130D"/>
    <w:rsid w:val="00041E23"/>
    <w:rsid w:val="000420DD"/>
    <w:rsid w:val="00042A77"/>
    <w:rsid w:val="000431A5"/>
    <w:rsid w:val="00043A16"/>
    <w:rsid w:val="00044AA4"/>
    <w:rsid w:val="00044DAC"/>
    <w:rsid w:val="00045431"/>
    <w:rsid w:val="000454BD"/>
    <w:rsid w:val="00045BD3"/>
    <w:rsid w:val="00045DE5"/>
    <w:rsid w:val="00050365"/>
    <w:rsid w:val="00050692"/>
    <w:rsid w:val="0005079A"/>
    <w:rsid w:val="00050920"/>
    <w:rsid w:val="00052009"/>
    <w:rsid w:val="0005248C"/>
    <w:rsid w:val="00052E62"/>
    <w:rsid w:val="000535B3"/>
    <w:rsid w:val="00054F8E"/>
    <w:rsid w:val="0005791B"/>
    <w:rsid w:val="000600E1"/>
    <w:rsid w:val="000608CF"/>
    <w:rsid w:val="00060D6A"/>
    <w:rsid w:val="00060E34"/>
    <w:rsid w:val="00060E68"/>
    <w:rsid w:val="00062037"/>
    <w:rsid w:val="000624B2"/>
    <w:rsid w:val="00062D04"/>
    <w:rsid w:val="00063C4D"/>
    <w:rsid w:val="0006472F"/>
    <w:rsid w:val="00064BED"/>
    <w:rsid w:val="00065DBD"/>
    <w:rsid w:val="000661AF"/>
    <w:rsid w:val="00066779"/>
    <w:rsid w:val="0006753F"/>
    <w:rsid w:val="0007272F"/>
    <w:rsid w:val="00072FCE"/>
    <w:rsid w:val="00073336"/>
    <w:rsid w:val="00073342"/>
    <w:rsid w:val="00073899"/>
    <w:rsid w:val="00074AA8"/>
    <w:rsid w:val="00075731"/>
    <w:rsid w:val="00076D91"/>
    <w:rsid w:val="0008090D"/>
    <w:rsid w:val="00080CC7"/>
    <w:rsid w:val="000818B2"/>
    <w:rsid w:val="00081BA3"/>
    <w:rsid w:val="00081D95"/>
    <w:rsid w:val="000822FE"/>
    <w:rsid w:val="0008233B"/>
    <w:rsid w:val="00084679"/>
    <w:rsid w:val="000846B0"/>
    <w:rsid w:val="00085827"/>
    <w:rsid w:val="0008613F"/>
    <w:rsid w:val="00086E8C"/>
    <w:rsid w:val="000913FF"/>
    <w:rsid w:val="0009268E"/>
    <w:rsid w:val="0009422B"/>
    <w:rsid w:val="0009555A"/>
    <w:rsid w:val="00096011"/>
    <w:rsid w:val="00096267"/>
    <w:rsid w:val="00097276"/>
    <w:rsid w:val="000A113B"/>
    <w:rsid w:val="000A186B"/>
    <w:rsid w:val="000A192C"/>
    <w:rsid w:val="000A1CEE"/>
    <w:rsid w:val="000A1D3C"/>
    <w:rsid w:val="000A26C4"/>
    <w:rsid w:val="000A338B"/>
    <w:rsid w:val="000A3BFD"/>
    <w:rsid w:val="000A3D5A"/>
    <w:rsid w:val="000A3E81"/>
    <w:rsid w:val="000A4E92"/>
    <w:rsid w:val="000A5161"/>
    <w:rsid w:val="000A5212"/>
    <w:rsid w:val="000A606C"/>
    <w:rsid w:val="000A7A62"/>
    <w:rsid w:val="000A7FCF"/>
    <w:rsid w:val="000B0AB6"/>
    <w:rsid w:val="000B13D5"/>
    <w:rsid w:val="000B1A44"/>
    <w:rsid w:val="000B3098"/>
    <w:rsid w:val="000B3C7A"/>
    <w:rsid w:val="000B4381"/>
    <w:rsid w:val="000B4FD4"/>
    <w:rsid w:val="000B5E6C"/>
    <w:rsid w:val="000B62F1"/>
    <w:rsid w:val="000C4315"/>
    <w:rsid w:val="000C5348"/>
    <w:rsid w:val="000C5626"/>
    <w:rsid w:val="000C5DCD"/>
    <w:rsid w:val="000C666C"/>
    <w:rsid w:val="000D17BE"/>
    <w:rsid w:val="000D203C"/>
    <w:rsid w:val="000D203E"/>
    <w:rsid w:val="000D29D3"/>
    <w:rsid w:val="000D3ABC"/>
    <w:rsid w:val="000D4503"/>
    <w:rsid w:val="000D4F7E"/>
    <w:rsid w:val="000D52C0"/>
    <w:rsid w:val="000D5DDC"/>
    <w:rsid w:val="000D7AC5"/>
    <w:rsid w:val="000E0B65"/>
    <w:rsid w:val="000E0C81"/>
    <w:rsid w:val="000E0EF5"/>
    <w:rsid w:val="000E2787"/>
    <w:rsid w:val="000E388A"/>
    <w:rsid w:val="000E3CED"/>
    <w:rsid w:val="000E5336"/>
    <w:rsid w:val="000E537B"/>
    <w:rsid w:val="000E5B7E"/>
    <w:rsid w:val="000E5F7E"/>
    <w:rsid w:val="000E63B3"/>
    <w:rsid w:val="000E7B09"/>
    <w:rsid w:val="000E7FE7"/>
    <w:rsid w:val="000F019E"/>
    <w:rsid w:val="000F1106"/>
    <w:rsid w:val="000F172E"/>
    <w:rsid w:val="000F1813"/>
    <w:rsid w:val="000F1FC8"/>
    <w:rsid w:val="000F22BA"/>
    <w:rsid w:val="000F428A"/>
    <w:rsid w:val="000F52D2"/>
    <w:rsid w:val="00100B1C"/>
    <w:rsid w:val="00101E89"/>
    <w:rsid w:val="001022D7"/>
    <w:rsid w:val="001025F6"/>
    <w:rsid w:val="00103061"/>
    <w:rsid w:val="0010323B"/>
    <w:rsid w:val="0010339F"/>
    <w:rsid w:val="0010383E"/>
    <w:rsid w:val="001047AE"/>
    <w:rsid w:val="001053D1"/>
    <w:rsid w:val="001056D2"/>
    <w:rsid w:val="001057A1"/>
    <w:rsid w:val="001076A1"/>
    <w:rsid w:val="00107E3A"/>
    <w:rsid w:val="00110901"/>
    <w:rsid w:val="00110DAC"/>
    <w:rsid w:val="00114224"/>
    <w:rsid w:val="00114749"/>
    <w:rsid w:val="00114A37"/>
    <w:rsid w:val="00114BAF"/>
    <w:rsid w:val="00114C0C"/>
    <w:rsid w:val="00114C80"/>
    <w:rsid w:val="00115FAB"/>
    <w:rsid w:val="001167AD"/>
    <w:rsid w:val="0011681E"/>
    <w:rsid w:val="00116BF4"/>
    <w:rsid w:val="00117A6E"/>
    <w:rsid w:val="00117EE0"/>
    <w:rsid w:val="00121A92"/>
    <w:rsid w:val="00121ECE"/>
    <w:rsid w:val="00122A1C"/>
    <w:rsid w:val="00122BB8"/>
    <w:rsid w:val="0012325E"/>
    <w:rsid w:val="001249A5"/>
    <w:rsid w:val="00124AAC"/>
    <w:rsid w:val="001251E8"/>
    <w:rsid w:val="00125E68"/>
    <w:rsid w:val="001270B5"/>
    <w:rsid w:val="00127C65"/>
    <w:rsid w:val="00130EFD"/>
    <w:rsid w:val="00131543"/>
    <w:rsid w:val="00131BE7"/>
    <w:rsid w:val="00132954"/>
    <w:rsid w:val="00133F94"/>
    <w:rsid w:val="00134F1F"/>
    <w:rsid w:val="0013530F"/>
    <w:rsid w:val="00136138"/>
    <w:rsid w:val="00136F1E"/>
    <w:rsid w:val="00137361"/>
    <w:rsid w:val="001374DD"/>
    <w:rsid w:val="00140E95"/>
    <w:rsid w:val="00141116"/>
    <w:rsid w:val="00142767"/>
    <w:rsid w:val="00142FE4"/>
    <w:rsid w:val="00143E52"/>
    <w:rsid w:val="00144305"/>
    <w:rsid w:val="001445C2"/>
    <w:rsid w:val="001448DC"/>
    <w:rsid w:val="0014596A"/>
    <w:rsid w:val="00146803"/>
    <w:rsid w:val="0014731C"/>
    <w:rsid w:val="00147C14"/>
    <w:rsid w:val="0015019E"/>
    <w:rsid w:val="00150783"/>
    <w:rsid w:val="001510C4"/>
    <w:rsid w:val="00151DD2"/>
    <w:rsid w:val="00152B88"/>
    <w:rsid w:val="00153150"/>
    <w:rsid w:val="00153E61"/>
    <w:rsid w:val="0015589B"/>
    <w:rsid w:val="00156867"/>
    <w:rsid w:val="00157838"/>
    <w:rsid w:val="00157ABC"/>
    <w:rsid w:val="00157C55"/>
    <w:rsid w:val="001603A1"/>
    <w:rsid w:val="00160D49"/>
    <w:rsid w:val="00161E95"/>
    <w:rsid w:val="00162456"/>
    <w:rsid w:val="001628DA"/>
    <w:rsid w:val="00163085"/>
    <w:rsid w:val="001636EC"/>
    <w:rsid w:val="00163B04"/>
    <w:rsid w:val="00163C30"/>
    <w:rsid w:val="00163DAA"/>
    <w:rsid w:val="00165733"/>
    <w:rsid w:val="00170246"/>
    <w:rsid w:val="00171887"/>
    <w:rsid w:val="001721E0"/>
    <w:rsid w:val="00172A61"/>
    <w:rsid w:val="00172C21"/>
    <w:rsid w:val="00176642"/>
    <w:rsid w:val="00176F84"/>
    <w:rsid w:val="00176FA4"/>
    <w:rsid w:val="0018308B"/>
    <w:rsid w:val="00183528"/>
    <w:rsid w:val="001835A3"/>
    <w:rsid w:val="00184648"/>
    <w:rsid w:val="00185E28"/>
    <w:rsid w:val="0018634E"/>
    <w:rsid w:val="00186427"/>
    <w:rsid w:val="00186D7A"/>
    <w:rsid w:val="001873E6"/>
    <w:rsid w:val="00187602"/>
    <w:rsid w:val="001877D5"/>
    <w:rsid w:val="00190045"/>
    <w:rsid w:val="001901AA"/>
    <w:rsid w:val="00190ADB"/>
    <w:rsid w:val="0019228C"/>
    <w:rsid w:val="00193D89"/>
    <w:rsid w:val="00194AF7"/>
    <w:rsid w:val="00194F48"/>
    <w:rsid w:val="00197E47"/>
    <w:rsid w:val="001A00F2"/>
    <w:rsid w:val="001A1395"/>
    <w:rsid w:val="001A174C"/>
    <w:rsid w:val="001A21B3"/>
    <w:rsid w:val="001A2283"/>
    <w:rsid w:val="001A2C42"/>
    <w:rsid w:val="001A3158"/>
    <w:rsid w:val="001A334C"/>
    <w:rsid w:val="001A3654"/>
    <w:rsid w:val="001A4500"/>
    <w:rsid w:val="001A46FB"/>
    <w:rsid w:val="001A50AA"/>
    <w:rsid w:val="001A530F"/>
    <w:rsid w:val="001A5976"/>
    <w:rsid w:val="001A60A5"/>
    <w:rsid w:val="001A68AF"/>
    <w:rsid w:val="001B03C5"/>
    <w:rsid w:val="001B17EC"/>
    <w:rsid w:val="001B21E7"/>
    <w:rsid w:val="001B26C8"/>
    <w:rsid w:val="001B280D"/>
    <w:rsid w:val="001B28DA"/>
    <w:rsid w:val="001B3065"/>
    <w:rsid w:val="001B3607"/>
    <w:rsid w:val="001B6E8D"/>
    <w:rsid w:val="001B71D0"/>
    <w:rsid w:val="001B7AB2"/>
    <w:rsid w:val="001B7D88"/>
    <w:rsid w:val="001C0699"/>
    <w:rsid w:val="001C1170"/>
    <w:rsid w:val="001C20A7"/>
    <w:rsid w:val="001C523A"/>
    <w:rsid w:val="001C5A15"/>
    <w:rsid w:val="001C5CC8"/>
    <w:rsid w:val="001C6073"/>
    <w:rsid w:val="001C6A9D"/>
    <w:rsid w:val="001C7119"/>
    <w:rsid w:val="001C721F"/>
    <w:rsid w:val="001D0FDD"/>
    <w:rsid w:val="001D1135"/>
    <w:rsid w:val="001D2A51"/>
    <w:rsid w:val="001D2B9C"/>
    <w:rsid w:val="001D33A8"/>
    <w:rsid w:val="001D3A27"/>
    <w:rsid w:val="001D40EA"/>
    <w:rsid w:val="001D4C4C"/>
    <w:rsid w:val="001D6E5E"/>
    <w:rsid w:val="001D7410"/>
    <w:rsid w:val="001E04A2"/>
    <w:rsid w:val="001E0751"/>
    <w:rsid w:val="001E3829"/>
    <w:rsid w:val="001E3B85"/>
    <w:rsid w:val="001E3C16"/>
    <w:rsid w:val="001E3E1B"/>
    <w:rsid w:val="001E4014"/>
    <w:rsid w:val="001E413F"/>
    <w:rsid w:val="001E69EA"/>
    <w:rsid w:val="001E6AC6"/>
    <w:rsid w:val="001E6C64"/>
    <w:rsid w:val="001E721C"/>
    <w:rsid w:val="001F0246"/>
    <w:rsid w:val="001F0973"/>
    <w:rsid w:val="001F2793"/>
    <w:rsid w:val="001F34DA"/>
    <w:rsid w:val="001F4409"/>
    <w:rsid w:val="001F4CB2"/>
    <w:rsid w:val="001F4E42"/>
    <w:rsid w:val="001F6B09"/>
    <w:rsid w:val="00200041"/>
    <w:rsid w:val="00200B33"/>
    <w:rsid w:val="00200C19"/>
    <w:rsid w:val="00200E7B"/>
    <w:rsid w:val="0020168D"/>
    <w:rsid w:val="00202268"/>
    <w:rsid w:val="00203347"/>
    <w:rsid w:val="00203585"/>
    <w:rsid w:val="00204E27"/>
    <w:rsid w:val="0020563A"/>
    <w:rsid w:val="002067A1"/>
    <w:rsid w:val="00207DB9"/>
    <w:rsid w:val="0021082A"/>
    <w:rsid w:val="0021135E"/>
    <w:rsid w:val="00211578"/>
    <w:rsid w:val="0021201F"/>
    <w:rsid w:val="00213AE8"/>
    <w:rsid w:val="00213DD6"/>
    <w:rsid w:val="002146E5"/>
    <w:rsid w:val="00214D97"/>
    <w:rsid w:val="00215106"/>
    <w:rsid w:val="00215732"/>
    <w:rsid w:val="00215A57"/>
    <w:rsid w:val="00216F06"/>
    <w:rsid w:val="0021706F"/>
    <w:rsid w:val="00217328"/>
    <w:rsid w:val="00217E2D"/>
    <w:rsid w:val="0022006F"/>
    <w:rsid w:val="00220403"/>
    <w:rsid w:val="0022079D"/>
    <w:rsid w:val="002213C9"/>
    <w:rsid w:val="00221BF6"/>
    <w:rsid w:val="0022205A"/>
    <w:rsid w:val="0022279A"/>
    <w:rsid w:val="002227E7"/>
    <w:rsid w:val="00223456"/>
    <w:rsid w:val="00223DD2"/>
    <w:rsid w:val="00224469"/>
    <w:rsid w:val="00225188"/>
    <w:rsid w:val="00225290"/>
    <w:rsid w:val="00225E35"/>
    <w:rsid w:val="002262A9"/>
    <w:rsid w:val="00226756"/>
    <w:rsid w:val="00227ACA"/>
    <w:rsid w:val="00227FD9"/>
    <w:rsid w:val="00230F7C"/>
    <w:rsid w:val="002317DA"/>
    <w:rsid w:val="00232A55"/>
    <w:rsid w:val="00233386"/>
    <w:rsid w:val="00234AFB"/>
    <w:rsid w:val="002361A2"/>
    <w:rsid w:val="002367E6"/>
    <w:rsid w:val="002378E7"/>
    <w:rsid w:val="00240A40"/>
    <w:rsid w:val="00241A4D"/>
    <w:rsid w:val="00241FD1"/>
    <w:rsid w:val="002443BF"/>
    <w:rsid w:val="00244ABF"/>
    <w:rsid w:val="00245C9B"/>
    <w:rsid w:val="00245D8E"/>
    <w:rsid w:val="002512C4"/>
    <w:rsid w:val="00251502"/>
    <w:rsid w:val="002538F6"/>
    <w:rsid w:val="002540E4"/>
    <w:rsid w:val="00255775"/>
    <w:rsid w:val="002573F9"/>
    <w:rsid w:val="00257ECC"/>
    <w:rsid w:val="00260C75"/>
    <w:rsid w:val="00260FE6"/>
    <w:rsid w:val="002630B4"/>
    <w:rsid w:val="002637BA"/>
    <w:rsid w:val="002664A3"/>
    <w:rsid w:val="00266ED9"/>
    <w:rsid w:val="0026795B"/>
    <w:rsid w:val="002701C1"/>
    <w:rsid w:val="00270343"/>
    <w:rsid w:val="00270387"/>
    <w:rsid w:val="0027061A"/>
    <w:rsid w:val="0027093E"/>
    <w:rsid w:val="00272A83"/>
    <w:rsid w:val="00272E34"/>
    <w:rsid w:val="00273665"/>
    <w:rsid w:val="00274596"/>
    <w:rsid w:val="002756F2"/>
    <w:rsid w:val="002759FD"/>
    <w:rsid w:val="0027625E"/>
    <w:rsid w:val="00277A20"/>
    <w:rsid w:val="00277C4D"/>
    <w:rsid w:val="00280FF7"/>
    <w:rsid w:val="00281384"/>
    <w:rsid w:val="00282256"/>
    <w:rsid w:val="00283190"/>
    <w:rsid w:val="0028473D"/>
    <w:rsid w:val="0028594A"/>
    <w:rsid w:val="00285FF2"/>
    <w:rsid w:val="002901DB"/>
    <w:rsid w:val="00290B4E"/>
    <w:rsid w:val="002915BC"/>
    <w:rsid w:val="0029176F"/>
    <w:rsid w:val="00291ADB"/>
    <w:rsid w:val="002938F3"/>
    <w:rsid w:val="00293FA4"/>
    <w:rsid w:val="002947B6"/>
    <w:rsid w:val="00296A68"/>
    <w:rsid w:val="0029775F"/>
    <w:rsid w:val="002A0883"/>
    <w:rsid w:val="002A0905"/>
    <w:rsid w:val="002A13F2"/>
    <w:rsid w:val="002A1518"/>
    <w:rsid w:val="002A23F3"/>
    <w:rsid w:val="002A2E97"/>
    <w:rsid w:val="002A5052"/>
    <w:rsid w:val="002A64F3"/>
    <w:rsid w:val="002A726D"/>
    <w:rsid w:val="002A772B"/>
    <w:rsid w:val="002A7B00"/>
    <w:rsid w:val="002A7BE6"/>
    <w:rsid w:val="002B3CBD"/>
    <w:rsid w:val="002B3FD1"/>
    <w:rsid w:val="002B40E8"/>
    <w:rsid w:val="002B428B"/>
    <w:rsid w:val="002C092B"/>
    <w:rsid w:val="002C5314"/>
    <w:rsid w:val="002C6238"/>
    <w:rsid w:val="002C6D26"/>
    <w:rsid w:val="002D092C"/>
    <w:rsid w:val="002D2076"/>
    <w:rsid w:val="002D2C3E"/>
    <w:rsid w:val="002D2C82"/>
    <w:rsid w:val="002D3BAD"/>
    <w:rsid w:val="002D3F81"/>
    <w:rsid w:val="002D52C0"/>
    <w:rsid w:val="002D5939"/>
    <w:rsid w:val="002D6EBD"/>
    <w:rsid w:val="002D7758"/>
    <w:rsid w:val="002E012B"/>
    <w:rsid w:val="002E25C5"/>
    <w:rsid w:val="002E2FBF"/>
    <w:rsid w:val="002E37B6"/>
    <w:rsid w:val="002E3882"/>
    <w:rsid w:val="002E39AB"/>
    <w:rsid w:val="002E468C"/>
    <w:rsid w:val="002E4BA1"/>
    <w:rsid w:val="002E5308"/>
    <w:rsid w:val="002E5DF7"/>
    <w:rsid w:val="002E6414"/>
    <w:rsid w:val="002E729C"/>
    <w:rsid w:val="002E782C"/>
    <w:rsid w:val="002F1592"/>
    <w:rsid w:val="002F2388"/>
    <w:rsid w:val="002F24A5"/>
    <w:rsid w:val="002F266C"/>
    <w:rsid w:val="002F26AD"/>
    <w:rsid w:val="002F3274"/>
    <w:rsid w:val="002F375E"/>
    <w:rsid w:val="002F3F44"/>
    <w:rsid w:val="002F521D"/>
    <w:rsid w:val="002F58EE"/>
    <w:rsid w:val="00300812"/>
    <w:rsid w:val="00301241"/>
    <w:rsid w:val="00301C91"/>
    <w:rsid w:val="00302A12"/>
    <w:rsid w:val="0030325A"/>
    <w:rsid w:val="0030365B"/>
    <w:rsid w:val="00304ED2"/>
    <w:rsid w:val="00305F25"/>
    <w:rsid w:val="00306764"/>
    <w:rsid w:val="003075CE"/>
    <w:rsid w:val="003126F4"/>
    <w:rsid w:val="0031320E"/>
    <w:rsid w:val="00314ECC"/>
    <w:rsid w:val="003157A6"/>
    <w:rsid w:val="003160D2"/>
    <w:rsid w:val="00316D05"/>
    <w:rsid w:val="003173DE"/>
    <w:rsid w:val="00317AD6"/>
    <w:rsid w:val="00317B76"/>
    <w:rsid w:val="0032037B"/>
    <w:rsid w:val="00321465"/>
    <w:rsid w:val="0032178C"/>
    <w:rsid w:val="00324102"/>
    <w:rsid w:val="0032474A"/>
    <w:rsid w:val="00324A16"/>
    <w:rsid w:val="00325154"/>
    <w:rsid w:val="003252F2"/>
    <w:rsid w:val="003258A8"/>
    <w:rsid w:val="003268FF"/>
    <w:rsid w:val="00327CFA"/>
    <w:rsid w:val="00327FDF"/>
    <w:rsid w:val="00331161"/>
    <w:rsid w:val="003311B7"/>
    <w:rsid w:val="00331BA5"/>
    <w:rsid w:val="00331CD5"/>
    <w:rsid w:val="00332C53"/>
    <w:rsid w:val="00332E19"/>
    <w:rsid w:val="0033317E"/>
    <w:rsid w:val="003333A9"/>
    <w:rsid w:val="00333E1B"/>
    <w:rsid w:val="00334F2D"/>
    <w:rsid w:val="003365B0"/>
    <w:rsid w:val="00336CAC"/>
    <w:rsid w:val="00336DC9"/>
    <w:rsid w:val="003374DA"/>
    <w:rsid w:val="003375CB"/>
    <w:rsid w:val="00337AEF"/>
    <w:rsid w:val="003401DA"/>
    <w:rsid w:val="003405E9"/>
    <w:rsid w:val="003407AA"/>
    <w:rsid w:val="0034158E"/>
    <w:rsid w:val="003416C6"/>
    <w:rsid w:val="00341751"/>
    <w:rsid w:val="00342414"/>
    <w:rsid w:val="0034251E"/>
    <w:rsid w:val="00342E38"/>
    <w:rsid w:val="00342EC1"/>
    <w:rsid w:val="0034404F"/>
    <w:rsid w:val="003448AB"/>
    <w:rsid w:val="00344A2D"/>
    <w:rsid w:val="0034518D"/>
    <w:rsid w:val="003462C2"/>
    <w:rsid w:val="00346A05"/>
    <w:rsid w:val="00346FAF"/>
    <w:rsid w:val="00347A08"/>
    <w:rsid w:val="00350D85"/>
    <w:rsid w:val="00351A87"/>
    <w:rsid w:val="00352216"/>
    <w:rsid w:val="00353095"/>
    <w:rsid w:val="00353F60"/>
    <w:rsid w:val="00354910"/>
    <w:rsid w:val="00354C5A"/>
    <w:rsid w:val="00354EB8"/>
    <w:rsid w:val="00355096"/>
    <w:rsid w:val="00355E9C"/>
    <w:rsid w:val="00355F08"/>
    <w:rsid w:val="003566D6"/>
    <w:rsid w:val="0035693A"/>
    <w:rsid w:val="00357433"/>
    <w:rsid w:val="0035773D"/>
    <w:rsid w:val="00357E5C"/>
    <w:rsid w:val="0036026C"/>
    <w:rsid w:val="00361744"/>
    <w:rsid w:val="00362D23"/>
    <w:rsid w:val="0036317E"/>
    <w:rsid w:val="003637CC"/>
    <w:rsid w:val="003639E8"/>
    <w:rsid w:val="0036575C"/>
    <w:rsid w:val="0036597B"/>
    <w:rsid w:val="003662DA"/>
    <w:rsid w:val="00367149"/>
    <w:rsid w:val="00370962"/>
    <w:rsid w:val="00371943"/>
    <w:rsid w:val="0037196F"/>
    <w:rsid w:val="00373107"/>
    <w:rsid w:val="00373E08"/>
    <w:rsid w:val="003752F8"/>
    <w:rsid w:val="00375F6C"/>
    <w:rsid w:val="00377983"/>
    <w:rsid w:val="00377C9D"/>
    <w:rsid w:val="00381675"/>
    <w:rsid w:val="00381774"/>
    <w:rsid w:val="00381F99"/>
    <w:rsid w:val="00382FF6"/>
    <w:rsid w:val="003839BA"/>
    <w:rsid w:val="00384AE9"/>
    <w:rsid w:val="0038553A"/>
    <w:rsid w:val="00386169"/>
    <w:rsid w:val="00387DD5"/>
    <w:rsid w:val="00390038"/>
    <w:rsid w:val="003908C7"/>
    <w:rsid w:val="00391014"/>
    <w:rsid w:val="0039110A"/>
    <w:rsid w:val="003911FA"/>
    <w:rsid w:val="00392235"/>
    <w:rsid w:val="00393426"/>
    <w:rsid w:val="003937A0"/>
    <w:rsid w:val="00393ABC"/>
    <w:rsid w:val="00393F0A"/>
    <w:rsid w:val="00395648"/>
    <w:rsid w:val="00395B63"/>
    <w:rsid w:val="00396068"/>
    <w:rsid w:val="003A014F"/>
    <w:rsid w:val="003A1661"/>
    <w:rsid w:val="003A34EB"/>
    <w:rsid w:val="003A356C"/>
    <w:rsid w:val="003A36C4"/>
    <w:rsid w:val="003A3B50"/>
    <w:rsid w:val="003A3E6A"/>
    <w:rsid w:val="003A4447"/>
    <w:rsid w:val="003A466C"/>
    <w:rsid w:val="003A68BA"/>
    <w:rsid w:val="003A6BD6"/>
    <w:rsid w:val="003A71CF"/>
    <w:rsid w:val="003A7893"/>
    <w:rsid w:val="003B0155"/>
    <w:rsid w:val="003B2E90"/>
    <w:rsid w:val="003B391C"/>
    <w:rsid w:val="003B40CB"/>
    <w:rsid w:val="003B4291"/>
    <w:rsid w:val="003B47D2"/>
    <w:rsid w:val="003B6C70"/>
    <w:rsid w:val="003B7663"/>
    <w:rsid w:val="003B7B76"/>
    <w:rsid w:val="003B7F48"/>
    <w:rsid w:val="003C07A2"/>
    <w:rsid w:val="003C0CB7"/>
    <w:rsid w:val="003C17A1"/>
    <w:rsid w:val="003C2792"/>
    <w:rsid w:val="003C319F"/>
    <w:rsid w:val="003C361E"/>
    <w:rsid w:val="003C4E94"/>
    <w:rsid w:val="003C5298"/>
    <w:rsid w:val="003C5534"/>
    <w:rsid w:val="003C56DB"/>
    <w:rsid w:val="003C5717"/>
    <w:rsid w:val="003C6553"/>
    <w:rsid w:val="003C730B"/>
    <w:rsid w:val="003C76ED"/>
    <w:rsid w:val="003C7A25"/>
    <w:rsid w:val="003C7CF9"/>
    <w:rsid w:val="003D198A"/>
    <w:rsid w:val="003D20D3"/>
    <w:rsid w:val="003D2668"/>
    <w:rsid w:val="003D26A7"/>
    <w:rsid w:val="003D2AC4"/>
    <w:rsid w:val="003D33C5"/>
    <w:rsid w:val="003D33ED"/>
    <w:rsid w:val="003D4527"/>
    <w:rsid w:val="003D49F2"/>
    <w:rsid w:val="003D52F7"/>
    <w:rsid w:val="003D5B73"/>
    <w:rsid w:val="003D5E98"/>
    <w:rsid w:val="003D6E0A"/>
    <w:rsid w:val="003D79B7"/>
    <w:rsid w:val="003E0A9B"/>
    <w:rsid w:val="003E10DE"/>
    <w:rsid w:val="003E1372"/>
    <w:rsid w:val="003E1C2A"/>
    <w:rsid w:val="003E1CCA"/>
    <w:rsid w:val="003E3820"/>
    <w:rsid w:val="003E3EC2"/>
    <w:rsid w:val="003E4996"/>
    <w:rsid w:val="003E4EC5"/>
    <w:rsid w:val="003E570F"/>
    <w:rsid w:val="003E7856"/>
    <w:rsid w:val="003F02EE"/>
    <w:rsid w:val="003F1B84"/>
    <w:rsid w:val="003F2F6A"/>
    <w:rsid w:val="003F3299"/>
    <w:rsid w:val="003F344B"/>
    <w:rsid w:val="003F37B0"/>
    <w:rsid w:val="003F507B"/>
    <w:rsid w:val="003F6201"/>
    <w:rsid w:val="003F736B"/>
    <w:rsid w:val="004010EE"/>
    <w:rsid w:val="004014D8"/>
    <w:rsid w:val="004033A6"/>
    <w:rsid w:val="00403514"/>
    <w:rsid w:val="004035CF"/>
    <w:rsid w:val="004046BC"/>
    <w:rsid w:val="00407B33"/>
    <w:rsid w:val="00411576"/>
    <w:rsid w:val="00411C7D"/>
    <w:rsid w:val="004129EE"/>
    <w:rsid w:val="00412D72"/>
    <w:rsid w:val="00412E0E"/>
    <w:rsid w:val="00413CE2"/>
    <w:rsid w:val="00414480"/>
    <w:rsid w:val="004167C7"/>
    <w:rsid w:val="00416F54"/>
    <w:rsid w:val="00417274"/>
    <w:rsid w:val="0042013C"/>
    <w:rsid w:val="00420AC7"/>
    <w:rsid w:val="004212B4"/>
    <w:rsid w:val="00421E55"/>
    <w:rsid w:val="00422170"/>
    <w:rsid w:val="00422C9B"/>
    <w:rsid w:val="00424FAE"/>
    <w:rsid w:val="0042654D"/>
    <w:rsid w:val="00430977"/>
    <w:rsid w:val="0043116C"/>
    <w:rsid w:val="00431CA4"/>
    <w:rsid w:val="004339D4"/>
    <w:rsid w:val="00433AE0"/>
    <w:rsid w:val="00434DA1"/>
    <w:rsid w:val="004355F9"/>
    <w:rsid w:val="004361F0"/>
    <w:rsid w:val="0043681C"/>
    <w:rsid w:val="00437595"/>
    <w:rsid w:val="00437E76"/>
    <w:rsid w:val="00441B10"/>
    <w:rsid w:val="004435B1"/>
    <w:rsid w:val="00443D8C"/>
    <w:rsid w:val="00444A5F"/>
    <w:rsid w:val="0044503B"/>
    <w:rsid w:val="004461D4"/>
    <w:rsid w:val="00446A3B"/>
    <w:rsid w:val="00446D61"/>
    <w:rsid w:val="00446FD7"/>
    <w:rsid w:val="004475D0"/>
    <w:rsid w:val="0045081D"/>
    <w:rsid w:val="00450F81"/>
    <w:rsid w:val="00453D45"/>
    <w:rsid w:val="004547ED"/>
    <w:rsid w:val="00455233"/>
    <w:rsid w:val="00456FC8"/>
    <w:rsid w:val="00457177"/>
    <w:rsid w:val="004600F3"/>
    <w:rsid w:val="0046044D"/>
    <w:rsid w:val="00461D0A"/>
    <w:rsid w:val="00461DE1"/>
    <w:rsid w:val="00462166"/>
    <w:rsid w:val="0046315C"/>
    <w:rsid w:val="00463715"/>
    <w:rsid w:val="00463934"/>
    <w:rsid w:val="00463DEA"/>
    <w:rsid w:val="00464863"/>
    <w:rsid w:val="00466D7F"/>
    <w:rsid w:val="004746D7"/>
    <w:rsid w:val="004754D3"/>
    <w:rsid w:val="00475558"/>
    <w:rsid w:val="004755DC"/>
    <w:rsid w:val="00475AE3"/>
    <w:rsid w:val="00476046"/>
    <w:rsid w:val="00476DE9"/>
    <w:rsid w:val="004771E8"/>
    <w:rsid w:val="004772BA"/>
    <w:rsid w:val="00477BC1"/>
    <w:rsid w:val="00480C68"/>
    <w:rsid w:val="00482684"/>
    <w:rsid w:val="0048271D"/>
    <w:rsid w:val="004836F3"/>
    <w:rsid w:val="004849C6"/>
    <w:rsid w:val="00486330"/>
    <w:rsid w:val="004868CE"/>
    <w:rsid w:val="004878CB"/>
    <w:rsid w:val="00487B15"/>
    <w:rsid w:val="00492031"/>
    <w:rsid w:val="00492D2A"/>
    <w:rsid w:val="00492D6B"/>
    <w:rsid w:val="0049349D"/>
    <w:rsid w:val="0049434C"/>
    <w:rsid w:val="004A064B"/>
    <w:rsid w:val="004A0A88"/>
    <w:rsid w:val="004A2A0C"/>
    <w:rsid w:val="004A4C16"/>
    <w:rsid w:val="004A4ED5"/>
    <w:rsid w:val="004A4FBD"/>
    <w:rsid w:val="004A4FE5"/>
    <w:rsid w:val="004A6099"/>
    <w:rsid w:val="004A68EF"/>
    <w:rsid w:val="004A6E25"/>
    <w:rsid w:val="004A724C"/>
    <w:rsid w:val="004A7883"/>
    <w:rsid w:val="004B0013"/>
    <w:rsid w:val="004B19A2"/>
    <w:rsid w:val="004B22B2"/>
    <w:rsid w:val="004B378A"/>
    <w:rsid w:val="004B41C0"/>
    <w:rsid w:val="004B4D19"/>
    <w:rsid w:val="004B6AC7"/>
    <w:rsid w:val="004C0373"/>
    <w:rsid w:val="004C1E3A"/>
    <w:rsid w:val="004C263C"/>
    <w:rsid w:val="004C2647"/>
    <w:rsid w:val="004C26FD"/>
    <w:rsid w:val="004C488F"/>
    <w:rsid w:val="004C5F21"/>
    <w:rsid w:val="004C6843"/>
    <w:rsid w:val="004C74E1"/>
    <w:rsid w:val="004C7A1F"/>
    <w:rsid w:val="004C7AB9"/>
    <w:rsid w:val="004D0715"/>
    <w:rsid w:val="004D0BC6"/>
    <w:rsid w:val="004D18B0"/>
    <w:rsid w:val="004D31C1"/>
    <w:rsid w:val="004D36D5"/>
    <w:rsid w:val="004D4E6B"/>
    <w:rsid w:val="004D65B1"/>
    <w:rsid w:val="004D7A3D"/>
    <w:rsid w:val="004E26FB"/>
    <w:rsid w:val="004E550E"/>
    <w:rsid w:val="004E5C22"/>
    <w:rsid w:val="004E6D4F"/>
    <w:rsid w:val="004E7C70"/>
    <w:rsid w:val="004F05F7"/>
    <w:rsid w:val="004F168D"/>
    <w:rsid w:val="004F17C7"/>
    <w:rsid w:val="004F3D17"/>
    <w:rsid w:val="004F57E8"/>
    <w:rsid w:val="004F7765"/>
    <w:rsid w:val="00501C7D"/>
    <w:rsid w:val="00501D9D"/>
    <w:rsid w:val="00501E75"/>
    <w:rsid w:val="00503869"/>
    <w:rsid w:val="00503D16"/>
    <w:rsid w:val="00503D34"/>
    <w:rsid w:val="00503DA8"/>
    <w:rsid w:val="0050467A"/>
    <w:rsid w:val="0050474B"/>
    <w:rsid w:val="00504755"/>
    <w:rsid w:val="00504BF8"/>
    <w:rsid w:val="00506408"/>
    <w:rsid w:val="00507B5A"/>
    <w:rsid w:val="00510828"/>
    <w:rsid w:val="00510D42"/>
    <w:rsid w:val="00511749"/>
    <w:rsid w:val="00512AAD"/>
    <w:rsid w:val="005145DF"/>
    <w:rsid w:val="00514A15"/>
    <w:rsid w:val="00514A8B"/>
    <w:rsid w:val="0051583D"/>
    <w:rsid w:val="00515F27"/>
    <w:rsid w:val="00516D3B"/>
    <w:rsid w:val="005179FB"/>
    <w:rsid w:val="00520A54"/>
    <w:rsid w:val="0052327E"/>
    <w:rsid w:val="00523F05"/>
    <w:rsid w:val="005247B9"/>
    <w:rsid w:val="00525013"/>
    <w:rsid w:val="00526AB2"/>
    <w:rsid w:val="005274CF"/>
    <w:rsid w:val="0053142D"/>
    <w:rsid w:val="00533155"/>
    <w:rsid w:val="005332B1"/>
    <w:rsid w:val="005334BD"/>
    <w:rsid w:val="00533545"/>
    <w:rsid w:val="00535FB6"/>
    <w:rsid w:val="00536C69"/>
    <w:rsid w:val="00536D49"/>
    <w:rsid w:val="00537D44"/>
    <w:rsid w:val="00537F3A"/>
    <w:rsid w:val="00540303"/>
    <w:rsid w:val="00540F9E"/>
    <w:rsid w:val="00540FAB"/>
    <w:rsid w:val="00541E39"/>
    <w:rsid w:val="005420C9"/>
    <w:rsid w:val="005428B9"/>
    <w:rsid w:val="00542908"/>
    <w:rsid w:val="005438A4"/>
    <w:rsid w:val="00544F74"/>
    <w:rsid w:val="00545F1C"/>
    <w:rsid w:val="00546386"/>
    <w:rsid w:val="0054698A"/>
    <w:rsid w:val="005479D3"/>
    <w:rsid w:val="0055110C"/>
    <w:rsid w:val="00553EB7"/>
    <w:rsid w:val="0055434B"/>
    <w:rsid w:val="005558A4"/>
    <w:rsid w:val="00555A98"/>
    <w:rsid w:val="00556577"/>
    <w:rsid w:val="00556A94"/>
    <w:rsid w:val="005571B9"/>
    <w:rsid w:val="0056048C"/>
    <w:rsid w:val="00560A06"/>
    <w:rsid w:val="0056207B"/>
    <w:rsid w:val="00562F1F"/>
    <w:rsid w:val="00564348"/>
    <w:rsid w:val="0056442A"/>
    <w:rsid w:val="00564441"/>
    <w:rsid w:val="005650FA"/>
    <w:rsid w:val="005677CD"/>
    <w:rsid w:val="005703D7"/>
    <w:rsid w:val="00571376"/>
    <w:rsid w:val="00573301"/>
    <w:rsid w:val="00573879"/>
    <w:rsid w:val="00574EFC"/>
    <w:rsid w:val="0057568A"/>
    <w:rsid w:val="0057656C"/>
    <w:rsid w:val="00576CE3"/>
    <w:rsid w:val="00577213"/>
    <w:rsid w:val="00577A0F"/>
    <w:rsid w:val="00577DC7"/>
    <w:rsid w:val="00577DE8"/>
    <w:rsid w:val="00577EC6"/>
    <w:rsid w:val="00580114"/>
    <w:rsid w:val="00580CCD"/>
    <w:rsid w:val="005816A2"/>
    <w:rsid w:val="005821D8"/>
    <w:rsid w:val="0058257B"/>
    <w:rsid w:val="00582E52"/>
    <w:rsid w:val="00582EC4"/>
    <w:rsid w:val="00583928"/>
    <w:rsid w:val="00584549"/>
    <w:rsid w:val="005846FD"/>
    <w:rsid w:val="005848E1"/>
    <w:rsid w:val="005855FE"/>
    <w:rsid w:val="005856E3"/>
    <w:rsid w:val="005857A7"/>
    <w:rsid w:val="005863F5"/>
    <w:rsid w:val="0058688B"/>
    <w:rsid w:val="0058785C"/>
    <w:rsid w:val="00590F59"/>
    <w:rsid w:val="0059147E"/>
    <w:rsid w:val="00591E04"/>
    <w:rsid w:val="00591EC1"/>
    <w:rsid w:val="00592685"/>
    <w:rsid w:val="00592B5D"/>
    <w:rsid w:val="00592F50"/>
    <w:rsid w:val="005931F7"/>
    <w:rsid w:val="0059644F"/>
    <w:rsid w:val="00596622"/>
    <w:rsid w:val="0059705A"/>
    <w:rsid w:val="005A048D"/>
    <w:rsid w:val="005A155D"/>
    <w:rsid w:val="005A286E"/>
    <w:rsid w:val="005A2DDE"/>
    <w:rsid w:val="005A3D0A"/>
    <w:rsid w:val="005A4227"/>
    <w:rsid w:val="005A52FF"/>
    <w:rsid w:val="005A59E2"/>
    <w:rsid w:val="005A6068"/>
    <w:rsid w:val="005A64E6"/>
    <w:rsid w:val="005B07CE"/>
    <w:rsid w:val="005B16B4"/>
    <w:rsid w:val="005B1824"/>
    <w:rsid w:val="005B2625"/>
    <w:rsid w:val="005B4538"/>
    <w:rsid w:val="005B4DF3"/>
    <w:rsid w:val="005B6FF8"/>
    <w:rsid w:val="005B77ED"/>
    <w:rsid w:val="005C0056"/>
    <w:rsid w:val="005C0EDE"/>
    <w:rsid w:val="005C1487"/>
    <w:rsid w:val="005C15E2"/>
    <w:rsid w:val="005C228E"/>
    <w:rsid w:val="005C2970"/>
    <w:rsid w:val="005C2DF3"/>
    <w:rsid w:val="005C3710"/>
    <w:rsid w:val="005C4AB9"/>
    <w:rsid w:val="005C6427"/>
    <w:rsid w:val="005C672B"/>
    <w:rsid w:val="005D293B"/>
    <w:rsid w:val="005D2E76"/>
    <w:rsid w:val="005D4215"/>
    <w:rsid w:val="005D51A6"/>
    <w:rsid w:val="005D5401"/>
    <w:rsid w:val="005D548E"/>
    <w:rsid w:val="005D64CB"/>
    <w:rsid w:val="005D6A5A"/>
    <w:rsid w:val="005D6BAA"/>
    <w:rsid w:val="005D79E7"/>
    <w:rsid w:val="005E03A5"/>
    <w:rsid w:val="005E0F56"/>
    <w:rsid w:val="005E410A"/>
    <w:rsid w:val="005E455F"/>
    <w:rsid w:val="005E51A6"/>
    <w:rsid w:val="005E691F"/>
    <w:rsid w:val="005E743E"/>
    <w:rsid w:val="005E7AC5"/>
    <w:rsid w:val="005F00B1"/>
    <w:rsid w:val="005F1B3E"/>
    <w:rsid w:val="005F3624"/>
    <w:rsid w:val="005F37AF"/>
    <w:rsid w:val="005F49D5"/>
    <w:rsid w:val="005F6D50"/>
    <w:rsid w:val="005F73CA"/>
    <w:rsid w:val="005F7DA0"/>
    <w:rsid w:val="00601B08"/>
    <w:rsid w:val="0060255B"/>
    <w:rsid w:val="006026CF"/>
    <w:rsid w:val="006044ED"/>
    <w:rsid w:val="00604E46"/>
    <w:rsid w:val="00605453"/>
    <w:rsid w:val="006054C0"/>
    <w:rsid w:val="00606247"/>
    <w:rsid w:val="00606715"/>
    <w:rsid w:val="0061080A"/>
    <w:rsid w:val="00611B50"/>
    <w:rsid w:val="00611C97"/>
    <w:rsid w:val="00611EC1"/>
    <w:rsid w:val="0061375B"/>
    <w:rsid w:val="00613BF3"/>
    <w:rsid w:val="00615225"/>
    <w:rsid w:val="00615CD4"/>
    <w:rsid w:val="0061717B"/>
    <w:rsid w:val="00617E1E"/>
    <w:rsid w:val="00621AAC"/>
    <w:rsid w:val="006226C5"/>
    <w:rsid w:val="00622868"/>
    <w:rsid w:val="00623C28"/>
    <w:rsid w:val="00623ED0"/>
    <w:rsid w:val="0062424D"/>
    <w:rsid w:val="00625F0A"/>
    <w:rsid w:val="00625F63"/>
    <w:rsid w:val="0062603B"/>
    <w:rsid w:val="006269EC"/>
    <w:rsid w:val="006279FC"/>
    <w:rsid w:val="00630390"/>
    <w:rsid w:val="00630CFB"/>
    <w:rsid w:val="00631820"/>
    <w:rsid w:val="006326D6"/>
    <w:rsid w:val="00632FC6"/>
    <w:rsid w:val="0063332B"/>
    <w:rsid w:val="00633774"/>
    <w:rsid w:val="0063399D"/>
    <w:rsid w:val="00633D11"/>
    <w:rsid w:val="00633DA2"/>
    <w:rsid w:val="006342D0"/>
    <w:rsid w:val="0063574E"/>
    <w:rsid w:val="00635D35"/>
    <w:rsid w:val="00636298"/>
    <w:rsid w:val="00637B5C"/>
    <w:rsid w:val="0064063E"/>
    <w:rsid w:val="00640EDB"/>
    <w:rsid w:val="00642423"/>
    <w:rsid w:val="00644112"/>
    <w:rsid w:val="006450A2"/>
    <w:rsid w:val="0064575D"/>
    <w:rsid w:val="00646C13"/>
    <w:rsid w:val="00647785"/>
    <w:rsid w:val="0065074C"/>
    <w:rsid w:val="0065388B"/>
    <w:rsid w:val="006548F4"/>
    <w:rsid w:val="00655C81"/>
    <w:rsid w:val="00656444"/>
    <w:rsid w:val="00660539"/>
    <w:rsid w:val="00660F1F"/>
    <w:rsid w:val="006624A4"/>
    <w:rsid w:val="00663DA8"/>
    <w:rsid w:val="00666E58"/>
    <w:rsid w:val="00667EF5"/>
    <w:rsid w:val="006700E4"/>
    <w:rsid w:val="006705B9"/>
    <w:rsid w:val="006710E6"/>
    <w:rsid w:val="006723C4"/>
    <w:rsid w:val="00673557"/>
    <w:rsid w:val="00674656"/>
    <w:rsid w:val="00675518"/>
    <w:rsid w:val="0067574B"/>
    <w:rsid w:val="0067650C"/>
    <w:rsid w:val="00677F50"/>
    <w:rsid w:val="00680066"/>
    <w:rsid w:val="006802BB"/>
    <w:rsid w:val="00680D18"/>
    <w:rsid w:val="0068281A"/>
    <w:rsid w:val="00683138"/>
    <w:rsid w:val="00683BD8"/>
    <w:rsid w:val="006849FF"/>
    <w:rsid w:val="006868C9"/>
    <w:rsid w:val="006875E7"/>
    <w:rsid w:val="00690025"/>
    <w:rsid w:val="00690DA5"/>
    <w:rsid w:val="00690DCB"/>
    <w:rsid w:val="00690E99"/>
    <w:rsid w:val="00690F06"/>
    <w:rsid w:val="00690FF3"/>
    <w:rsid w:val="006914AD"/>
    <w:rsid w:val="00691EAD"/>
    <w:rsid w:val="0069344C"/>
    <w:rsid w:val="00693978"/>
    <w:rsid w:val="006943F5"/>
    <w:rsid w:val="00696241"/>
    <w:rsid w:val="0069673D"/>
    <w:rsid w:val="006971B6"/>
    <w:rsid w:val="006976FA"/>
    <w:rsid w:val="00697839"/>
    <w:rsid w:val="006A07C5"/>
    <w:rsid w:val="006A41B0"/>
    <w:rsid w:val="006A5408"/>
    <w:rsid w:val="006A6301"/>
    <w:rsid w:val="006A78DA"/>
    <w:rsid w:val="006A7C3E"/>
    <w:rsid w:val="006B1A8A"/>
    <w:rsid w:val="006B215C"/>
    <w:rsid w:val="006B2165"/>
    <w:rsid w:val="006B26AA"/>
    <w:rsid w:val="006B2766"/>
    <w:rsid w:val="006B2C15"/>
    <w:rsid w:val="006B2D14"/>
    <w:rsid w:val="006B563D"/>
    <w:rsid w:val="006C0705"/>
    <w:rsid w:val="006C0C5A"/>
    <w:rsid w:val="006C1AD1"/>
    <w:rsid w:val="006C2C5C"/>
    <w:rsid w:val="006C3419"/>
    <w:rsid w:val="006C3CEE"/>
    <w:rsid w:val="006C44BF"/>
    <w:rsid w:val="006C4B6B"/>
    <w:rsid w:val="006C4B7C"/>
    <w:rsid w:val="006C57B1"/>
    <w:rsid w:val="006C58BA"/>
    <w:rsid w:val="006C6A53"/>
    <w:rsid w:val="006C72C4"/>
    <w:rsid w:val="006D0B14"/>
    <w:rsid w:val="006D0E9D"/>
    <w:rsid w:val="006D10A4"/>
    <w:rsid w:val="006D110C"/>
    <w:rsid w:val="006D13C5"/>
    <w:rsid w:val="006D2318"/>
    <w:rsid w:val="006D2398"/>
    <w:rsid w:val="006D2BBB"/>
    <w:rsid w:val="006D4E6E"/>
    <w:rsid w:val="006D578F"/>
    <w:rsid w:val="006D6448"/>
    <w:rsid w:val="006D6E08"/>
    <w:rsid w:val="006D6F2C"/>
    <w:rsid w:val="006D77B7"/>
    <w:rsid w:val="006D7B23"/>
    <w:rsid w:val="006D7E32"/>
    <w:rsid w:val="006E08FD"/>
    <w:rsid w:val="006E1B46"/>
    <w:rsid w:val="006E23A8"/>
    <w:rsid w:val="006E344A"/>
    <w:rsid w:val="006E3A64"/>
    <w:rsid w:val="006E4BB3"/>
    <w:rsid w:val="006E6AD1"/>
    <w:rsid w:val="006E7829"/>
    <w:rsid w:val="006F130B"/>
    <w:rsid w:val="006F21A2"/>
    <w:rsid w:val="006F2BFD"/>
    <w:rsid w:val="006F3042"/>
    <w:rsid w:val="006F3D83"/>
    <w:rsid w:val="006F4534"/>
    <w:rsid w:val="006F5CAB"/>
    <w:rsid w:val="006F6365"/>
    <w:rsid w:val="006F6B0C"/>
    <w:rsid w:val="006F739A"/>
    <w:rsid w:val="00700238"/>
    <w:rsid w:val="00701EC2"/>
    <w:rsid w:val="00702EB3"/>
    <w:rsid w:val="00703470"/>
    <w:rsid w:val="00703A58"/>
    <w:rsid w:val="0070453C"/>
    <w:rsid w:val="00704900"/>
    <w:rsid w:val="00704DB0"/>
    <w:rsid w:val="00704F54"/>
    <w:rsid w:val="00705BFA"/>
    <w:rsid w:val="00707BF1"/>
    <w:rsid w:val="00707F5B"/>
    <w:rsid w:val="00710041"/>
    <w:rsid w:val="007107EF"/>
    <w:rsid w:val="0071242D"/>
    <w:rsid w:val="007133FB"/>
    <w:rsid w:val="00713494"/>
    <w:rsid w:val="00714616"/>
    <w:rsid w:val="0071492A"/>
    <w:rsid w:val="00715F11"/>
    <w:rsid w:val="00716982"/>
    <w:rsid w:val="00716FBF"/>
    <w:rsid w:val="00717572"/>
    <w:rsid w:val="00717DAF"/>
    <w:rsid w:val="00720301"/>
    <w:rsid w:val="007204BC"/>
    <w:rsid w:val="00720FCF"/>
    <w:rsid w:val="00721528"/>
    <w:rsid w:val="0072405C"/>
    <w:rsid w:val="00724130"/>
    <w:rsid w:val="00724ABF"/>
    <w:rsid w:val="00725461"/>
    <w:rsid w:val="007274CB"/>
    <w:rsid w:val="00727EBE"/>
    <w:rsid w:val="00730764"/>
    <w:rsid w:val="007325E7"/>
    <w:rsid w:val="0073305E"/>
    <w:rsid w:val="007347E1"/>
    <w:rsid w:val="00734970"/>
    <w:rsid w:val="00734B85"/>
    <w:rsid w:val="007354C7"/>
    <w:rsid w:val="00736E5E"/>
    <w:rsid w:val="00737413"/>
    <w:rsid w:val="007375E6"/>
    <w:rsid w:val="0074174B"/>
    <w:rsid w:val="007424A3"/>
    <w:rsid w:val="007426BB"/>
    <w:rsid w:val="00742B35"/>
    <w:rsid w:val="00742B88"/>
    <w:rsid w:val="00744671"/>
    <w:rsid w:val="00744C1E"/>
    <w:rsid w:val="00745662"/>
    <w:rsid w:val="00747606"/>
    <w:rsid w:val="00747EB1"/>
    <w:rsid w:val="0075031B"/>
    <w:rsid w:val="00750D85"/>
    <w:rsid w:val="00753B8F"/>
    <w:rsid w:val="00753DA6"/>
    <w:rsid w:val="00755424"/>
    <w:rsid w:val="00756D90"/>
    <w:rsid w:val="00761E2B"/>
    <w:rsid w:val="00763130"/>
    <w:rsid w:val="00764333"/>
    <w:rsid w:val="00765DF4"/>
    <w:rsid w:val="00767308"/>
    <w:rsid w:val="0077104B"/>
    <w:rsid w:val="00773036"/>
    <w:rsid w:val="00777078"/>
    <w:rsid w:val="00777102"/>
    <w:rsid w:val="0077753A"/>
    <w:rsid w:val="00777B2D"/>
    <w:rsid w:val="00777FC6"/>
    <w:rsid w:val="007801AB"/>
    <w:rsid w:val="007809E5"/>
    <w:rsid w:val="00780A93"/>
    <w:rsid w:val="00781294"/>
    <w:rsid w:val="00781931"/>
    <w:rsid w:val="0078195F"/>
    <w:rsid w:val="007827ED"/>
    <w:rsid w:val="00782F72"/>
    <w:rsid w:val="00783C8D"/>
    <w:rsid w:val="00783D2A"/>
    <w:rsid w:val="00784874"/>
    <w:rsid w:val="00785D4A"/>
    <w:rsid w:val="0078733C"/>
    <w:rsid w:val="0079010D"/>
    <w:rsid w:val="00790231"/>
    <w:rsid w:val="00790612"/>
    <w:rsid w:val="00790D90"/>
    <w:rsid w:val="00792079"/>
    <w:rsid w:val="007927EB"/>
    <w:rsid w:val="00792BBF"/>
    <w:rsid w:val="00792D5D"/>
    <w:rsid w:val="00793A98"/>
    <w:rsid w:val="0079565F"/>
    <w:rsid w:val="00797973"/>
    <w:rsid w:val="007979C8"/>
    <w:rsid w:val="007A0562"/>
    <w:rsid w:val="007A0582"/>
    <w:rsid w:val="007A0E3E"/>
    <w:rsid w:val="007A1D4B"/>
    <w:rsid w:val="007A2006"/>
    <w:rsid w:val="007A22FE"/>
    <w:rsid w:val="007A2D58"/>
    <w:rsid w:val="007A31F4"/>
    <w:rsid w:val="007A4813"/>
    <w:rsid w:val="007A50E4"/>
    <w:rsid w:val="007A5322"/>
    <w:rsid w:val="007A69BC"/>
    <w:rsid w:val="007A6D6B"/>
    <w:rsid w:val="007A7594"/>
    <w:rsid w:val="007A772C"/>
    <w:rsid w:val="007B134E"/>
    <w:rsid w:val="007B1DDB"/>
    <w:rsid w:val="007B64B7"/>
    <w:rsid w:val="007B70E9"/>
    <w:rsid w:val="007B75E8"/>
    <w:rsid w:val="007B781E"/>
    <w:rsid w:val="007C0ACB"/>
    <w:rsid w:val="007C0C16"/>
    <w:rsid w:val="007C0D04"/>
    <w:rsid w:val="007C1114"/>
    <w:rsid w:val="007C2A3C"/>
    <w:rsid w:val="007C549A"/>
    <w:rsid w:val="007C77C5"/>
    <w:rsid w:val="007C79A0"/>
    <w:rsid w:val="007C7B55"/>
    <w:rsid w:val="007D00BA"/>
    <w:rsid w:val="007D0463"/>
    <w:rsid w:val="007D1BF7"/>
    <w:rsid w:val="007D1D31"/>
    <w:rsid w:val="007D1E66"/>
    <w:rsid w:val="007D2483"/>
    <w:rsid w:val="007D2EC5"/>
    <w:rsid w:val="007D3066"/>
    <w:rsid w:val="007D3363"/>
    <w:rsid w:val="007D35C8"/>
    <w:rsid w:val="007D44E1"/>
    <w:rsid w:val="007D46C5"/>
    <w:rsid w:val="007D4D65"/>
    <w:rsid w:val="007D78D3"/>
    <w:rsid w:val="007E03DF"/>
    <w:rsid w:val="007E0C67"/>
    <w:rsid w:val="007E1F2C"/>
    <w:rsid w:val="007E653A"/>
    <w:rsid w:val="007E7290"/>
    <w:rsid w:val="007F062F"/>
    <w:rsid w:val="007F08FE"/>
    <w:rsid w:val="007F1EC4"/>
    <w:rsid w:val="007F2B7A"/>
    <w:rsid w:val="007F3056"/>
    <w:rsid w:val="007F3473"/>
    <w:rsid w:val="007F38D2"/>
    <w:rsid w:val="007F5BF5"/>
    <w:rsid w:val="00800061"/>
    <w:rsid w:val="00800BBC"/>
    <w:rsid w:val="00800CC5"/>
    <w:rsid w:val="00801B45"/>
    <w:rsid w:val="00801EB4"/>
    <w:rsid w:val="00802C2C"/>
    <w:rsid w:val="00803371"/>
    <w:rsid w:val="00803408"/>
    <w:rsid w:val="00804521"/>
    <w:rsid w:val="00804688"/>
    <w:rsid w:val="008056FA"/>
    <w:rsid w:val="00805DB9"/>
    <w:rsid w:val="00807D1D"/>
    <w:rsid w:val="00807D29"/>
    <w:rsid w:val="0081028A"/>
    <w:rsid w:val="0081115D"/>
    <w:rsid w:val="0081163A"/>
    <w:rsid w:val="00811CB8"/>
    <w:rsid w:val="00812554"/>
    <w:rsid w:val="00812E16"/>
    <w:rsid w:val="008131E7"/>
    <w:rsid w:val="00814026"/>
    <w:rsid w:val="008151AC"/>
    <w:rsid w:val="0081697E"/>
    <w:rsid w:val="008170A3"/>
    <w:rsid w:val="0082011D"/>
    <w:rsid w:val="00821092"/>
    <w:rsid w:val="00822BE4"/>
    <w:rsid w:val="008239CD"/>
    <w:rsid w:val="00823BF8"/>
    <w:rsid w:val="00824FCF"/>
    <w:rsid w:val="008253D3"/>
    <w:rsid w:val="008254B1"/>
    <w:rsid w:val="008257FB"/>
    <w:rsid w:val="00825D7C"/>
    <w:rsid w:val="00825DE6"/>
    <w:rsid w:val="008265EF"/>
    <w:rsid w:val="008265FA"/>
    <w:rsid w:val="0082783F"/>
    <w:rsid w:val="0083035C"/>
    <w:rsid w:val="00831377"/>
    <w:rsid w:val="008318AC"/>
    <w:rsid w:val="008318C7"/>
    <w:rsid w:val="00831B60"/>
    <w:rsid w:val="00832D56"/>
    <w:rsid w:val="00833672"/>
    <w:rsid w:val="00833F0C"/>
    <w:rsid w:val="00834E2F"/>
    <w:rsid w:val="008351BE"/>
    <w:rsid w:val="00836022"/>
    <w:rsid w:val="008361AB"/>
    <w:rsid w:val="008373E7"/>
    <w:rsid w:val="00837ADB"/>
    <w:rsid w:val="008410CF"/>
    <w:rsid w:val="00841911"/>
    <w:rsid w:val="00841A91"/>
    <w:rsid w:val="00841DEC"/>
    <w:rsid w:val="00842FE9"/>
    <w:rsid w:val="008431AA"/>
    <w:rsid w:val="00844512"/>
    <w:rsid w:val="00844FD3"/>
    <w:rsid w:val="00845735"/>
    <w:rsid w:val="00845B29"/>
    <w:rsid w:val="008465C8"/>
    <w:rsid w:val="00846ADB"/>
    <w:rsid w:val="0084777B"/>
    <w:rsid w:val="0085293A"/>
    <w:rsid w:val="00852A36"/>
    <w:rsid w:val="00853878"/>
    <w:rsid w:val="00853908"/>
    <w:rsid w:val="00853C17"/>
    <w:rsid w:val="00854CF2"/>
    <w:rsid w:val="00855566"/>
    <w:rsid w:val="0085558B"/>
    <w:rsid w:val="00855728"/>
    <w:rsid w:val="00855C8B"/>
    <w:rsid w:val="008616DC"/>
    <w:rsid w:val="00861BD7"/>
    <w:rsid w:val="008629A0"/>
    <w:rsid w:val="008640F8"/>
    <w:rsid w:val="00864C5F"/>
    <w:rsid w:val="00864FD6"/>
    <w:rsid w:val="00865033"/>
    <w:rsid w:val="008663F3"/>
    <w:rsid w:val="00867296"/>
    <w:rsid w:val="0086757F"/>
    <w:rsid w:val="00871035"/>
    <w:rsid w:val="0087311E"/>
    <w:rsid w:val="0087333D"/>
    <w:rsid w:val="008734B3"/>
    <w:rsid w:val="00873582"/>
    <w:rsid w:val="008738FE"/>
    <w:rsid w:val="00874CE0"/>
    <w:rsid w:val="00874FF3"/>
    <w:rsid w:val="008751A3"/>
    <w:rsid w:val="00876050"/>
    <w:rsid w:val="008764BF"/>
    <w:rsid w:val="0087732C"/>
    <w:rsid w:val="0087783D"/>
    <w:rsid w:val="008803DD"/>
    <w:rsid w:val="008805B1"/>
    <w:rsid w:val="00881FB8"/>
    <w:rsid w:val="00882E1C"/>
    <w:rsid w:val="00884188"/>
    <w:rsid w:val="00884423"/>
    <w:rsid w:val="00884911"/>
    <w:rsid w:val="00885947"/>
    <w:rsid w:val="008874AE"/>
    <w:rsid w:val="00887A0F"/>
    <w:rsid w:val="00887C27"/>
    <w:rsid w:val="008919AE"/>
    <w:rsid w:val="0089202C"/>
    <w:rsid w:val="00892A92"/>
    <w:rsid w:val="00892BDB"/>
    <w:rsid w:val="0089495B"/>
    <w:rsid w:val="00896629"/>
    <w:rsid w:val="008968CF"/>
    <w:rsid w:val="00897110"/>
    <w:rsid w:val="00897390"/>
    <w:rsid w:val="008A06E3"/>
    <w:rsid w:val="008A0A80"/>
    <w:rsid w:val="008A0BD6"/>
    <w:rsid w:val="008A1013"/>
    <w:rsid w:val="008A1883"/>
    <w:rsid w:val="008A2408"/>
    <w:rsid w:val="008A2A0A"/>
    <w:rsid w:val="008A4665"/>
    <w:rsid w:val="008A490C"/>
    <w:rsid w:val="008A5D02"/>
    <w:rsid w:val="008A73B1"/>
    <w:rsid w:val="008A7513"/>
    <w:rsid w:val="008A7E18"/>
    <w:rsid w:val="008B0B04"/>
    <w:rsid w:val="008B0FCF"/>
    <w:rsid w:val="008B1B83"/>
    <w:rsid w:val="008B26C6"/>
    <w:rsid w:val="008B2895"/>
    <w:rsid w:val="008B2F20"/>
    <w:rsid w:val="008B3CA3"/>
    <w:rsid w:val="008B4F99"/>
    <w:rsid w:val="008B56F3"/>
    <w:rsid w:val="008B6C6C"/>
    <w:rsid w:val="008B6F99"/>
    <w:rsid w:val="008B7ABA"/>
    <w:rsid w:val="008C04FF"/>
    <w:rsid w:val="008C22EF"/>
    <w:rsid w:val="008C29AF"/>
    <w:rsid w:val="008C6044"/>
    <w:rsid w:val="008C61ED"/>
    <w:rsid w:val="008C6241"/>
    <w:rsid w:val="008C6B01"/>
    <w:rsid w:val="008D04A1"/>
    <w:rsid w:val="008D077D"/>
    <w:rsid w:val="008D18EB"/>
    <w:rsid w:val="008D3471"/>
    <w:rsid w:val="008D359F"/>
    <w:rsid w:val="008D744B"/>
    <w:rsid w:val="008E28C7"/>
    <w:rsid w:val="008E329B"/>
    <w:rsid w:val="008E35EF"/>
    <w:rsid w:val="008E3982"/>
    <w:rsid w:val="008E3D33"/>
    <w:rsid w:val="008E3D3C"/>
    <w:rsid w:val="008E44FA"/>
    <w:rsid w:val="008E4FD6"/>
    <w:rsid w:val="008E6A9F"/>
    <w:rsid w:val="008E6EC6"/>
    <w:rsid w:val="008F22D3"/>
    <w:rsid w:val="008F2CE2"/>
    <w:rsid w:val="008F3E0E"/>
    <w:rsid w:val="008F4DEB"/>
    <w:rsid w:val="008F5CB4"/>
    <w:rsid w:val="008F5F6C"/>
    <w:rsid w:val="008F650D"/>
    <w:rsid w:val="008F739E"/>
    <w:rsid w:val="009006CC"/>
    <w:rsid w:val="00901876"/>
    <w:rsid w:val="009020E9"/>
    <w:rsid w:val="0090248B"/>
    <w:rsid w:val="009025FB"/>
    <w:rsid w:val="00903196"/>
    <w:rsid w:val="009033E8"/>
    <w:rsid w:val="009052A7"/>
    <w:rsid w:val="00905FAA"/>
    <w:rsid w:val="00907F71"/>
    <w:rsid w:val="00910A2B"/>
    <w:rsid w:val="00910BEB"/>
    <w:rsid w:val="00912391"/>
    <w:rsid w:val="00912D66"/>
    <w:rsid w:val="00913670"/>
    <w:rsid w:val="00913D97"/>
    <w:rsid w:val="00915324"/>
    <w:rsid w:val="009160AC"/>
    <w:rsid w:val="00916122"/>
    <w:rsid w:val="00916325"/>
    <w:rsid w:val="009164A8"/>
    <w:rsid w:val="009200E1"/>
    <w:rsid w:val="0092093E"/>
    <w:rsid w:val="00921217"/>
    <w:rsid w:val="00921B9D"/>
    <w:rsid w:val="0092212D"/>
    <w:rsid w:val="00922B27"/>
    <w:rsid w:val="00923F5C"/>
    <w:rsid w:val="009241B0"/>
    <w:rsid w:val="0092473D"/>
    <w:rsid w:val="00924C50"/>
    <w:rsid w:val="00924DDA"/>
    <w:rsid w:val="0092533F"/>
    <w:rsid w:val="00925BB3"/>
    <w:rsid w:val="0092616D"/>
    <w:rsid w:val="009263DC"/>
    <w:rsid w:val="00926EC4"/>
    <w:rsid w:val="00930230"/>
    <w:rsid w:val="0093079C"/>
    <w:rsid w:val="00930AE2"/>
    <w:rsid w:val="00931E7A"/>
    <w:rsid w:val="00932503"/>
    <w:rsid w:val="00932695"/>
    <w:rsid w:val="00934245"/>
    <w:rsid w:val="009349E8"/>
    <w:rsid w:val="009356D2"/>
    <w:rsid w:val="009361BE"/>
    <w:rsid w:val="009370CD"/>
    <w:rsid w:val="00937380"/>
    <w:rsid w:val="009378AA"/>
    <w:rsid w:val="00937D36"/>
    <w:rsid w:val="009414B4"/>
    <w:rsid w:val="009418ED"/>
    <w:rsid w:val="009432F4"/>
    <w:rsid w:val="0094359D"/>
    <w:rsid w:val="00943C2A"/>
    <w:rsid w:val="00944471"/>
    <w:rsid w:val="00944ABE"/>
    <w:rsid w:val="00945A8E"/>
    <w:rsid w:val="009463FC"/>
    <w:rsid w:val="0094669B"/>
    <w:rsid w:val="0094788A"/>
    <w:rsid w:val="00947AD4"/>
    <w:rsid w:val="00950390"/>
    <w:rsid w:val="009513D7"/>
    <w:rsid w:val="0095149F"/>
    <w:rsid w:val="0095201B"/>
    <w:rsid w:val="00954ED8"/>
    <w:rsid w:val="009558B8"/>
    <w:rsid w:val="00955DAB"/>
    <w:rsid w:val="00956D0E"/>
    <w:rsid w:val="00957058"/>
    <w:rsid w:val="009570C1"/>
    <w:rsid w:val="0095784D"/>
    <w:rsid w:val="00957E2C"/>
    <w:rsid w:val="009611FD"/>
    <w:rsid w:val="0096181A"/>
    <w:rsid w:val="00961DB8"/>
    <w:rsid w:val="009629F6"/>
    <w:rsid w:val="00962BAC"/>
    <w:rsid w:val="009636F2"/>
    <w:rsid w:val="009650BC"/>
    <w:rsid w:val="009650C3"/>
    <w:rsid w:val="009654EA"/>
    <w:rsid w:val="00965530"/>
    <w:rsid w:val="0096558F"/>
    <w:rsid w:val="00965B22"/>
    <w:rsid w:val="0096616A"/>
    <w:rsid w:val="00966442"/>
    <w:rsid w:val="0096722A"/>
    <w:rsid w:val="0096727C"/>
    <w:rsid w:val="00967E4F"/>
    <w:rsid w:val="0097033F"/>
    <w:rsid w:val="009711F1"/>
    <w:rsid w:val="00971D2B"/>
    <w:rsid w:val="00971E70"/>
    <w:rsid w:val="009724B8"/>
    <w:rsid w:val="0097284A"/>
    <w:rsid w:val="00972EE7"/>
    <w:rsid w:val="00973FD6"/>
    <w:rsid w:val="00975D17"/>
    <w:rsid w:val="00975E09"/>
    <w:rsid w:val="009778DE"/>
    <w:rsid w:val="00977BB2"/>
    <w:rsid w:val="00981261"/>
    <w:rsid w:val="00982423"/>
    <w:rsid w:val="009833B6"/>
    <w:rsid w:val="00984638"/>
    <w:rsid w:val="00985D2A"/>
    <w:rsid w:val="009879CA"/>
    <w:rsid w:val="00987D21"/>
    <w:rsid w:val="009913DA"/>
    <w:rsid w:val="009919A8"/>
    <w:rsid w:val="00992856"/>
    <w:rsid w:val="00994089"/>
    <w:rsid w:val="00995575"/>
    <w:rsid w:val="009A025D"/>
    <w:rsid w:val="009A08B8"/>
    <w:rsid w:val="009A0B23"/>
    <w:rsid w:val="009A155F"/>
    <w:rsid w:val="009A16E4"/>
    <w:rsid w:val="009A2856"/>
    <w:rsid w:val="009A33AA"/>
    <w:rsid w:val="009A48C1"/>
    <w:rsid w:val="009A50A8"/>
    <w:rsid w:val="009A553A"/>
    <w:rsid w:val="009A5C2C"/>
    <w:rsid w:val="009A6F52"/>
    <w:rsid w:val="009A7E37"/>
    <w:rsid w:val="009B169A"/>
    <w:rsid w:val="009B24BD"/>
    <w:rsid w:val="009B4598"/>
    <w:rsid w:val="009B6050"/>
    <w:rsid w:val="009B6318"/>
    <w:rsid w:val="009B68E4"/>
    <w:rsid w:val="009B6FF0"/>
    <w:rsid w:val="009B7390"/>
    <w:rsid w:val="009B73B5"/>
    <w:rsid w:val="009B75EB"/>
    <w:rsid w:val="009B76F9"/>
    <w:rsid w:val="009C064F"/>
    <w:rsid w:val="009C128A"/>
    <w:rsid w:val="009C1348"/>
    <w:rsid w:val="009C1A03"/>
    <w:rsid w:val="009C1A65"/>
    <w:rsid w:val="009C1AB0"/>
    <w:rsid w:val="009C22FD"/>
    <w:rsid w:val="009C2F6A"/>
    <w:rsid w:val="009C4E70"/>
    <w:rsid w:val="009C6948"/>
    <w:rsid w:val="009C7400"/>
    <w:rsid w:val="009C7AA7"/>
    <w:rsid w:val="009C7C9A"/>
    <w:rsid w:val="009C7F27"/>
    <w:rsid w:val="009D092D"/>
    <w:rsid w:val="009D10FF"/>
    <w:rsid w:val="009D2E43"/>
    <w:rsid w:val="009D42DD"/>
    <w:rsid w:val="009D4CCE"/>
    <w:rsid w:val="009D5507"/>
    <w:rsid w:val="009D553C"/>
    <w:rsid w:val="009D5A59"/>
    <w:rsid w:val="009D646F"/>
    <w:rsid w:val="009D738A"/>
    <w:rsid w:val="009E041C"/>
    <w:rsid w:val="009E154B"/>
    <w:rsid w:val="009E163E"/>
    <w:rsid w:val="009E3DF2"/>
    <w:rsid w:val="009E4DF4"/>
    <w:rsid w:val="009E52EA"/>
    <w:rsid w:val="009E5AA2"/>
    <w:rsid w:val="009F13F1"/>
    <w:rsid w:val="009F29F1"/>
    <w:rsid w:val="009F33F4"/>
    <w:rsid w:val="009F429A"/>
    <w:rsid w:val="009F4512"/>
    <w:rsid w:val="009F4522"/>
    <w:rsid w:val="009F4962"/>
    <w:rsid w:val="009F5749"/>
    <w:rsid w:val="009F5EC2"/>
    <w:rsid w:val="009F71C7"/>
    <w:rsid w:val="009F7B88"/>
    <w:rsid w:val="009F7EF9"/>
    <w:rsid w:val="00A012D5"/>
    <w:rsid w:val="00A017E7"/>
    <w:rsid w:val="00A0226C"/>
    <w:rsid w:val="00A02986"/>
    <w:rsid w:val="00A03B0F"/>
    <w:rsid w:val="00A03E86"/>
    <w:rsid w:val="00A046B4"/>
    <w:rsid w:val="00A05164"/>
    <w:rsid w:val="00A0568D"/>
    <w:rsid w:val="00A066D6"/>
    <w:rsid w:val="00A06E9A"/>
    <w:rsid w:val="00A06F14"/>
    <w:rsid w:val="00A107EB"/>
    <w:rsid w:val="00A12021"/>
    <w:rsid w:val="00A12886"/>
    <w:rsid w:val="00A136E6"/>
    <w:rsid w:val="00A14EAE"/>
    <w:rsid w:val="00A155AB"/>
    <w:rsid w:val="00A15D8A"/>
    <w:rsid w:val="00A1670B"/>
    <w:rsid w:val="00A201AD"/>
    <w:rsid w:val="00A202B1"/>
    <w:rsid w:val="00A2031C"/>
    <w:rsid w:val="00A204A2"/>
    <w:rsid w:val="00A20603"/>
    <w:rsid w:val="00A20908"/>
    <w:rsid w:val="00A20D7A"/>
    <w:rsid w:val="00A20FF6"/>
    <w:rsid w:val="00A2198E"/>
    <w:rsid w:val="00A21C54"/>
    <w:rsid w:val="00A2234F"/>
    <w:rsid w:val="00A23822"/>
    <w:rsid w:val="00A241DD"/>
    <w:rsid w:val="00A2434C"/>
    <w:rsid w:val="00A24BB1"/>
    <w:rsid w:val="00A255FF"/>
    <w:rsid w:val="00A25BEB"/>
    <w:rsid w:val="00A26306"/>
    <w:rsid w:val="00A269CE"/>
    <w:rsid w:val="00A314F7"/>
    <w:rsid w:val="00A321F1"/>
    <w:rsid w:val="00A321FB"/>
    <w:rsid w:val="00A32B1F"/>
    <w:rsid w:val="00A33F8A"/>
    <w:rsid w:val="00A3522F"/>
    <w:rsid w:val="00A36AFF"/>
    <w:rsid w:val="00A37C5B"/>
    <w:rsid w:val="00A4059E"/>
    <w:rsid w:val="00A426C8"/>
    <w:rsid w:val="00A447E1"/>
    <w:rsid w:val="00A44841"/>
    <w:rsid w:val="00A44EB2"/>
    <w:rsid w:val="00A45D6E"/>
    <w:rsid w:val="00A46939"/>
    <w:rsid w:val="00A46DCD"/>
    <w:rsid w:val="00A46DDD"/>
    <w:rsid w:val="00A47262"/>
    <w:rsid w:val="00A4746C"/>
    <w:rsid w:val="00A47823"/>
    <w:rsid w:val="00A50806"/>
    <w:rsid w:val="00A50808"/>
    <w:rsid w:val="00A513DB"/>
    <w:rsid w:val="00A52764"/>
    <w:rsid w:val="00A5294A"/>
    <w:rsid w:val="00A529C4"/>
    <w:rsid w:val="00A5475B"/>
    <w:rsid w:val="00A548F8"/>
    <w:rsid w:val="00A549B3"/>
    <w:rsid w:val="00A550AA"/>
    <w:rsid w:val="00A552FC"/>
    <w:rsid w:val="00A55461"/>
    <w:rsid w:val="00A60059"/>
    <w:rsid w:val="00A62B68"/>
    <w:rsid w:val="00A636B3"/>
    <w:rsid w:val="00A64334"/>
    <w:rsid w:val="00A646F3"/>
    <w:rsid w:val="00A66A03"/>
    <w:rsid w:val="00A673B2"/>
    <w:rsid w:val="00A67E65"/>
    <w:rsid w:val="00A700D7"/>
    <w:rsid w:val="00A71B59"/>
    <w:rsid w:val="00A72060"/>
    <w:rsid w:val="00A72CD1"/>
    <w:rsid w:val="00A73378"/>
    <w:rsid w:val="00A746FF"/>
    <w:rsid w:val="00A747BE"/>
    <w:rsid w:val="00A75287"/>
    <w:rsid w:val="00A77243"/>
    <w:rsid w:val="00A77C63"/>
    <w:rsid w:val="00A80742"/>
    <w:rsid w:val="00A80A7B"/>
    <w:rsid w:val="00A826BD"/>
    <w:rsid w:val="00A8370B"/>
    <w:rsid w:val="00A84075"/>
    <w:rsid w:val="00A843E2"/>
    <w:rsid w:val="00A87C4F"/>
    <w:rsid w:val="00A90303"/>
    <w:rsid w:val="00A92189"/>
    <w:rsid w:val="00A92E21"/>
    <w:rsid w:val="00A943DB"/>
    <w:rsid w:val="00A948A9"/>
    <w:rsid w:val="00A949BE"/>
    <w:rsid w:val="00A94C38"/>
    <w:rsid w:val="00A95DB5"/>
    <w:rsid w:val="00AA02CE"/>
    <w:rsid w:val="00AA0C52"/>
    <w:rsid w:val="00AA1257"/>
    <w:rsid w:val="00AA2D02"/>
    <w:rsid w:val="00AA2DC7"/>
    <w:rsid w:val="00AA3339"/>
    <w:rsid w:val="00AA4227"/>
    <w:rsid w:val="00AA5C70"/>
    <w:rsid w:val="00AA691B"/>
    <w:rsid w:val="00AA7E68"/>
    <w:rsid w:val="00AB1329"/>
    <w:rsid w:val="00AB36B8"/>
    <w:rsid w:val="00AB41D3"/>
    <w:rsid w:val="00AB55F0"/>
    <w:rsid w:val="00AB67F0"/>
    <w:rsid w:val="00AB6965"/>
    <w:rsid w:val="00AB71FE"/>
    <w:rsid w:val="00AC14DE"/>
    <w:rsid w:val="00AC2128"/>
    <w:rsid w:val="00AC2A77"/>
    <w:rsid w:val="00AC3058"/>
    <w:rsid w:val="00AC3212"/>
    <w:rsid w:val="00AC337C"/>
    <w:rsid w:val="00AC3C45"/>
    <w:rsid w:val="00AC4A93"/>
    <w:rsid w:val="00AC4D20"/>
    <w:rsid w:val="00AC502A"/>
    <w:rsid w:val="00AC5C0D"/>
    <w:rsid w:val="00AC5C1E"/>
    <w:rsid w:val="00AC7828"/>
    <w:rsid w:val="00AC796A"/>
    <w:rsid w:val="00AD2E4E"/>
    <w:rsid w:val="00AD2F82"/>
    <w:rsid w:val="00AD3008"/>
    <w:rsid w:val="00AD3EFD"/>
    <w:rsid w:val="00AD3F02"/>
    <w:rsid w:val="00AD4D4B"/>
    <w:rsid w:val="00AD5759"/>
    <w:rsid w:val="00AD5CA9"/>
    <w:rsid w:val="00AD5FAA"/>
    <w:rsid w:val="00AD66B0"/>
    <w:rsid w:val="00AD7C28"/>
    <w:rsid w:val="00AE20BD"/>
    <w:rsid w:val="00AE3C3D"/>
    <w:rsid w:val="00AE4381"/>
    <w:rsid w:val="00AE43CC"/>
    <w:rsid w:val="00AE5CF7"/>
    <w:rsid w:val="00AE64D3"/>
    <w:rsid w:val="00AE6B6F"/>
    <w:rsid w:val="00AE70A3"/>
    <w:rsid w:val="00AE7324"/>
    <w:rsid w:val="00AE78AE"/>
    <w:rsid w:val="00AE7C03"/>
    <w:rsid w:val="00AF0177"/>
    <w:rsid w:val="00AF066B"/>
    <w:rsid w:val="00AF0DEE"/>
    <w:rsid w:val="00AF0E85"/>
    <w:rsid w:val="00AF1503"/>
    <w:rsid w:val="00AF1BA1"/>
    <w:rsid w:val="00AF56F4"/>
    <w:rsid w:val="00AF5A89"/>
    <w:rsid w:val="00AF673B"/>
    <w:rsid w:val="00AF794B"/>
    <w:rsid w:val="00B0031A"/>
    <w:rsid w:val="00B014C1"/>
    <w:rsid w:val="00B014E6"/>
    <w:rsid w:val="00B01507"/>
    <w:rsid w:val="00B029E4"/>
    <w:rsid w:val="00B02C25"/>
    <w:rsid w:val="00B04005"/>
    <w:rsid w:val="00B04173"/>
    <w:rsid w:val="00B044BE"/>
    <w:rsid w:val="00B05C27"/>
    <w:rsid w:val="00B0670C"/>
    <w:rsid w:val="00B06FC6"/>
    <w:rsid w:val="00B07E30"/>
    <w:rsid w:val="00B10569"/>
    <w:rsid w:val="00B10E7F"/>
    <w:rsid w:val="00B1223A"/>
    <w:rsid w:val="00B12480"/>
    <w:rsid w:val="00B14205"/>
    <w:rsid w:val="00B1445A"/>
    <w:rsid w:val="00B15429"/>
    <w:rsid w:val="00B155F2"/>
    <w:rsid w:val="00B1638C"/>
    <w:rsid w:val="00B164ED"/>
    <w:rsid w:val="00B17AB7"/>
    <w:rsid w:val="00B17ED9"/>
    <w:rsid w:val="00B200EB"/>
    <w:rsid w:val="00B21726"/>
    <w:rsid w:val="00B23F98"/>
    <w:rsid w:val="00B245A4"/>
    <w:rsid w:val="00B24D10"/>
    <w:rsid w:val="00B24FE7"/>
    <w:rsid w:val="00B25962"/>
    <w:rsid w:val="00B25D48"/>
    <w:rsid w:val="00B26CCA"/>
    <w:rsid w:val="00B31214"/>
    <w:rsid w:val="00B31B9E"/>
    <w:rsid w:val="00B31F31"/>
    <w:rsid w:val="00B320CD"/>
    <w:rsid w:val="00B3303F"/>
    <w:rsid w:val="00B3378D"/>
    <w:rsid w:val="00B34F0F"/>
    <w:rsid w:val="00B35806"/>
    <w:rsid w:val="00B35CE7"/>
    <w:rsid w:val="00B4119A"/>
    <w:rsid w:val="00B42365"/>
    <w:rsid w:val="00B425C0"/>
    <w:rsid w:val="00B438AD"/>
    <w:rsid w:val="00B44912"/>
    <w:rsid w:val="00B44AA3"/>
    <w:rsid w:val="00B45282"/>
    <w:rsid w:val="00B473A0"/>
    <w:rsid w:val="00B478E2"/>
    <w:rsid w:val="00B47BB9"/>
    <w:rsid w:val="00B52732"/>
    <w:rsid w:val="00B52775"/>
    <w:rsid w:val="00B54376"/>
    <w:rsid w:val="00B54D4A"/>
    <w:rsid w:val="00B54DB4"/>
    <w:rsid w:val="00B55234"/>
    <w:rsid w:val="00B55591"/>
    <w:rsid w:val="00B5567F"/>
    <w:rsid w:val="00B56E29"/>
    <w:rsid w:val="00B579F3"/>
    <w:rsid w:val="00B57AFD"/>
    <w:rsid w:val="00B60174"/>
    <w:rsid w:val="00B627F6"/>
    <w:rsid w:val="00B62B7F"/>
    <w:rsid w:val="00B631A9"/>
    <w:rsid w:val="00B632AE"/>
    <w:rsid w:val="00B640E7"/>
    <w:rsid w:val="00B641BF"/>
    <w:rsid w:val="00B64B1E"/>
    <w:rsid w:val="00B65A84"/>
    <w:rsid w:val="00B6730B"/>
    <w:rsid w:val="00B67611"/>
    <w:rsid w:val="00B67936"/>
    <w:rsid w:val="00B700B2"/>
    <w:rsid w:val="00B70D46"/>
    <w:rsid w:val="00B71855"/>
    <w:rsid w:val="00B719BA"/>
    <w:rsid w:val="00B74965"/>
    <w:rsid w:val="00B750F3"/>
    <w:rsid w:val="00B761E1"/>
    <w:rsid w:val="00B7721B"/>
    <w:rsid w:val="00B80C8C"/>
    <w:rsid w:val="00B80D47"/>
    <w:rsid w:val="00B82060"/>
    <w:rsid w:val="00B8239A"/>
    <w:rsid w:val="00B837AD"/>
    <w:rsid w:val="00B90BD7"/>
    <w:rsid w:val="00B9141B"/>
    <w:rsid w:val="00B9193E"/>
    <w:rsid w:val="00B94974"/>
    <w:rsid w:val="00B94AF7"/>
    <w:rsid w:val="00B94BAD"/>
    <w:rsid w:val="00B95205"/>
    <w:rsid w:val="00B956B9"/>
    <w:rsid w:val="00B96DAA"/>
    <w:rsid w:val="00B97456"/>
    <w:rsid w:val="00BA1266"/>
    <w:rsid w:val="00BA1749"/>
    <w:rsid w:val="00BA369B"/>
    <w:rsid w:val="00BA3C32"/>
    <w:rsid w:val="00BA62BA"/>
    <w:rsid w:val="00BA64C2"/>
    <w:rsid w:val="00BA6C2D"/>
    <w:rsid w:val="00BA7ACC"/>
    <w:rsid w:val="00BB0A9D"/>
    <w:rsid w:val="00BB15F4"/>
    <w:rsid w:val="00BB1674"/>
    <w:rsid w:val="00BB1A38"/>
    <w:rsid w:val="00BB1F3F"/>
    <w:rsid w:val="00BB2397"/>
    <w:rsid w:val="00BB3B55"/>
    <w:rsid w:val="00BB3CD1"/>
    <w:rsid w:val="00BB43C1"/>
    <w:rsid w:val="00BB44B3"/>
    <w:rsid w:val="00BB4D29"/>
    <w:rsid w:val="00BB5008"/>
    <w:rsid w:val="00BB5253"/>
    <w:rsid w:val="00BB5595"/>
    <w:rsid w:val="00BB6CDF"/>
    <w:rsid w:val="00BB6F79"/>
    <w:rsid w:val="00BB7E9F"/>
    <w:rsid w:val="00BC0B71"/>
    <w:rsid w:val="00BC26A6"/>
    <w:rsid w:val="00BC313E"/>
    <w:rsid w:val="00BC3355"/>
    <w:rsid w:val="00BC4745"/>
    <w:rsid w:val="00BC5413"/>
    <w:rsid w:val="00BC5FF2"/>
    <w:rsid w:val="00BC6364"/>
    <w:rsid w:val="00BC655E"/>
    <w:rsid w:val="00BC6A6C"/>
    <w:rsid w:val="00BD0147"/>
    <w:rsid w:val="00BD02ED"/>
    <w:rsid w:val="00BD0755"/>
    <w:rsid w:val="00BD1D5F"/>
    <w:rsid w:val="00BD1DE7"/>
    <w:rsid w:val="00BD3193"/>
    <w:rsid w:val="00BD3716"/>
    <w:rsid w:val="00BD3B5B"/>
    <w:rsid w:val="00BD49CA"/>
    <w:rsid w:val="00BD4A2E"/>
    <w:rsid w:val="00BD6BA3"/>
    <w:rsid w:val="00BD7858"/>
    <w:rsid w:val="00BE1A74"/>
    <w:rsid w:val="00BE1E27"/>
    <w:rsid w:val="00BE2586"/>
    <w:rsid w:val="00BE37AF"/>
    <w:rsid w:val="00BE3D4E"/>
    <w:rsid w:val="00BE55E6"/>
    <w:rsid w:val="00BE73CC"/>
    <w:rsid w:val="00BF0818"/>
    <w:rsid w:val="00BF17E3"/>
    <w:rsid w:val="00BF2340"/>
    <w:rsid w:val="00BF2936"/>
    <w:rsid w:val="00BF3EBA"/>
    <w:rsid w:val="00BF44A9"/>
    <w:rsid w:val="00BF4C30"/>
    <w:rsid w:val="00BF4C71"/>
    <w:rsid w:val="00BF575F"/>
    <w:rsid w:val="00BF5F60"/>
    <w:rsid w:val="00BF6AA3"/>
    <w:rsid w:val="00BF6CCA"/>
    <w:rsid w:val="00BF7C70"/>
    <w:rsid w:val="00C02386"/>
    <w:rsid w:val="00C026B8"/>
    <w:rsid w:val="00C03718"/>
    <w:rsid w:val="00C0461A"/>
    <w:rsid w:val="00C0507D"/>
    <w:rsid w:val="00C05786"/>
    <w:rsid w:val="00C0595B"/>
    <w:rsid w:val="00C067A0"/>
    <w:rsid w:val="00C0734C"/>
    <w:rsid w:val="00C07B71"/>
    <w:rsid w:val="00C109EE"/>
    <w:rsid w:val="00C127F1"/>
    <w:rsid w:val="00C12C92"/>
    <w:rsid w:val="00C12F09"/>
    <w:rsid w:val="00C13690"/>
    <w:rsid w:val="00C1424B"/>
    <w:rsid w:val="00C15F00"/>
    <w:rsid w:val="00C17069"/>
    <w:rsid w:val="00C17807"/>
    <w:rsid w:val="00C20114"/>
    <w:rsid w:val="00C201BA"/>
    <w:rsid w:val="00C21F75"/>
    <w:rsid w:val="00C22077"/>
    <w:rsid w:val="00C233F4"/>
    <w:rsid w:val="00C23611"/>
    <w:rsid w:val="00C23FA6"/>
    <w:rsid w:val="00C24C51"/>
    <w:rsid w:val="00C2762E"/>
    <w:rsid w:val="00C2788C"/>
    <w:rsid w:val="00C27BC5"/>
    <w:rsid w:val="00C30DC2"/>
    <w:rsid w:val="00C31597"/>
    <w:rsid w:val="00C323A7"/>
    <w:rsid w:val="00C348B1"/>
    <w:rsid w:val="00C35048"/>
    <w:rsid w:val="00C3730C"/>
    <w:rsid w:val="00C414D5"/>
    <w:rsid w:val="00C4214F"/>
    <w:rsid w:val="00C42D7C"/>
    <w:rsid w:val="00C42D96"/>
    <w:rsid w:val="00C42FB9"/>
    <w:rsid w:val="00C431E1"/>
    <w:rsid w:val="00C43A05"/>
    <w:rsid w:val="00C4476A"/>
    <w:rsid w:val="00C44DBA"/>
    <w:rsid w:val="00C46057"/>
    <w:rsid w:val="00C4634E"/>
    <w:rsid w:val="00C470FF"/>
    <w:rsid w:val="00C471DC"/>
    <w:rsid w:val="00C51697"/>
    <w:rsid w:val="00C51F51"/>
    <w:rsid w:val="00C531B1"/>
    <w:rsid w:val="00C53874"/>
    <w:rsid w:val="00C541E2"/>
    <w:rsid w:val="00C55635"/>
    <w:rsid w:val="00C55CFE"/>
    <w:rsid w:val="00C60037"/>
    <w:rsid w:val="00C60BE9"/>
    <w:rsid w:val="00C61BD3"/>
    <w:rsid w:val="00C62754"/>
    <w:rsid w:val="00C63A1F"/>
    <w:rsid w:val="00C64B05"/>
    <w:rsid w:val="00C654A9"/>
    <w:rsid w:val="00C66145"/>
    <w:rsid w:val="00C66448"/>
    <w:rsid w:val="00C67258"/>
    <w:rsid w:val="00C673EE"/>
    <w:rsid w:val="00C6767D"/>
    <w:rsid w:val="00C70EE6"/>
    <w:rsid w:val="00C719B5"/>
    <w:rsid w:val="00C720F0"/>
    <w:rsid w:val="00C725EE"/>
    <w:rsid w:val="00C72EB7"/>
    <w:rsid w:val="00C743A8"/>
    <w:rsid w:val="00C74667"/>
    <w:rsid w:val="00C74F2C"/>
    <w:rsid w:val="00C76194"/>
    <w:rsid w:val="00C763F3"/>
    <w:rsid w:val="00C805B9"/>
    <w:rsid w:val="00C80FFA"/>
    <w:rsid w:val="00C8132B"/>
    <w:rsid w:val="00C8174C"/>
    <w:rsid w:val="00C81BE3"/>
    <w:rsid w:val="00C81E58"/>
    <w:rsid w:val="00C82099"/>
    <w:rsid w:val="00C82881"/>
    <w:rsid w:val="00C839A2"/>
    <w:rsid w:val="00C84A49"/>
    <w:rsid w:val="00C90E10"/>
    <w:rsid w:val="00C90F2D"/>
    <w:rsid w:val="00C91F0A"/>
    <w:rsid w:val="00C94311"/>
    <w:rsid w:val="00C94546"/>
    <w:rsid w:val="00C948A4"/>
    <w:rsid w:val="00C94A61"/>
    <w:rsid w:val="00C961C1"/>
    <w:rsid w:val="00C96259"/>
    <w:rsid w:val="00C962C4"/>
    <w:rsid w:val="00CA0164"/>
    <w:rsid w:val="00CA10E4"/>
    <w:rsid w:val="00CA1D91"/>
    <w:rsid w:val="00CA28F0"/>
    <w:rsid w:val="00CA2B39"/>
    <w:rsid w:val="00CA3362"/>
    <w:rsid w:val="00CA3DD1"/>
    <w:rsid w:val="00CA4820"/>
    <w:rsid w:val="00CA5886"/>
    <w:rsid w:val="00CA75BF"/>
    <w:rsid w:val="00CB1501"/>
    <w:rsid w:val="00CB17F2"/>
    <w:rsid w:val="00CB3226"/>
    <w:rsid w:val="00CB4754"/>
    <w:rsid w:val="00CC13DD"/>
    <w:rsid w:val="00CC19CB"/>
    <w:rsid w:val="00CC1A75"/>
    <w:rsid w:val="00CC2904"/>
    <w:rsid w:val="00CC3829"/>
    <w:rsid w:val="00CC39AE"/>
    <w:rsid w:val="00CC4005"/>
    <w:rsid w:val="00CC4E73"/>
    <w:rsid w:val="00CC501E"/>
    <w:rsid w:val="00CC5AF9"/>
    <w:rsid w:val="00CC5B54"/>
    <w:rsid w:val="00CC62B7"/>
    <w:rsid w:val="00CC6EB1"/>
    <w:rsid w:val="00CC7008"/>
    <w:rsid w:val="00CD08CF"/>
    <w:rsid w:val="00CD14AF"/>
    <w:rsid w:val="00CD2DCB"/>
    <w:rsid w:val="00CD3735"/>
    <w:rsid w:val="00CD3E15"/>
    <w:rsid w:val="00CD4F5F"/>
    <w:rsid w:val="00CD5446"/>
    <w:rsid w:val="00CD5BC5"/>
    <w:rsid w:val="00CD5F10"/>
    <w:rsid w:val="00CE297C"/>
    <w:rsid w:val="00CE29CA"/>
    <w:rsid w:val="00CE2C32"/>
    <w:rsid w:val="00CE341E"/>
    <w:rsid w:val="00CE3A86"/>
    <w:rsid w:val="00CE5528"/>
    <w:rsid w:val="00CE5CBE"/>
    <w:rsid w:val="00CE63EE"/>
    <w:rsid w:val="00CE65C7"/>
    <w:rsid w:val="00CE67EB"/>
    <w:rsid w:val="00CE7F34"/>
    <w:rsid w:val="00CE7F70"/>
    <w:rsid w:val="00CF0228"/>
    <w:rsid w:val="00CF1237"/>
    <w:rsid w:val="00CF26D5"/>
    <w:rsid w:val="00CF280A"/>
    <w:rsid w:val="00CF48DB"/>
    <w:rsid w:val="00D01179"/>
    <w:rsid w:val="00D01279"/>
    <w:rsid w:val="00D01759"/>
    <w:rsid w:val="00D02BAF"/>
    <w:rsid w:val="00D03E3E"/>
    <w:rsid w:val="00D05802"/>
    <w:rsid w:val="00D06AB9"/>
    <w:rsid w:val="00D104F5"/>
    <w:rsid w:val="00D111D4"/>
    <w:rsid w:val="00D115E8"/>
    <w:rsid w:val="00D12152"/>
    <w:rsid w:val="00D1243E"/>
    <w:rsid w:val="00D1267E"/>
    <w:rsid w:val="00D12884"/>
    <w:rsid w:val="00D1391D"/>
    <w:rsid w:val="00D13B47"/>
    <w:rsid w:val="00D143EA"/>
    <w:rsid w:val="00D14473"/>
    <w:rsid w:val="00D14A34"/>
    <w:rsid w:val="00D1561D"/>
    <w:rsid w:val="00D20207"/>
    <w:rsid w:val="00D21395"/>
    <w:rsid w:val="00D213EB"/>
    <w:rsid w:val="00D21F6C"/>
    <w:rsid w:val="00D22007"/>
    <w:rsid w:val="00D22C16"/>
    <w:rsid w:val="00D22D1E"/>
    <w:rsid w:val="00D22D6D"/>
    <w:rsid w:val="00D2327E"/>
    <w:rsid w:val="00D2329E"/>
    <w:rsid w:val="00D24A5A"/>
    <w:rsid w:val="00D25235"/>
    <w:rsid w:val="00D25C5E"/>
    <w:rsid w:val="00D264DC"/>
    <w:rsid w:val="00D264F6"/>
    <w:rsid w:val="00D27273"/>
    <w:rsid w:val="00D30545"/>
    <w:rsid w:val="00D324BE"/>
    <w:rsid w:val="00D331FE"/>
    <w:rsid w:val="00D333F8"/>
    <w:rsid w:val="00D33FB7"/>
    <w:rsid w:val="00D3493A"/>
    <w:rsid w:val="00D363D0"/>
    <w:rsid w:val="00D3679E"/>
    <w:rsid w:val="00D3782E"/>
    <w:rsid w:val="00D411CC"/>
    <w:rsid w:val="00D41317"/>
    <w:rsid w:val="00D426FF"/>
    <w:rsid w:val="00D444EB"/>
    <w:rsid w:val="00D45B95"/>
    <w:rsid w:val="00D472F4"/>
    <w:rsid w:val="00D50BBC"/>
    <w:rsid w:val="00D529E8"/>
    <w:rsid w:val="00D52BC6"/>
    <w:rsid w:val="00D53D91"/>
    <w:rsid w:val="00D54243"/>
    <w:rsid w:val="00D54AB8"/>
    <w:rsid w:val="00D55D53"/>
    <w:rsid w:val="00D56C86"/>
    <w:rsid w:val="00D57086"/>
    <w:rsid w:val="00D575E1"/>
    <w:rsid w:val="00D57793"/>
    <w:rsid w:val="00D61287"/>
    <w:rsid w:val="00D615CF"/>
    <w:rsid w:val="00D616D4"/>
    <w:rsid w:val="00D62EBB"/>
    <w:rsid w:val="00D63550"/>
    <w:rsid w:val="00D63776"/>
    <w:rsid w:val="00D64042"/>
    <w:rsid w:val="00D64644"/>
    <w:rsid w:val="00D64E44"/>
    <w:rsid w:val="00D65263"/>
    <w:rsid w:val="00D65C3E"/>
    <w:rsid w:val="00D67D34"/>
    <w:rsid w:val="00D70873"/>
    <w:rsid w:val="00D7148F"/>
    <w:rsid w:val="00D7170F"/>
    <w:rsid w:val="00D71B5C"/>
    <w:rsid w:val="00D725A8"/>
    <w:rsid w:val="00D72B74"/>
    <w:rsid w:val="00D732C8"/>
    <w:rsid w:val="00D73A74"/>
    <w:rsid w:val="00D73C0A"/>
    <w:rsid w:val="00D7496E"/>
    <w:rsid w:val="00D74AEB"/>
    <w:rsid w:val="00D7738F"/>
    <w:rsid w:val="00D826B5"/>
    <w:rsid w:val="00D844A8"/>
    <w:rsid w:val="00D8664B"/>
    <w:rsid w:val="00D87DE4"/>
    <w:rsid w:val="00D9046E"/>
    <w:rsid w:val="00D904BF"/>
    <w:rsid w:val="00D9134D"/>
    <w:rsid w:val="00D91493"/>
    <w:rsid w:val="00D918D9"/>
    <w:rsid w:val="00D91F4D"/>
    <w:rsid w:val="00D92488"/>
    <w:rsid w:val="00D93185"/>
    <w:rsid w:val="00D94064"/>
    <w:rsid w:val="00D965E5"/>
    <w:rsid w:val="00D9713E"/>
    <w:rsid w:val="00DA0C23"/>
    <w:rsid w:val="00DA348E"/>
    <w:rsid w:val="00DA3537"/>
    <w:rsid w:val="00DA3696"/>
    <w:rsid w:val="00DA3736"/>
    <w:rsid w:val="00DA3DD4"/>
    <w:rsid w:val="00DA42A3"/>
    <w:rsid w:val="00DA4965"/>
    <w:rsid w:val="00DA5377"/>
    <w:rsid w:val="00DA5416"/>
    <w:rsid w:val="00DA5560"/>
    <w:rsid w:val="00DA5F82"/>
    <w:rsid w:val="00DA6A3D"/>
    <w:rsid w:val="00DA7174"/>
    <w:rsid w:val="00DA75DD"/>
    <w:rsid w:val="00DA7700"/>
    <w:rsid w:val="00DA7B1A"/>
    <w:rsid w:val="00DB09F8"/>
    <w:rsid w:val="00DB0F5A"/>
    <w:rsid w:val="00DB14A0"/>
    <w:rsid w:val="00DB15F8"/>
    <w:rsid w:val="00DB1856"/>
    <w:rsid w:val="00DB2645"/>
    <w:rsid w:val="00DB7B96"/>
    <w:rsid w:val="00DC011B"/>
    <w:rsid w:val="00DC020F"/>
    <w:rsid w:val="00DC0F1F"/>
    <w:rsid w:val="00DC13D7"/>
    <w:rsid w:val="00DC1C0B"/>
    <w:rsid w:val="00DC2DFB"/>
    <w:rsid w:val="00DC32FA"/>
    <w:rsid w:val="00DC3830"/>
    <w:rsid w:val="00DC39C7"/>
    <w:rsid w:val="00DC421D"/>
    <w:rsid w:val="00DC58B7"/>
    <w:rsid w:val="00DC5C74"/>
    <w:rsid w:val="00DC7653"/>
    <w:rsid w:val="00DD066F"/>
    <w:rsid w:val="00DD07C6"/>
    <w:rsid w:val="00DD0B96"/>
    <w:rsid w:val="00DD259A"/>
    <w:rsid w:val="00DD263E"/>
    <w:rsid w:val="00DD297C"/>
    <w:rsid w:val="00DD465B"/>
    <w:rsid w:val="00DD483C"/>
    <w:rsid w:val="00DD5060"/>
    <w:rsid w:val="00DD5656"/>
    <w:rsid w:val="00DD7B54"/>
    <w:rsid w:val="00DE08EA"/>
    <w:rsid w:val="00DE13DA"/>
    <w:rsid w:val="00DE2378"/>
    <w:rsid w:val="00DE2DBE"/>
    <w:rsid w:val="00DE2F72"/>
    <w:rsid w:val="00DE30F7"/>
    <w:rsid w:val="00DE41D7"/>
    <w:rsid w:val="00DE4E3F"/>
    <w:rsid w:val="00DE6ACD"/>
    <w:rsid w:val="00DE6E00"/>
    <w:rsid w:val="00DE6FD7"/>
    <w:rsid w:val="00DE7E03"/>
    <w:rsid w:val="00DF0778"/>
    <w:rsid w:val="00DF1704"/>
    <w:rsid w:val="00DF1DC5"/>
    <w:rsid w:val="00DF2209"/>
    <w:rsid w:val="00DF2F9A"/>
    <w:rsid w:val="00DF4A41"/>
    <w:rsid w:val="00DF644C"/>
    <w:rsid w:val="00DF6B9F"/>
    <w:rsid w:val="00DF7565"/>
    <w:rsid w:val="00DF79C0"/>
    <w:rsid w:val="00E009C4"/>
    <w:rsid w:val="00E01643"/>
    <w:rsid w:val="00E01EEB"/>
    <w:rsid w:val="00E02411"/>
    <w:rsid w:val="00E02472"/>
    <w:rsid w:val="00E027FE"/>
    <w:rsid w:val="00E029AD"/>
    <w:rsid w:val="00E02FA0"/>
    <w:rsid w:val="00E03E87"/>
    <w:rsid w:val="00E044D9"/>
    <w:rsid w:val="00E0462B"/>
    <w:rsid w:val="00E06631"/>
    <w:rsid w:val="00E074AB"/>
    <w:rsid w:val="00E100EA"/>
    <w:rsid w:val="00E10B51"/>
    <w:rsid w:val="00E10BE3"/>
    <w:rsid w:val="00E11C4C"/>
    <w:rsid w:val="00E11EBF"/>
    <w:rsid w:val="00E12F11"/>
    <w:rsid w:val="00E136FE"/>
    <w:rsid w:val="00E146A8"/>
    <w:rsid w:val="00E14754"/>
    <w:rsid w:val="00E15159"/>
    <w:rsid w:val="00E154CF"/>
    <w:rsid w:val="00E15C78"/>
    <w:rsid w:val="00E15F27"/>
    <w:rsid w:val="00E171E0"/>
    <w:rsid w:val="00E179E9"/>
    <w:rsid w:val="00E20CEF"/>
    <w:rsid w:val="00E22CE1"/>
    <w:rsid w:val="00E246D2"/>
    <w:rsid w:val="00E262FB"/>
    <w:rsid w:val="00E2642A"/>
    <w:rsid w:val="00E26891"/>
    <w:rsid w:val="00E278AA"/>
    <w:rsid w:val="00E27E4D"/>
    <w:rsid w:val="00E311CB"/>
    <w:rsid w:val="00E32498"/>
    <w:rsid w:val="00E32F9F"/>
    <w:rsid w:val="00E332AB"/>
    <w:rsid w:val="00E3641D"/>
    <w:rsid w:val="00E37FC0"/>
    <w:rsid w:val="00E40DE4"/>
    <w:rsid w:val="00E4149A"/>
    <w:rsid w:val="00E428D5"/>
    <w:rsid w:val="00E42D51"/>
    <w:rsid w:val="00E43E51"/>
    <w:rsid w:val="00E44040"/>
    <w:rsid w:val="00E44CB8"/>
    <w:rsid w:val="00E4532C"/>
    <w:rsid w:val="00E45A01"/>
    <w:rsid w:val="00E47052"/>
    <w:rsid w:val="00E51141"/>
    <w:rsid w:val="00E511E1"/>
    <w:rsid w:val="00E51715"/>
    <w:rsid w:val="00E51CAA"/>
    <w:rsid w:val="00E5216D"/>
    <w:rsid w:val="00E52A1D"/>
    <w:rsid w:val="00E52C48"/>
    <w:rsid w:val="00E52EF8"/>
    <w:rsid w:val="00E530C9"/>
    <w:rsid w:val="00E535A2"/>
    <w:rsid w:val="00E53F73"/>
    <w:rsid w:val="00E56136"/>
    <w:rsid w:val="00E56500"/>
    <w:rsid w:val="00E56F36"/>
    <w:rsid w:val="00E577DB"/>
    <w:rsid w:val="00E6055F"/>
    <w:rsid w:val="00E606A7"/>
    <w:rsid w:val="00E60BEA"/>
    <w:rsid w:val="00E61645"/>
    <w:rsid w:val="00E61E7D"/>
    <w:rsid w:val="00E62D7F"/>
    <w:rsid w:val="00E62E5C"/>
    <w:rsid w:val="00E6307B"/>
    <w:rsid w:val="00E648BE"/>
    <w:rsid w:val="00E64D8B"/>
    <w:rsid w:val="00E6644F"/>
    <w:rsid w:val="00E706FB"/>
    <w:rsid w:val="00E71162"/>
    <w:rsid w:val="00E7125B"/>
    <w:rsid w:val="00E713C8"/>
    <w:rsid w:val="00E71ACB"/>
    <w:rsid w:val="00E748DD"/>
    <w:rsid w:val="00E77531"/>
    <w:rsid w:val="00E84756"/>
    <w:rsid w:val="00E876E0"/>
    <w:rsid w:val="00E87CE8"/>
    <w:rsid w:val="00E90838"/>
    <w:rsid w:val="00E908D8"/>
    <w:rsid w:val="00E920EE"/>
    <w:rsid w:val="00E92CD3"/>
    <w:rsid w:val="00E93D1D"/>
    <w:rsid w:val="00E9493B"/>
    <w:rsid w:val="00E94FED"/>
    <w:rsid w:val="00E95009"/>
    <w:rsid w:val="00E952C2"/>
    <w:rsid w:val="00E957C6"/>
    <w:rsid w:val="00E972E0"/>
    <w:rsid w:val="00EA0D5E"/>
    <w:rsid w:val="00EA1BB7"/>
    <w:rsid w:val="00EA2788"/>
    <w:rsid w:val="00EA375A"/>
    <w:rsid w:val="00EA53AC"/>
    <w:rsid w:val="00EA5C4A"/>
    <w:rsid w:val="00EA5DEE"/>
    <w:rsid w:val="00EA5F7C"/>
    <w:rsid w:val="00EA60A2"/>
    <w:rsid w:val="00EA6E4F"/>
    <w:rsid w:val="00EA74E0"/>
    <w:rsid w:val="00EB10A7"/>
    <w:rsid w:val="00EB2FA2"/>
    <w:rsid w:val="00EB3CBC"/>
    <w:rsid w:val="00EB64C8"/>
    <w:rsid w:val="00EB68C4"/>
    <w:rsid w:val="00EB746E"/>
    <w:rsid w:val="00EB7680"/>
    <w:rsid w:val="00EC050F"/>
    <w:rsid w:val="00EC057A"/>
    <w:rsid w:val="00EC0716"/>
    <w:rsid w:val="00EC0F65"/>
    <w:rsid w:val="00EC1497"/>
    <w:rsid w:val="00EC2A47"/>
    <w:rsid w:val="00EC33BD"/>
    <w:rsid w:val="00EC3FD1"/>
    <w:rsid w:val="00EC504F"/>
    <w:rsid w:val="00EC5CC6"/>
    <w:rsid w:val="00ED027C"/>
    <w:rsid w:val="00ED15D4"/>
    <w:rsid w:val="00ED23AD"/>
    <w:rsid w:val="00ED2B11"/>
    <w:rsid w:val="00ED73E1"/>
    <w:rsid w:val="00ED7AE5"/>
    <w:rsid w:val="00ED7D13"/>
    <w:rsid w:val="00ED7DE3"/>
    <w:rsid w:val="00EE0B57"/>
    <w:rsid w:val="00EE0C13"/>
    <w:rsid w:val="00EE0D0E"/>
    <w:rsid w:val="00EE0DEA"/>
    <w:rsid w:val="00EE1C52"/>
    <w:rsid w:val="00EE21AD"/>
    <w:rsid w:val="00EE2D5E"/>
    <w:rsid w:val="00EE2DF2"/>
    <w:rsid w:val="00EE3CC4"/>
    <w:rsid w:val="00EE46B1"/>
    <w:rsid w:val="00EE60CF"/>
    <w:rsid w:val="00EE6618"/>
    <w:rsid w:val="00EE6BF7"/>
    <w:rsid w:val="00EE75C1"/>
    <w:rsid w:val="00EF0278"/>
    <w:rsid w:val="00EF02CB"/>
    <w:rsid w:val="00EF0641"/>
    <w:rsid w:val="00EF1D70"/>
    <w:rsid w:val="00EF2257"/>
    <w:rsid w:val="00EF2D45"/>
    <w:rsid w:val="00EF30DA"/>
    <w:rsid w:val="00EF370A"/>
    <w:rsid w:val="00EF3FD3"/>
    <w:rsid w:val="00EF425A"/>
    <w:rsid w:val="00EF4346"/>
    <w:rsid w:val="00EF4712"/>
    <w:rsid w:val="00EF4EC0"/>
    <w:rsid w:val="00EF5D1F"/>
    <w:rsid w:val="00EF5D52"/>
    <w:rsid w:val="00EF6330"/>
    <w:rsid w:val="00EF7057"/>
    <w:rsid w:val="00F001CE"/>
    <w:rsid w:val="00F02CB6"/>
    <w:rsid w:val="00F04CB6"/>
    <w:rsid w:val="00F05FF0"/>
    <w:rsid w:val="00F0777D"/>
    <w:rsid w:val="00F07C82"/>
    <w:rsid w:val="00F10DBA"/>
    <w:rsid w:val="00F10EAA"/>
    <w:rsid w:val="00F1147F"/>
    <w:rsid w:val="00F12607"/>
    <w:rsid w:val="00F127A9"/>
    <w:rsid w:val="00F132BA"/>
    <w:rsid w:val="00F158A3"/>
    <w:rsid w:val="00F16F70"/>
    <w:rsid w:val="00F2152C"/>
    <w:rsid w:val="00F21AD6"/>
    <w:rsid w:val="00F224F9"/>
    <w:rsid w:val="00F2386B"/>
    <w:rsid w:val="00F23CF5"/>
    <w:rsid w:val="00F26B1C"/>
    <w:rsid w:val="00F27948"/>
    <w:rsid w:val="00F27C27"/>
    <w:rsid w:val="00F304AD"/>
    <w:rsid w:val="00F30A6C"/>
    <w:rsid w:val="00F31C0B"/>
    <w:rsid w:val="00F32AF5"/>
    <w:rsid w:val="00F33F47"/>
    <w:rsid w:val="00F34BE2"/>
    <w:rsid w:val="00F406CA"/>
    <w:rsid w:val="00F40D80"/>
    <w:rsid w:val="00F4191F"/>
    <w:rsid w:val="00F42090"/>
    <w:rsid w:val="00F42875"/>
    <w:rsid w:val="00F42DDF"/>
    <w:rsid w:val="00F44D12"/>
    <w:rsid w:val="00F458DF"/>
    <w:rsid w:val="00F45999"/>
    <w:rsid w:val="00F45A4D"/>
    <w:rsid w:val="00F45F95"/>
    <w:rsid w:val="00F4640C"/>
    <w:rsid w:val="00F4663A"/>
    <w:rsid w:val="00F473BF"/>
    <w:rsid w:val="00F47419"/>
    <w:rsid w:val="00F47AF4"/>
    <w:rsid w:val="00F50492"/>
    <w:rsid w:val="00F50812"/>
    <w:rsid w:val="00F509D7"/>
    <w:rsid w:val="00F526DC"/>
    <w:rsid w:val="00F5326A"/>
    <w:rsid w:val="00F5424A"/>
    <w:rsid w:val="00F54582"/>
    <w:rsid w:val="00F55526"/>
    <w:rsid w:val="00F559AD"/>
    <w:rsid w:val="00F55C0B"/>
    <w:rsid w:val="00F55F2C"/>
    <w:rsid w:val="00F561C5"/>
    <w:rsid w:val="00F5647F"/>
    <w:rsid w:val="00F57071"/>
    <w:rsid w:val="00F5772D"/>
    <w:rsid w:val="00F57EDE"/>
    <w:rsid w:val="00F600C0"/>
    <w:rsid w:val="00F60EB2"/>
    <w:rsid w:val="00F61FFE"/>
    <w:rsid w:val="00F62D7B"/>
    <w:rsid w:val="00F62EC0"/>
    <w:rsid w:val="00F64CA1"/>
    <w:rsid w:val="00F64FB3"/>
    <w:rsid w:val="00F652B4"/>
    <w:rsid w:val="00F7012A"/>
    <w:rsid w:val="00F701D0"/>
    <w:rsid w:val="00F71E92"/>
    <w:rsid w:val="00F72879"/>
    <w:rsid w:val="00F73233"/>
    <w:rsid w:val="00F73A18"/>
    <w:rsid w:val="00F74542"/>
    <w:rsid w:val="00F74B57"/>
    <w:rsid w:val="00F74CCA"/>
    <w:rsid w:val="00F74DFD"/>
    <w:rsid w:val="00F7595B"/>
    <w:rsid w:val="00F76376"/>
    <w:rsid w:val="00F7656E"/>
    <w:rsid w:val="00F775F8"/>
    <w:rsid w:val="00F776CE"/>
    <w:rsid w:val="00F804A3"/>
    <w:rsid w:val="00F80697"/>
    <w:rsid w:val="00F809F5"/>
    <w:rsid w:val="00F81212"/>
    <w:rsid w:val="00F81418"/>
    <w:rsid w:val="00F817A1"/>
    <w:rsid w:val="00F822B5"/>
    <w:rsid w:val="00F831EF"/>
    <w:rsid w:val="00F845C6"/>
    <w:rsid w:val="00F85115"/>
    <w:rsid w:val="00F856E2"/>
    <w:rsid w:val="00F867F5"/>
    <w:rsid w:val="00F9017D"/>
    <w:rsid w:val="00F9203E"/>
    <w:rsid w:val="00F92891"/>
    <w:rsid w:val="00F94DF3"/>
    <w:rsid w:val="00F96617"/>
    <w:rsid w:val="00FA5BE4"/>
    <w:rsid w:val="00FA5CE5"/>
    <w:rsid w:val="00FA5E1E"/>
    <w:rsid w:val="00FA64E0"/>
    <w:rsid w:val="00FA6657"/>
    <w:rsid w:val="00FA6E8B"/>
    <w:rsid w:val="00FA6F7F"/>
    <w:rsid w:val="00FB02A4"/>
    <w:rsid w:val="00FB0647"/>
    <w:rsid w:val="00FB177B"/>
    <w:rsid w:val="00FB18D8"/>
    <w:rsid w:val="00FB3388"/>
    <w:rsid w:val="00FB3B62"/>
    <w:rsid w:val="00FB4821"/>
    <w:rsid w:val="00FB5449"/>
    <w:rsid w:val="00FB6571"/>
    <w:rsid w:val="00FB6964"/>
    <w:rsid w:val="00FB71D0"/>
    <w:rsid w:val="00FC104A"/>
    <w:rsid w:val="00FC1319"/>
    <w:rsid w:val="00FC1372"/>
    <w:rsid w:val="00FC1B5B"/>
    <w:rsid w:val="00FC26A0"/>
    <w:rsid w:val="00FC2ECE"/>
    <w:rsid w:val="00FC2F5A"/>
    <w:rsid w:val="00FC36D7"/>
    <w:rsid w:val="00FC3D70"/>
    <w:rsid w:val="00FC3F7F"/>
    <w:rsid w:val="00FC7ACB"/>
    <w:rsid w:val="00FD0259"/>
    <w:rsid w:val="00FD281E"/>
    <w:rsid w:val="00FE027C"/>
    <w:rsid w:val="00FE042E"/>
    <w:rsid w:val="00FE0A80"/>
    <w:rsid w:val="00FE115F"/>
    <w:rsid w:val="00FE126B"/>
    <w:rsid w:val="00FE23A6"/>
    <w:rsid w:val="00FE5338"/>
    <w:rsid w:val="00FE683A"/>
    <w:rsid w:val="00FE6A9C"/>
    <w:rsid w:val="00FF032F"/>
    <w:rsid w:val="00FF1302"/>
    <w:rsid w:val="00FF2F72"/>
    <w:rsid w:val="00FF3190"/>
    <w:rsid w:val="00FF3F2F"/>
    <w:rsid w:val="00FF41CE"/>
    <w:rsid w:val="00FF5BF9"/>
    <w:rsid w:val="00FF627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style="mso-position-vertical-relative:margin" fillcolor="#002395" stroke="f">
      <v:fill color="#002395"/>
      <v:stroke on="f"/>
    </o:shapedefaults>
    <o:shapelayout v:ext="edit">
      <o:idmap v:ext="edit" data="1"/>
    </o:shapelayout>
  </w:shapeDefaults>
  <w:decimalSymbol w:val=","/>
  <w:listSeparator w:val=";"/>
  <w14:docId w14:val="402586C4"/>
  <w15:docId w15:val="{5158425E-7968-4F5B-8381-23E88C0E8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9"/>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13D7"/>
    <w:pPr>
      <w:spacing w:after="240"/>
      <w:jc w:val="both"/>
    </w:pPr>
    <w:rPr>
      <w:rFonts w:ascii="Verdana" w:hAnsi="Verdana"/>
      <w:lang w:val="en-GB" w:eastAsia="en-US"/>
    </w:rPr>
  </w:style>
  <w:style w:type="paragraph" w:styleId="Ttulo1">
    <w:name w:val="heading 1"/>
    <w:aliases w:val="chapitre,Titre 11,t1.T1.Titre 1,t1,TITRE 1 SL"/>
    <w:basedOn w:val="Normal"/>
    <w:next w:val="Body"/>
    <w:link w:val="Ttulo1Car"/>
    <w:qFormat/>
    <w:rsid w:val="007F38D2"/>
    <w:pPr>
      <w:keepNext/>
      <w:numPr>
        <w:numId w:val="3"/>
      </w:numPr>
      <w:spacing w:before="360"/>
      <w:outlineLvl w:val="0"/>
    </w:pPr>
    <w:rPr>
      <w:rFonts w:ascii="Century Gothic" w:hAnsi="Century Gothic"/>
      <w:b/>
      <w:smallCaps/>
    </w:rPr>
  </w:style>
  <w:style w:type="paragraph" w:styleId="Ttulo2">
    <w:name w:val="heading 2"/>
    <w:aliases w:val="Niveau 2,H2,paragraphe,t2,h2"/>
    <w:basedOn w:val="Normal"/>
    <w:next w:val="Normal"/>
    <w:link w:val="Ttulo2Car"/>
    <w:qFormat/>
    <w:rsid w:val="007F38D2"/>
    <w:pPr>
      <w:keepNext/>
      <w:numPr>
        <w:ilvl w:val="1"/>
        <w:numId w:val="3"/>
      </w:numPr>
      <w:spacing w:before="120"/>
      <w:outlineLvl w:val="1"/>
    </w:pPr>
    <w:rPr>
      <w:rFonts w:ascii="Century Gothic" w:hAnsi="Century Gothic"/>
      <w:b/>
    </w:rPr>
  </w:style>
  <w:style w:type="paragraph" w:styleId="Ttulo3">
    <w:name w:val="heading 3"/>
    <w:basedOn w:val="Normal"/>
    <w:next w:val="Body"/>
    <w:qFormat/>
    <w:rsid w:val="007F38D2"/>
    <w:pPr>
      <w:keepNext/>
      <w:numPr>
        <w:ilvl w:val="2"/>
        <w:numId w:val="28"/>
      </w:numPr>
      <w:spacing w:before="240" w:after="120" w:line="276" w:lineRule="auto"/>
      <w:outlineLvl w:val="2"/>
    </w:pPr>
    <w:rPr>
      <w:rFonts w:ascii="Century Gothic" w:hAnsi="Century Gothic"/>
      <w:color w:val="003399"/>
      <w:sz w:val="22"/>
      <w:lang w:val="es-ES"/>
    </w:rPr>
  </w:style>
  <w:style w:type="paragraph" w:styleId="Ttulo4">
    <w:name w:val="heading 4"/>
    <w:basedOn w:val="Normal"/>
    <w:next w:val="Body"/>
    <w:qFormat/>
    <w:rsid w:val="007F38D2"/>
    <w:pPr>
      <w:keepNext/>
      <w:numPr>
        <w:ilvl w:val="3"/>
        <w:numId w:val="28"/>
      </w:numPr>
      <w:spacing w:before="240" w:after="120" w:line="276" w:lineRule="auto"/>
      <w:outlineLvl w:val="3"/>
    </w:pPr>
    <w:rPr>
      <w:rFonts w:ascii="Century Gothic" w:hAnsi="Century Gothic"/>
      <w:b/>
      <w:color w:val="000000" w:themeColor="text1"/>
    </w:rPr>
  </w:style>
  <w:style w:type="paragraph" w:styleId="Ttulo5">
    <w:name w:val="heading 5"/>
    <w:basedOn w:val="Normal"/>
    <w:next w:val="Normal"/>
    <w:link w:val="Ttulo5Car"/>
    <w:qFormat/>
    <w:rsid w:val="007F38D2"/>
    <w:pPr>
      <w:numPr>
        <w:numId w:val="31"/>
      </w:numPr>
      <w:spacing w:before="240" w:after="60"/>
      <w:outlineLvl w:val="4"/>
    </w:pPr>
    <w:rPr>
      <w:rFonts w:ascii="Century Gothic" w:hAnsi="Century Gothic"/>
      <w:b/>
      <w:color w:val="003399"/>
    </w:rPr>
  </w:style>
  <w:style w:type="paragraph" w:styleId="Ttulo6">
    <w:name w:val="heading 6"/>
    <w:basedOn w:val="Normal"/>
    <w:next w:val="Normal"/>
    <w:qFormat/>
    <w:rsid w:val="00461D0A"/>
    <w:pPr>
      <w:tabs>
        <w:tab w:val="num" w:pos="0"/>
      </w:tabs>
      <w:spacing w:before="240" w:after="60"/>
      <w:outlineLvl w:val="5"/>
    </w:pPr>
    <w:rPr>
      <w:rFonts w:ascii="Arial" w:hAnsi="Arial"/>
      <w:i/>
      <w:sz w:val="22"/>
    </w:rPr>
  </w:style>
  <w:style w:type="paragraph" w:styleId="Ttulo7">
    <w:name w:val="heading 7"/>
    <w:basedOn w:val="Normal"/>
    <w:next w:val="Normal"/>
    <w:qFormat/>
    <w:rsid w:val="00461D0A"/>
    <w:pPr>
      <w:tabs>
        <w:tab w:val="num" w:pos="0"/>
      </w:tabs>
      <w:spacing w:before="240" w:after="60"/>
      <w:outlineLvl w:val="6"/>
    </w:pPr>
    <w:rPr>
      <w:rFonts w:ascii="Arial" w:hAnsi="Arial"/>
    </w:rPr>
  </w:style>
  <w:style w:type="paragraph" w:styleId="Ttulo8">
    <w:name w:val="heading 8"/>
    <w:basedOn w:val="Normal"/>
    <w:next w:val="Normal"/>
    <w:qFormat/>
    <w:rsid w:val="00461D0A"/>
    <w:pPr>
      <w:tabs>
        <w:tab w:val="num" w:pos="0"/>
      </w:tabs>
      <w:spacing w:before="240" w:after="60"/>
      <w:outlineLvl w:val="7"/>
    </w:pPr>
    <w:rPr>
      <w:rFonts w:ascii="Arial" w:hAnsi="Arial"/>
      <w:i/>
    </w:rPr>
  </w:style>
  <w:style w:type="paragraph" w:styleId="Ttulo9">
    <w:name w:val="heading 9"/>
    <w:aliases w:val="App Heading"/>
    <w:basedOn w:val="Normal"/>
    <w:next w:val="Normal"/>
    <w:uiPriority w:val="99"/>
    <w:qFormat/>
    <w:rsid w:val="00461D0A"/>
    <w:pPr>
      <w:tabs>
        <w:tab w:val="num" w:pos="0"/>
      </w:tabs>
      <w:spacing w:before="240" w:after="60"/>
      <w:outlineLvl w:val="8"/>
    </w:pPr>
    <w:rPr>
      <w:rFonts w:ascii="Arial" w:hAnsi="Arial"/>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1">
    <w:name w:val="Text 1"/>
    <w:basedOn w:val="Normal"/>
    <w:rsid w:val="00461D0A"/>
    <w:pPr>
      <w:ind w:left="482"/>
    </w:pPr>
  </w:style>
  <w:style w:type="character" w:customStyle="1" w:styleId="Ttulo1Car">
    <w:name w:val="Título 1 Car"/>
    <w:aliases w:val="chapitre Car,Titre 11 Car,t1.T1.Titre 1 Car,t1 Car,TITRE 1 SL Car"/>
    <w:basedOn w:val="Fuentedeprrafopredeter"/>
    <w:link w:val="Ttulo1"/>
    <w:rsid w:val="007F38D2"/>
    <w:rPr>
      <w:rFonts w:ascii="Century Gothic" w:hAnsi="Century Gothic"/>
      <w:b/>
      <w:smallCaps/>
      <w:lang w:val="en-GB" w:eastAsia="en-US"/>
    </w:rPr>
  </w:style>
  <w:style w:type="paragraph" w:customStyle="1" w:styleId="Text2">
    <w:name w:val="Text 2"/>
    <w:basedOn w:val="Normal"/>
    <w:rsid w:val="00461D0A"/>
    <w:pPr>
      <w:tabs>
        <w:tab w:val="left" w:pos="2302"/>
      </w:tabs>
      <w:ind w:left="1202"/>
    </w:pPr>
  </w:style>
  <w:style w:type="character" w:customStyle="1" w:styleId="Ttulo2Car">
    <w:name w:val="Título 2 Car"/>
    <w:aliases w:val="Niveau 2 Car,H2 Car,paragraphe Car,t2 Car,h2 Car"/>
    <w:basedOn w:val="Fuentedeprrafopredeter"/>
    <w:link w:val="Ttulo2"/>
    <w:rsid w:val="007F38D2"/>
    <w:rPr>
      <w:rFonts w:ascii="Century Gothic" w:hAnsi="Century Gothic"/>
      <w:b/>
      <w:lang w:val="en-GB" w:eastAsia="en-US"/>
    </w:r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Textodebloque">
    <w:name w:val="Block Text"/>
    <w:basedOn w:val="Normal"/>
    <w:rsid w:val="00461D0A"/>
    <w:pPr>
      <w:spacing w:after="120"/>
      <w:ind w:left="1440" w:right="1440"/>
    </w:pPr>
  </w:style>
  <w:style w:type="paragraph" w:styleId="Textoindependiente">
    <w:name w:val="Body Text"/>
    <w:basedOn w:val="Normal"/>
    <w:link w:val="TextoindependienteCar"/>
    <w:rsid w:val="00461D0A"/>
    <w:pPr>
      <w:spacing w:after="120"/>
    </w:pPr>
  </w:style>
  <w:style w:type="character" w:customStyle="1" w:styleId="TextoindependienteCar">
    <w:name w:val="Texto independiente Car"/>
    <w:basedOn w:val="Fuentedeprrafopredeter"/>
    <w:link w:val="Textoindependiente"/>
    <w:uiPriority w:val="99"/>
    <w:rsid w:val="009A5C2C"/>
    <w:rPr>
      <w:sz w:val="24"/>
      <w:lang w:val="fr-FR" w:eastAsia="en-US"/>
    </w:rPr>
  </w:style>
  <w:style w:type="paragraph" w:styleId="Textoindependiente2">
    <w:name w:val="Body Text 2"/>
    <w:basedOn w:val="Normal"/>
    <w:rsid w:val="00461D0A"/>
    <w:pPr>
      <w:spacing w:after="120" w:line="480" w:lineRule="auto"/>
    </w:pPr>
  </w:style>
  <w:style w:type="paragraph" w:styleId="Textoindependiente3">
    <w:name w:val="Body Text 3"/>
    <w:basedOn w:val="Normal"/>
    <w:rsid w:val="00461D0A"/>
    <w:pPr>
      <w:spacing w:after="120"/>
    </w:pPr>
    <w:rPr>
      <w:sz w:val="16"/>
    </w:rPr>
  </w:style>
  <w:style w:type="paragraph" w:styleId="Textoindependienteprimerasangra">
    <w:name w:val="Body Text First Indent"/>
    <w:basedOn w:val="Textoindependiente"/>
    <w:rsid w:val="00461D0A"/>
    <w:pPr>
      <w:ind w:firstLine="210"/>
    </w:pPr>
  </w:style>
  <w:style w:type="paragraph" w:styleId="Sangradetextonormal">
    <w:name w:val="Body Text Indent"/>
    <w:basedOn w:val="Normal"/>
    <w:rsid w:val="00461D0A"/>
    <w:pPr>
      <w:spacing w:after="120"/>
      <w:ind w:left="283"/>
    </w:pPr>
  </w:style>
  <w:style w:type="paragraph" w:styleId="Textoindependienteprimerasangra2">
    <w:name w:val="Body Text First Indent 2"/>
    <w:basedOn w:val="Sangradetextonormal"/>
    <w:rsid w:val="00461D0A"/>
    <w:pPr>
      <w:ind w:firstLine="210"/>
    </w:pPr>
  </w:style>
  <w:style w:type="paragraph" w:styleId="Sangra2detindependiente">
    <w:name w:val="Body Text Indent 2"/>
    <w:basedOn w:val="Normal"/>
    <w:rsid w:val="00461D0A"/>
    <w:pPr>
      <w:spacing w:after="120" w:line="480" w:lineRule="auto"/>
      <w:ind w:left="283"/>
    </w:pPr>
  </w:style>
  <w:style w:type="paragraph" w:styleId="Sangra3detindependiente">
    <w:name w:val="Body Text Indent 3"/>
    <w:basedOn w:val="Normal"/>
    <w:rsid w:val="00461D0A"/>
    <w:pPr>
      <w:spacing w:after="120"/>
      <w:ind w:left="283"/>
    </w:pPr>
    <w:rPr>
      <w:sz w:val="16"/>
    </w:rPr>
  </w:style>
  <w:style w:type="paragraph" w:styleId="Descripcin">
    <w:name w:val="caption"/>
    <w:aliases w:val="Caption1 Char Char Char Char Char Char Char Char,Caption1 Char Char Char Char Char Char Char Char Tegn Tegn Tegn Tegn Tegn,Caption1 Char Char Char Char Char Char Char Char Tegn Tegn Tegn,Char Char, Char Char Char,Tabelkop,Char"/>
    <w:basedOn w:val="Normal"/>
    <w:next w:val="Normal"/>
    <w:link w:val="DescripcinCar"/>
    <w:rsid w:val="00461D0A"/>
    <w:pPr>
      <w:spacing w:before="120" w:after="120"/>
    </w:pPr>
    <w:rPr>
      <w:b/>
    </w:rPr>
  </w:style>
  <w:style w:type="character" w:customStyle="1" w:styleId="DescripcinCar">
    <w:name w:val="Descripción Car"/>
    <w:aliases w:val="Caption1 Char Char Char Char Char Char Char Char Car,Caption1 Char Char Char Char Char Char Char Char Tegn Tegn Tegn Tegn Tegn Car,Caption1 Char Char Char Char Char Char Char Char Tegn Tegn Tegn Car,Char Char Car, Char Char Char Car"/>
    <w:basedOn w:val="Fuentedeprrafopredeter"/>
    <w:link w:val="Descripcin"/>
    <w:locked/>
    <w:rsid w:val="00846ADB"/>
    <w:rPr>
      <w:b/>
      <w:sz w:val="24"/>
      <w:lang w:val="en-GB" w:eastAsia="en-US"/>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Ttulo1"/>
    <w:rsid w:val="00461D0A"/>
    <w:pPr>
      <w:keepNext/>
      <w:spacing w:after="480"/>
      <w:jc w:val="center"/>
    </w:pPr>
    <w:rPr>
      <w:b/>
      <w:smallCaps/>
      <w:sz w:val="28"/>
    </w:rPr>
  </w:style>
  <w:style w:type="paragraph" w:styleId="Cierre">
    <w:name w:val="Closing"/>
    <w:basedOn w:val="Normal"/>
    <w:rsid w:val="00461D0A"/>
    <w:pPr>
      <w:ind w:left="4252"/>
    </w:pPr>
  </w:style>
  <w:style w:type="paragraph" w:styleId="Textocomentario">
    <w:name w:val="annotation text"/>
    <w:basedOn w:val="Normal"/>
    <w:link w:val="TextocomentarioCar"/>
    <w:rsid w:val="00461D0A"/>
  </w:style>
  <w:style w:type="character" w:customStyle="1" w:styleId="TextocomentarioCar">
    <w:name w:val="Texto comentario Car"/>
    <w:basedOn w:val="Fuentedeprrafopredeter"/>
    <w:link w:val="Textocomentario"/>
    <w:rsid w:val="00CD5BC5"/>
    <w:rPr>
      <w:lang w:val="fr-FR" w:eastAsia="en-US"/>
    </w:rPr>
  </w:style>
  <w:style w:type="paragraph" w:styleId="Fecha">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style>
  <w:style w:type="paragraph" w:styleId="Mapadeldocumento">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Textonotaalfinal">
    <w:name w:val="endnote text"/>
    <w:basedOn w:val="Normal"/>
    <w:semiHidden/>
    <w:rsid w:val="00461D0A"/>
  </w:style>
  <w:style w:type="paragraph" w:styleId="Direccinsobre">
    <w:name w:val="envelope address"/>
    <w:basedOn w:val="Normal"/>
    <w:rsid w:val="00461D0A"/>
    <w:pPr>
      <w:framePr w:w="7920" w:h="1980" w:hRule="exact" w:hSpace="180" w:wrap="auto" w:hAnchor="page" w:xAlign="center" w:yAlign="bottom"/>
      <w:spacing w:after="0"/>
    </w:pPr>
  </w:style>
  <w:style w:type="paragraph" w:styleId="Remitedesobre">
    <w:name w:val="envelope return"/>
    <w:basedOn w:val="Normal"/>
    <w:rsid w:val="00461D0A"/>
    <w:pPr>
      <w:spacing w:after="0"/>
    </w:pPr>
  </w:style>
  <w:style w:type="paragraph" w:styleId="Piedepgina">
    <w:name w:val="footer"/>
    <w:basedOn w:val="Normal"/>
    <w:link w:val="PiedepginaCar"/>
    <w:rsid w:val="00461D0A"/>
    <w:pPr>
      <w:spacing w:after="0"/>
      <w:ind w:right="-567"/>
      <w:jc w:val="left"/>
    </w:pPr>
    <w:rPr>
      <w:rFonts w:ascii="Arial" w:hAnsi="Arial"/>
      <w:sz w:val="16"/>
    </w:rPr>
  </w:style>
  <w:style w:type="character" w:customStyle="1" w:styleId="PiedepginaCar">
    <w:name w:val="Pie de página Car"/>
    <w:link w:val="Piedepgina"/>
    <w:rsid w:val="00EE60CF"/>
    <w:rPr>
      <w:rFonts w:ascii="Arial" w:hAnsi="Arial"/>
      <w:sz w:val="16"/>
      <w:lang w:val="fr-FR"/>
    </w:rPr>
  </w:style>
  <w:style w:type="paragraph" w:styleId="Textonotapie">
    <w:name w:val="footnote text"/>
    <w:aliases w:val="Schriftart: 9 pt,Schriftart: 10 pt,Schriftart: 8 pt,Podrozdział,Footnote,o,footnote text,Footnote Text Char Char,Fußnote,single space,FOOTNOTES,fn,Char Char Char,Note de bas de page2,Footnotes Char,footnote text Char,Footnotes,Char Cha,f"/>
    <w:basedOn w:val="Normal"/>
    <w:link w:val="TextonotapieCar"/>
    <w:qFormat/>
    <w:rsid w:val="00555A98"/>
    <w:pPr>
      <w:ind w:left="357" w:hanging="357"/>
    </w:pPr>
    <w:rPr>
      <w:rFonts w:ascii="Century Gothic" w:hAnsi="Century Gothic"/>
      <w:sz w:val="18"/>
      <w:lang w:val="es-ES"/>
    </w:rPr>
  </w:style>
  <w:style w:type="character" w:customStyle="1" w:styleId="TextonotapieCar">
    <w:name w:val="Texto nota pie Car"/>
    <w:aliases w:val="Schriftart: 9 pt Car,Schriftart: 10 pt Car,Schriftart: 8 pt Car,Podrozdział Car,Footnote Car,o Car,footnote text Car,Footnote Text Char Char Car,Fußnote Car,single space Car,FOOTNOTES Car,fn Car,Char Char Char Car,Footnotes Char Car"/>
    <w:basedOn w:val="Fuentedeprrafopredeter"/>
    <w:link w:val="Textonotapie"/>
    <w:rsid w:val="00555A98"/>
    <w:rPr>
      <w:rFonts w:ascii="Century Gothic" w:hAnsi="Century Gothic"/>
      <w:sz w:val="18"/>
      <w:lang w:val="es-ES" w:eastAsia="en-US"/>
    </w:rPr>
  </w:style>
  <w:style w:type="paragraph" w:styleId="Encabezado">
    <w:name w:val="header"/>
    <w:basedOn w:val="Normal"/>
    <w:link w:val="EncabezadoCar"/>
    <w:uiPriority w:val="99"/>
    <w:rsid w:val="00461D0A"/>
    <w:pPr>
      <w:tabs>
        <w:tab w:val="center" w:pos="4153"/>
        <w:tab w:val="right" w:pos="8306"/>
      </w:tabs>
    </w:pPr>
  </w:style>
  <w:style w:type="character" w:customStyle="1" w:styleId="EncabezadoCar">
    <w:name w:val="Encabezado Car"/>
    <w:link w:val="Encabezado"/>
    <w:uiPriority w:val="99"/>
    <w:rsid w:val="00EE60CF"/>
    <w:rPr>
      <w:sz w:val="24"/>
      <w:lang w:val="fr-FR"/>
    </w:rPr>
  </w:style>
  <w:style w:type="paragraph" w:styleId="ndice1">
    <w:name w:val="index 1"/>
    <w:basedOn w:val="Normal"/>
    <w:next w:val="Normal"/>
    <w:autoRedefine/>
    <w:semiHidden/>
    <w:rsid w:val="00461D0A"/>
    <w:pPr>
      <w:ind w:left="240" w:hanging="240"/>
    </w:pPr>
  </w:style>
  <w:style w:type="paragraph" w:styleId="ndice2">
    <w:name w:val="index 2"/>
    <w:basedOn w:val="Normal"/>
    <w:next w:val="Normal"/>
    <w:autoRedefine/>
    <w:semiHidden/>
    <w:rsid w:val="00461D0A"/>
    <w:pPr>
      <w:ind w:left="480" w:hanging="240"/>
    </w:pPr>
  </w:style>
  <w:style w:type="paragraph" w:styleId="ndice3">
    <w:name w:val="index 3"/>
    <w:basedOn w:val="Normal"/>
    <w:next w:val="Normal"/>
    <w:autoRedefine/>
    <w:semiHidden/>
    <w:rsid w:val="00461D0A"/>
    <w:pPr>
      <w:ind w:left="720" w:hanging="240"/>
    </w:pPr>
  </w:style>
  <w:style w:type="paragraph" w:styleId="ndice4">
    <w:name w:val="index 4"/>
    <w:basedOn w:val="Normal"/>
    <w:next w:val="Normal"/>
    <w:autoRedefine/>
    <w:semiHidden/>
    <w:rsid w:val="00461D0A"/>
    <w:pPr>
      <w:ind w:left="960" w:hanging="240"/>
    </w:pPr>
  </w:style>
  <w:style w:type="paragraph" w:styleId="ndice5">
    <w:name w:val="index 5"/>
    <w:basedOn w:val="Normal"/>
    <w:next w:val="Normal"/>
    <w:autoRedefine/>
    <w:semiHidden/>
    <w:rsid w:val="00461D0A"/>
    <w:pPr>
      <w:ind w:left="1200" w:hanging="240"/>
    </w:pPr>
  </w:style>
  <w:style w:type="paragraph" w:styleId="ndice6">
    <w:name w:val="index 6"/>
    <w:basedOn w:val="Normal"/>
    <w:next w:val="Normal"/>
    <w:autoRedefine/>
    <w:semiHidden/>
    <w:rsid w:val="00461D0A"/>
    <w:pPr>
      <w:ind w:left="1440" w:hanging="240"/>
    </w:pPr>
  </w:style>
  <w:style w:type="paragraph" w:styleId="ndice7">
    <w:name w:val="index 7"/>
    <w:basedOn w:val="Normal"/>
    <w:next w:val="Normal"/>
    <w:autoRedefine/>
    <w:semiHidden/>
    <w:rsid w:val="00461D0A"/>
    <w:pPr>
      <w:ind w:left="1680" w:hanging="240"/>
    </w:pPr>
  </w:style>
  <w:style w:type="paragraph" w:styleId="ndice8">
    <w:name w:val="index 8"/>
    <w:basedOn w:val="Normal"/>
    <w:next w:val="Normal"/>
    <w:autoRedefine/>
    <w:semiHidden/>
    <w:rsid w:val="00461D0A"/>
    <w:pPr>
      <w:ind w:left="1920" w:hanging="240"/>
    </w:pPr>
  </w:style>
  <w:style w:type="paragraph" w:styleId="ndice9">
    <w:name w:val="index 9"/>
    <w:basedOn w:val="Normal"/>
    <w:next w:val="Normal"/>
    <w:autoRedefine/>
    <w:semiHidden/>
    <w:rsid w:val="00461D0A"/>
    <w:pPr>
      <w:ind w:left="2160" w:hanging="240"/>
    </w:pPr>
  </w:style>
  <w:style w:type="paragraph" w:styleId="Ttulodendice">
    <w:name w:val="index heading"/>
    <w:basedOn w:val="Normal"/>
    <w:next w:val="ndice1"/>
    <w:semiHidden/>
    <w:rsid w:val="00461D0A"/>
    <w:rPr>
      <w:rFonts w:ascii="Arial" w:hAnsi="Arial"/>
      <w:b/>
    </w:rPr>
  </w:style>
  <w:style w:type="paragraph" w:styleId="Lista">
    <w:name w:val="List"/>
    <w:basedOn w:val="Normal"/>
    <w:rsid w:val="00461D0A"/>
    <w:pPr>
      <w:ind w:left="283" w:hanging="283"/>
    </w:pPr>
  </w:style>
  <w:style w:type="paragraph" w:styleId="Lista2">
    <w:name w:val="List 2"/>
    <w:basedOn w:val="Normal"/>
    <w:rsid w:val="00461D0A"/>
    <w:pPr>
      <w:ind w:left="566" w:hanging="283"/>
    </w:pPr>
  </w:style>
  <w:style w:type="paragraph" w:styleId="Lista3">
    <w:name w:val="List 3"/>
    <w:basedOn w:val="Normal"/>
    <w:rsid w:val="00461D0A"/>
    <w:pPr>
      <w:ind w:left="849" w:hanging="283"/>
    </w:pPr>
  </w:style>
  <w:style w:type="paragraph" w:styleId="Lista4">
    <w:name w:val="List 4"/>
    <w:basedOn w:val="Normal"/>
    <w:rsid w:val="00461D0A"/>
    <w:pPr>
      <w:ind w:left="1132" w:hanging="283"/>
    </w:pPr>
  </w:style>
  <w:style w:type="paragraph" w:styleId="Lista5">
    <w:name w:val="List 5"/>
    <w:basedOn w:val="Normal"/>
    <w:rsid w:val="00461D0A"/>
    <w:pPr>
      <w:ind w:left="1415" w:hanging="283"/>
    </w:pPr>
  </w:style>
  <w:style w:type="paragraph" w:styleId="Listaconvietas">
    <w:name w:val="List Bullet"/>
    <w:basedOn w:val="Normal"/>
    <w:rsid w:val="00577EC6"/>
    <w:pPr>
      <w:numPr>
        <w:numId w:val="4"/>
      </w:numPr>
    </w:pPr>
  </w:style>
  <w:style w:type="paragraph" w:styleId="Listaconvietas2">
    <w:name w:val="List Bullet 2"/>
    <w:basedOn w:val="Text2"/>
    <w:rsid w:val="00577EC6"/>
    <w:pPr>
      <w:numPr>
        <w:numId w:val="6"/>
      </w:numPr>
      <w:tabs>
        <w:tab w:val="clear" w:pos="2302"/>
      </w:tabs>
    </w:pPr>
  </w:style>
  <w:style w:type="paragraph" w:styleId="Listaconvietas3">
    <w:name w:val="List Bullet 3"/>
    <w:basedOn w:val="Text3"/>
    <w:rsid w:val="00577EC6"/>
    <w:pPr>
      <w:numPr>
        <w:numId w:val="7"/>
      </w:numPr>
      <w:tabs>
        <w:tab w:val="clear" w:pos="2302"/>
      </w:tabs>
    </w:pPr>
  </w:style>
  <w:style w:type="paragraph" w:styleId="Listaconvietas4">
    <w:name w:val="List Bullet 4"/>
    <w:basedOn w:val="Text4"/>
    <w:rsid w:val="00577EC6"/>
    <w:pPr>
      <w:numPr>
        <w:numId w:val="8"/>
      </w:numPr>
      <w:tabs>
        <w:tab w:val="clear" w:pos="2302"/>
      </w:tabs>
    </w:pPr>
  </w:style>
  <w:style w:type="paragraph" w:styleId="Listaconvietas5">
    <w:name w:val="List Bullet 5"/>
    <w:basedOn w:val="Normal"/>
    <w:autoRedefine/>
    <w:rsid w:val="00577EC6"/>
    <w:pPr>
      <w:numPr>
        <w:numId w:val="1"/>
      </w:numPr>
    </w:pPr>
  </w:style>
  <w:style w:type="paragraph" w:styleId="Continuarlista">
    <w:name w:val="List Continue"/>
    <w:basedOn w:val="Normal"/>
    <w:rsid w:val="00461D0A"/>
    <w:pPr>
      <w:spacing w:after="120"/>
      <w:ind w:left="283"/>
    </w:pPr>
  </w:style>
  <w:style w:type="paragraph" w:styleId="Continuarlista2">
    <w:name w:val="List Continue 2"/>
    <w:basedOn w:val="Normal"/>
    <w:rsid w:val="00461D0A"/>
    <w:pPr>
      <w:spacing w:after="120"/>
      <w:ind w:left="566"/>
    </w:pPr>
  </w:style>
  <w:style w:type="paragraph" w:styleId="Continuarlista3">
    <w:name w:val="List Continue 3"/>
    <w:basedOn w:val="Normal"/>
    <w:rsid w:val="00461D0A"/>
    <w:pPr>
      <w:spacing w:after="120"/>
      <w:ind w:left="849"/>
    </w:pPr>
  </w:style>
  <w:style w:type="paragraph" w:styleId="Continuarlista4">
    <w:name w:val="List Continue 4"/>
    <w:basedOn w:val="Normal"/>
    <w:rsid w:val="00461D0A"/>
    <w:pPr>
      <w:spacing w:after="120"/>
      <w:ind w:left="1132"/>
    </w:pPr>
  </w:style>
  <w:style w:type="paragraph" w:styleId="Continuarlista5">
    <w:name w:val="List Continue 5"/>
    <w:basedOn w:val="Normal"/>
    <w:rsid w:val="00461D0A"/>
    <w:pPr>
      <w:spacing w:after="120"/>
      <w:ind w:left="1415"/>
    </w:pPr>
  </w:style>
  <w:style w:type="paragraph" w:styleId="Listaconnmeros">
    <w:name w:val="List Number"/>
    <w:basedOn w:val="Normal"/>
    <w:rsid w:val="00577EC6"/>
    <w:pPr>
      <w:numPr>
        <w:numId w:val="14"/>
      </w:numPr>
    </w:pPr>
  </w:style>
  <w:style w:type="paragraph" w:styleId="Listaconnmeros2">
    <w:name w:val="List Number 2"/>
    <w:basedOn w:val="Text2"/>
    <w:rsid w:val="00577EC6"/>
    <w:pPr>
      <w:numPr>
        <w:numId w:val="16"/>
      </w:numPr>
      <w:tabs>
        <w:tab w:val="clear" w:pos="2302"/>
      </w:tabs>
    </w:pPr>
  </w:style>
  <w:style w:type="paragraph" w:styleId="Listaconnmeros3">
    <w:name w:val="List Number 3"/>
    <w:basedOn w:val="Text3"/>
    <w:rsid w:val="00577EC6"/>
    <w:pPr>
      <w:numPr>
        <w:numId w:val="17"/>
      </w:numPr>
      <w:tabs>
        <w:tab w:val="clear" w:pos="2302"/>
      </w:tabs>
    </w:pPr>
  </w:style>
  <w:style w:type="paragraph" w:styleId="Listaconnmeros4">
    <w:name w:val="List Number 4"/>
    <w:basedOn w:val="Text4"/>
    <w:rsid w:val="00577EC6"/>
    <w:pPr>
      <w:numPr>
        <w:numId w:val="18"/>
      </w:numPr>
      <w:tabs>
        <w:tab w:val="clear" w:pos="2302"/>
      </w:tabs>
    </w:pPr>
  </w:style>
  <w:style w:type="paragraph" w:styleId="Listaconnmeros5">
    <w:name w:val="List Number 5"/>
    <w:basedOn w:val="Normal"/>
    <w:rsid w:val="00577EC6"/>
    <w:pPr>
      <w:numPr>
        <w:numId w:val="2"/>
      </w:numPr>
    </w:pPr>
  </w:style>
  <w:style w:type="paragraph" w:styleId="Textomacro">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Encabezadodemensaje">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angranormal">
    <w:name w:val="Normal Indent"/>
    <w:basedOn w:val="Normal"/>
    <w:link w:val="SangranormalCar"/>
    <w:rsid w:val="00461D0A"/>
    <w:pPr>
      <w:ind w:left="720"/>
    </w:pPr>
  </w:style>
  <w:style w:type="character" w:customStyle="1" w:styleId="SangranormalCar">
    <w:name w:val="Sangría normal Car"/>
    <w:link w:val="Sangranormal"/>
    <w:rsid w:val="007A4813"/>
    <w:rPr>
      <w:sz w:val="24"/>
      <w:lang w:val="fr-FR"/>
    </w:rPr>
  </w:style>
  <w:style w:type="paragraph" w:styleId="Encabezadodenota">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Ttulo1"/>
    <w:next w:val="Text1"/>
    <w:rsid w:val="00577EC6"/>
    <w:pPr>
      <w:keepNext w:val="0"/>
      <w:spacing w:before="0"/>
      <w:outlineLvl w:val="9"/>
    </w:pPr>
    <w:rPr>
      <w:b w:val="0"/>
      <w:smallCaps w:val="0"/>
    </w:rPr>
  </w:style>
  <w:style w:type="paragraph" w:customStyle="1" w:styleId="NumPar2">
    <w:name w:val="NumPar 2"/>
    <w:basedOn w:val="Ttulo2"/>
    <w:next w:val="Text2"/>
    <w:rsid w:val="00577EC6"/>
    <w:pPr>
      <w:keepNext w:val="0"/>
      <w:outlineLvl w:val="9"/>
    </w:pPr>
    <w:rPr>
      <w:b w:val="0"/>
    </w:rPr>
  </w:style>
  <w:style w:type="paragraph" w:customStyle="1" w:styleId="NumPar3">
    <w:name w:val="NumPar 3"/>
    <w:basedOn w:val="Ttulo3"/>
    <w:next w:val="Text3"/>
    <w:rsid w:val="00577EC6"/>
    <w:pPr>
      <w:keepNext w:val="0"/>
      <w:outlineLvl w:val="9"/>
    </w:pPr>
    <w:rPr>
      <w:i/>
    </w:rPr>
  </w:style>
  <w:style w:type="paragraph" w:customStyle="1" w:styleId="NumPar4">
    <w:name w:val="NumPar 4"/>
    <w:basedOn w:val="Ttulo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Textosinformato">
    <w:name w:val="Plain Text"/>
    <w:basedOn w:val="Normal"/>
    <w:rsid w:val="00461D0A"/>
    <w:rPr>
      <w:rFonts w:ascii="Courier New" w:hAnsi="Courier New"/>
    </w:rPr>
  </w:style>
  <w:style w:type="paragraph" w:styleId="Saludo">
    <w:name w:val="Salutation"/>
    <w:basedOn w:val="Normal"/>
    <w:next w:val="Normal"/>
    <w:rsid w:val="00461D0A"/>
  </w:style>
  <w:style w:type="paragraph" w:styleId="Firma">
    <w:name w:val="Signature"/>
    <w:basedOn w:val="Normal"/>
    <w:next w:val="Enclosures"/>
    <w:rsid w:val="00461D0A"/>
    <w:pPr>
      <w:tabs>
        <w:tab w:val="left" w:pos="5103"/>
      </w:tabs>
      <w:spacing w:before="1200" w:after="0"/>
      <w:ind w:left="5103"/>
      <w:jc w:val="center"/>
    </w:pPr>
  </w:style>
  <w:style w:type="paragraph" w:styleId="Subttulo">
    <w:name w:val="Subtitle"/>
    <w:basedOn w:val="Normal"/>
    <w:qFormat/>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extoconsangra">
    <w:name w:val="table of authorities"/>
    <w:basedOn w:val="Normal"/>
    <w:next w:val="Normal"/>
    <w:semiHidden/>
    <w:rsid w:val="00461D0A"/>
    <w:pPr>
      <w:ind w:left="240" w:hanging="240"/>
    </w:pPr>
  </w:style>
  <w:style w:type="paragraph" w:styleId="Tabladeilustraciones">
    <w:name w:val="table of figures"/>
    <w:basedOn w:val="Normal"/>
    <w:next w:val="Normal"/>
    <w:uiPriority w:val="99"/>
    <w:rsid w:val="00C67258"/>
    <w:pPr>
      <w:spacing w:after="120"/>
      <w:ind w:left="482" w:hanging="482"/>
    </w:pPr>
    <w:rPr>
      <w:rFonts w:ascii="Century Gothic" w:hAnsi="Century Gothic"/>
      <w:sz w:val="18"/>
    </w:rPr>
  </w:style>
  <w:style w:type="paragraph" w:styleId="Puesto">
    <w:name w:val="Title"/>
    <w:basedOn w:val="Normal"/>
    <w:next w:val="SubTitle1"/>
    <w:qFormat/>
    <w:rsid w:val="00461D0A"/>
    <w:pPr>
      <w:spacing w:after="480"/>
      <w:jc w:val="center"/>
    </w:pPr>
    <w:rPr>
      <w:b/>
      <w:kern w:val="28"/>
      <w:sz w:val="48"/>
    </w:rPr>
  </w:style>
  <w:style w:type="paragraph" w:styleId="Encabezadodelista">
    <w:name w:val="toa heading"/>
    <w:basedOn w:val="Normal"/>
    <w:next w:val="Normal"/>
    <w:semiHidden/>
    <w:rsid w:val="00461D0A"/>
    <w:pPr>
      <w:spacing w:before="120"/>
    </w:pPr>
    <w:rPr>
      <w:rFonts w:ascii="Arial" w:hAnsi="Arial"/>
      <w:b/>
    </w:rPr>
  </w:style>
  <w:style w:type="paragraph" w:styleId="TDC1">
    <w:name w:val="toc 1"/>
    <w:basedOn w:val="Normal"/>
    <w:next w:val="Normal"/>
    <w:uiPriority w:val="39"/>
    <w:qFormat/>
    <w:rsid w:val="003911FA"/>
    <w:pPr>
      <w:tabs>
        <w:tab w:val="right" w:leader="dot" w:pos="8640"/>
      </w:tabs>
      <w:spacing w:before="120" w:after="120"/>
      <w:ind w:left="482" w:right="720" w:hanging="482"/>
    </w:pPr>
    <w:rPr>
      <w:rFonts w:ascii="Century Gothic" w:hAnsi="Century Gothic"/>
      <w:caps/>
    </w:rPr>
  </w:style>
  <w:style w:type="paragraph" w:styleId="TDC2">
    <w:name w:val="toc 2"/>
    <w:basedOn w:val="Normal"/>
    <w:next w:val="Normal"/>
    <w:uiPriority w:val="39"/>
    <w:qFormat/>
    <w:rsid w:val="003911FA"/>
    <w:pPr>
      <w:tabs>
        <w:tab w:val="right" w:leader="dot" w:pos="8640"/>
      </w:tabs>
      <w:spacing w:before="60" w:after="60"/>
      <w:ind w:left="1077" w:right="720" w:hanging="595"/>
    </w:pPr>
    <w:rPr>
      <w:rFonts w:ascii="Century Gothic" w:hAnsi="Century Gothic"/>
      <w:sz w:val="18"/>
    </w:rPr>
  </w:style>
  <w:style w:type="paragraph" w:styleId="TDC3">
    <w:name w:val="toc 3"/>
    <w:basedOn w:val="Normal"/>
    <w:next w:val="Normal"/>
    <w:uiPriority w:val="39"/>
    <w:qFormat/>
    <w:rsid w:val="003911FA"/>
    <w:pPr>
      <w:tabs>
        <w:tab w:val="right" w:leader="dot" w:pos="8640"/>
      </w:tabs>
      <w:spacing w:before="60" w:after="60"/>
      <w:ind w:left="1916" w:right="720" w:hanging="839"/>
    </w:pPr>
    <w:rPr>
      <w:rFonts w:ascii="Century Gothic" w:hAnsi="Century Gothic"/>
      <w:sz w:val="18"/>
    </w:rPr>
  </w:style>
  <w:style w:type="paragraph" w:styleId="TDC4">
    <w:name w:val="toc 4"/>
    <w:basedOn w:val="Normal"/>
    <w:next w:val="Normal"/>
    <w:uiPriority w:val="39"/>
    <w:rsid w:val="003911FA"/>
    <w:pPr>
      <w:tabs>
        <w:tab w:val="right" w:leader="dot" w:pos="8641"/>
      </w:tabs>
      <w:spacing w:before="60" w:after="60"/>
      <w:ind w:left="2880" w:right="720" w:hanging="964"/>
    </w:pPr>
    <w:rPr>
      <w:rFonts w:ascii="Century Gothic" w:hAnsi="Century Gothic"/>
      <w:sz w:val="16"/>
    </w:rPr>
  </w:style>
  <w:style w:type="paragraph" w:styleId="TDC5">
    <w:name w:val="toc 5"/>
    <w:basedOn w:val="Normal"/>
    <w:next w:val="Normal"/>
    <w:uiPriority w:val="39"/>
    <w:rsid w:val="00461D0A"/>
    <w:pPr>
      <w:tabs>
        <w:tab w:val="right" w:leader="dot" w:pos="8641"/>
      </w:tabs>
      <w:spacing w:before="240" w:after="120"/>
      <w:ind w:right="720"/>
    </w:pPr>
    <w:rPr>
      <w:caps/>
    </w:rPr>
  </w:style>
  <w:style w:type="paragraph" w:styleId="TDC6">
    <w:name w:val="toc 6"/>
    <w:basedOn w:val="Normal"/>
    <w:next w:val="Normal"/>
    <w:autoRedefine/>
    <w:uiPriority w:val="39"/>
    <w:rsid w:val="00461D0A"/>
    <w:pPr>
      <w:ind w:left="1200"/>
    </w:pPr>
  </w:style>
  <w:style w:type="paragraph" w:styleId="TDC7">
    <w:name w:val="toc 7"/>
    <w:basedOn w:val="Normal"/>
    <w:next w:val="Normal"/>
    <w:autoRedefine/>
    <w:uiPriority w:val="39"/>
    <w:rsid w:val="00461D0A"/>
    <w:pPr>
      <w:ind w:left="1440"/>
    </w:pPr>
  </w:style>
  <w:style w:type="paragraph" w:styleId="TDC8">
    <w:name w:val="toc 8"/>
    <w:basedOn w:val="Normal"/>
    <w:next w:val="Normal"/>
    <w:autoRedefine/>
    <w:uiPriority w:val="39"/>
    <w:rsid w:val="00461D0A"/>
    <w:pPr>
      <w:ind w:left="1680"/>
    </w:pPr>
  </w:style>
  <w:style w:type="paragraph" w:styleId="TDC9">
    <w:name w:val="toc 9"/>
    <w:basedOn w:val="Normal"/>
    <w:next w:val="Normal"/>
    <w:autoRedefine/>
    <w:uiPriority w:val="39"/>
    <w:rsid w:val="00461D0A"/>
    <w:pPr>
      <w:ind w:left="1920"/>
    </w:p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ipervnculo">
    <w:name w:val="Hyperlink"/>
    <w:aliases w:val="Hyperlink - Header"/>
    <w:uiPriority w:val="99"/>
    <w:rsid w:val="006914AD"/>
    <w:rPr>
      <w:color w:val="0000FF"/>
      <w:u w:val="single"/>
    </w:rPr>
  </w:style>
  <w:style w:type="character" w:styleId="Refdenotaalpie">
    <w:name w:val="footnote reference"/>
    <w:aliases w:val="Footnote Refernece,BVI fnr,Fußnotenzeichen_Raxen,callout,Footnote Reference Number, BVI fnr,SUPERS,Footnote symbol,Footnote reference number,Times 10 Point,Exposant 3 Point,EN Footnote Reference,note TESI,-E Fußnotenzeichen,Ref,E,S"/>
    <w:uiPriority w:val="99"/>
    <w:qFormat/>
    <w:rsid w:val="00CD08CF"/>
    <w:rPr>
      <w:vertAlign w:val="superscript"/>
    </w:rPr>
  </w:style>
  <w:style w:type="table" w:styleId="Cuadrculavistosa-nfasis3">
    <w:name w:val="Colorful Grid Accent 3"/>
    <w:basedOn w:val="Tabla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xtodeglobo">
    <w:name w:val="Balloon Text"/>
    <w:basedOn w:val="Normal"/>
    <w:link w:val="TextodegloboCar"/>
    <w:rsid w:val="00E52A1D"/>
    <w:rPr>
      <w:rFonts w:ascii="Tahoma" w:hAnsi="Tahoma" w:cs="Tahoma"/>
      <w:sz w:val="16"/>
      <w:szCs w:val="16"/>
    </w:rPr>
  </w:style>
  <w:style w:type="character" w:customStyle="1" w:styleId="TextodegloboCar">
    <w:name w:val="Texto de globo Car"/>
    <w:basedOn w:val="Fuentedeprrafopredeter"/>
    <w:link w:val="Textodeglobo"/>
    <w:rsid w:val="009A5C2C"/>
    <w:rPr>
      <w:rFonts w:ascii="Tahoma" w:hAnsi="Tahoma" w:cs="Tahoma"/>
      <w:sz w:val="16"/>
      <w:szCs w:val="16"/>
      <w:lang w:val="fr-FR" w:eastAsia="en-US"/>
    </w:rPr>
  </w:style>
  <w:style w:type="paragraph" w:customStyle="1" w:styleId="DocumentTitle">
    <w:name w:val="Document Title"/>
    <w:basedOn w:val="Normal"/>
    <w:link w:val="DocumentTitleChar"/>
    <w:qFormat/>
    <w:rsid w:val="001E6AC6"/>
    <w:pPr>
      <w:jc w:val="center"/>
    </w:pPr>
    <w:rPr>
      <w:b/>
      <w:sz w:val="52"/>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approval">
    <w:name w:val="Footer approval"/>
    <w:basedOn w:val="Piedepgina"/>
    <w:link w:val="ApprovalfooterChar"/>
    <w:qFormat/>
    <w:rsid w:val="00ED7D13"/>
    <w:pPr>
      <w:tabs>
        <w:tab w:val="left" w:pos="6804"/>
      </w:tabs>
    </w:pPr>
    <w:rPr>
      <w:rFonts w:ascii="Verdana" w:hAnsi="Verdana"/>
      <w:sz w:val="13"/>
      <w:lang w:val="fr-BE"/>
    </w:rPr>
  </w:style>
  <w:style w:type="character" w:customStyle="1" w:styleId="ApprovalfooterChar">
    <w:name w:val="Approval_footer Char"/>
    <w:basedOn w:val="PiedepginaCar"/>
    <w:link w:val="Footerapproval"/>
    <w:rsid w:val="00EE60CF"/>
    <w:rPr>
      <w:rFonts w:ascii="Arial" w:hAnsi="Arial"/>
      <w:sz w:val="16"/>
      <w:lang w:val="fr-FR"/>
    </w:rPr>
  </w:style>
  <w:style w:type="paragraph" w:customStyle="1" w:styleId="FooterDate">
    <w:name w:val="Footer Date"/>
    <w:basedOn w:val="Piedepgina"/>
    <w:link w:val="FooterDateChar"/>
    <w:rsid w:val="00EE60CF"/>
    <w:pPr>
      <w:tabs>
        <w:tab w:val="right" w:pos="9240"/>
      </w:tabs>
    </w:pPr>
    <w:rPr>
      <w:rFonts w:ascii="Verdana" w:hAnsi="Verdana"/>
      <w:lang w:val="it-IT"/>
    </w:rPr>
  </w:style>
  <w:style w:type="character" w:customStyle="1" w:styleId="FooterDateChar">
    <w:name w:val="Footer Date Char"/>
    <w:link w:val="FooterDate"/>
    <w:rsid w:val="00EE60CF"/>
    <w:rPr>
      <w:rFonts w:ascii="Verdana" w:hAnsi="Verdana"/>
      <w:sz w:val="16"/>
      <w:lang w:val="it-IT"/>
    </w:rPr>
  </w:style>
  <w:style w:type="paragraph" w:customStyle="1" w:styleId="PageNumber1">
    <w:name w:val="Page Number1"/>
    <w:basedOn w:val="Piedepgina"/>
    <w:link w:val="PagenumberChar"/>
    <w:rsid w:val="00EE60CF"/>
    <w:pPr>
      <w:tabs>
        <w:tab w:val="right" w:pos="9240"/>
      </w:tabs>
      <w:ind w:right="-622"/>
    </w:pPr>
    <w:rPr>
      <w:rFonts w:ascii="Verdana" w:hAnsi="Verdana"/>
      <w:lang w:val="fr-BE"/>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HeaderTitle">
    <w:name w:val="Header Title"/>
    <w:basedOn w:val="Normal"/>
    <w:link w:val="HeaderTitleChar"/>
    <w:rsid w:val="002A726D"/>
    <w:pPr>
      <w:jc w:val="center"/>
    </w:pPr>
    <w:rPr>
      <w:b/>
      <w:color w:val="808080"/>
      <w:sz w:val="18"/>
      <w:szCs w:val="18"/>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Bulletpoint1">
    <w:name w:val="Bullet point1"/>
    <w:basedOn w:val="Sangranormal"/>
    <w:link w:val="Bulletpoint1Char"/>
    <w:qFormat/>
    <w:rsid w:val="007F3473"/>
    <w:pPr>
      <w:numPr>
        <w:numId w:val="20"/>
      </w:numPr>
      <w:spacing w:after="120"/>
      <w:jc w:val="left"/>
    </w:pPr>
    <w:rPr>
      <w:sz w:val="18"/>
    </w:rPr>
  </w:style>
  <w:style w:type="character" w:customStyle="1" w:styleId="Bulletpoint1Char">
    <w:name w:val="Bullet point1 Char"/>
    <w:basedOn w:val="SangranormalCar"/>
    <w:link w:val="Bulletpoint1"/>
    <w:rsid w:val="007F3473"/>
    <w:rPr>
      <w:rFonts w:ascii="Verdana" w:hAnsi="Verdana"/>
      <w:sz w:val="18"/>
      <w:lang w:val="en-GB" w:eastAsia="en-US"/>
    </w:rPr>
  </w:style>
  <w:style w:type="paragraph" w:customStyle="1" w:styleId="Heading">
    <w:name w:val="Heading"/>
    <w:basedOn w:val="TDC1"/>
    <w:link w:val="HeadingChar"/>
    <w:qFormat/>
    <w:rsid w:val="009370CD"/>
    <w:pPr>
      <w:widowControl w:val="0"/>
      <w:autoSpaceDE w:val="0"/>
      <w:autoSpaceDN w:val="0"/>
      <w:adjustRightInd w:val="0"/>
      <w:spacing w:after="0"/>
      <w:ind w:left="0" w:firstLine="0"/>
      <w:jc w:val="left"/>
    </w:pPr>
    <w:rPr>
      <w:b/>
      <w:u w:val="single"/>
    </w:rPr>
  </w:style>
  <w:style w:type="character" w:customStyle="1" w:styleId="HeadingChar">
    <w:name w:val="Heading Char"/>
    <w:link w:val="Heading"/>
    <w:rsid w:val="00B14205"/>
    <w:rPr>
      <w:rFonts w:ascii="Verdana" w:hAnsi="Verdana"/>
      <w:b/>
      <w:caps/>
      <w:u w:val="single"/>
      <w:lang w:val="fr-FR"/>
    </w:rPr>
  </w:style>
  <w:style w:type="paragraph" w:customStyle="1" w:styleId="BulletPoint2">
    <w:name w:val="Bullet Point 2"/>
    <w:basedOn w:val="Sangranormal"/>
    <w:link w:val="BulletPoint2Char"/>
    <w:qFormat/>
    <w:rsid w:val="00577EC6"/>
    <w:pPr>
      <w:numPr>
        <w:numId w:val="19"/>
      </w:numPr>
      <w:spacing w:after="120"/>
      <w:ind w:left="1077" w:hanging="357"/>
      <w:jc w:val="left"/>
    </w:pPr>
    <w:rPr>
      <w:sz w:val="18"/>
    </w:rPr>
  </w:style>
  <w:style w:type="character" w:customStyle="1" w:styleId="BulletPoint2Char">
    <w:name w:val="Bullet Point 2 Char"/>
    <w:link w:val="BulletPoint2"/>
    <w:rsid w:val="00577EC6"/>
    <w:rPr>
      <w:rFonts w:ascii="Verdana" w:hAnsi="Verdana"/>
      <w:sz w:val="18"/>
      <w:lang w:val="en-GB" w:eastAsia="en-US"/>
    </w:rPr>
  </w:style>
  <w:style w:type="paragraph" w:customStyle="1" w:styleId="Body">
    <w:name w:val="Body"/>
    <w:basedOn w:val="Normal"/>
    <w:link w:val="BodyChar"/>
    <w:qFormat/>
    <w:rsid w:val="00200E7B"/>
    <w:pPr>
      <w:spacing w:after="200" w:line="276" w:lineRule="auto"/>
    </w:pPr>
    <w:rPr>
      <w:rFonts w:ascii="Century Gothic" w:hAnsi="Century Gothic"/>
      <w:lang w:val="es-ES"/>
    </w:rPr>
  </w:style>
  <w:style w:type="character" w:customStyle="1" w:styleId="BodyChar">
    <w:name w:val="Body Char"/>
    <w:link w:val="Body"/>
    <w:rsid w:val="00200E7B"/>
    <w:rPr>
      <w:rFonts w:ascii="Century Gothic" w:hAnsi="Century Gothic"/>
      <w:lang w:val="es-ES" w:eastAsia="en-US"/>
    </w:rPr>
  </w:style>
  <w:style w:type="paragraph" w:customStyle="1" w:styleId="Heading2">
    <w:name w:val="Heading2"/>
    <w:basedOn w:val="Title2"/>
    <w:link w:val="Heading2Char"/>
    <w:qFormat/>
    <w:rsid w:val="009370CD"/>
    <w:pPr>
      <w:numPr>
        <w:numId w:val="0"/>
      </w:numPr>
    </w:pPr>
    <w:rPr>
      <w:b/>
      <w:i/>
    </w:rPr>
  </w:style>
  <w:style w:type="paragraph" w:customStyle="1" w:styleId="Title2">
    <w:name w:val="Title 2"/>
    <w:basedOn w:val="Normal"/>
    <w:rsid w:val="00B14205"/>
    <w:pPr>
      <w:numPr>
        <w:numId w:val="21"/>
      </w:numPr>
    </w:pPr>
  </w:style>
  <w:style w:type="character" w:customStyle="1" w:styleId="Heading2Char">
    <w:name w:val="Heading2 Char"/>
    <w:link w:val="Heading2"/>
    <w:rsid w:val="009370CD"/>
    <w:rPr>
      <w:rFonts w:ascii="Verdana" w:hAnsi="Verdana"/>
      <w:b/>
      <w:i/>
      <w:sz w:val="24"/>
      <w:lang w:val="fr-FR" w:eastAsia="en-US"/>
    </w:rPr>
  </w:style>
  <w:style w:type="table" w:styleId="Tablaconcuadrcula">
    <w:name w:val="Table Grid"/>
    <w:aliases w:val="Document Table"/>
    <w:basedOn w:val="Tabla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tyle1">
    <w:name w:val="Style1"/>
    <w:basedOn w:val="Tablanormal"/>
    <w:rsid w:val="00EF7057"/>
    <w:tblPr/>
  </w:style>
  <w:style w:type="table" w:styleId="Tablaelegante">
    <w:name w:val="Table Elegant"/>
    <w:basedOn w:val="Tabla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tulodeTDC">
    <w:name w:val="TOC Heading"/>
    <w:basedOn w:val="Ttulo1"/>
    <w:next w:val="Normal"/>
    <w:uiPriority w:val="39"/>
    <w:unhideWhenUsed/>
    <w:qFormat/>
    <w:rsid w:val="005846FD"/>
    <w:pPr>
      <w:keepLines/>
      <w:numPr>
        <w:numId w:val="0"/>
      </w:numPr>
      <w:spacing w:before="480" w:after="0" w:line="276" w:lineRule="auto"/>
      <w:jc w:val="left"/>
      <w:outlineLvl w:val="9"/>
    </w:pPr>
    <w:rPr>
      <w:rFonts w:eastAsiaTheme="majorEastAsia" w:cstheme="majorBidi"/>
      <w:bCs/>
      <w:smallCaps w:val="0"/>
      <w:color w:val="365F91" w:themeColor="accent1" w:themeShade="BF"/>
      <w:sz w:val="28"/>
      <w:szCs w:val="28"/>
      <w:lang w:val="en-US"/>
    </w:rPr>
  </w:style>
  <w:style w:type="paragraph" w:customStyle="1" w:styleId="Subtitle">
    <w:name w:val="Subtitle_"/>
    <w:basedOn w:val="TDC2"/>
    <w:link w:val="SubtitleChar"/>
    <w:qFormat/>
    <w:rsid w:val="001D2A51"/>
    <w:pPr>
      <w:ind w:left="0" w:firstLine="0"/>
    </w:pPr>
    <w:rPr>
      <w:b/>
      <w:i/>
      <w:sz w:val="20"/>
    </w:rPr>
  </w:style>
  <w:style w:type="character" w:customStyle="1" w:styleId="SubtitleChar">
    <w:name w:val="Subtitle_ Char"/>
    <w:basedOn w:val="Heading2Char"/>
    <w:link w:val="Subtitle"/>
    <w:rsid w:val="001D2A51"/>
    <w:rPr>
      <w:rFonts w:ascii="Verdana" w:hAnsi="Verdana"/>
      <w:b/>
      <w:i/>
      <w:sz w:val="24"/>
      <w:lang w:val="fr-FR" w:eastAsia="en-US"/>
    </w:rPr>
  </w:style>
  <w:style w:type="paragraph" w:customStyle="1" w:styleId="HeadingBody">
    <w:name w:val="Heading Body"/>
    <w:basedOn w:val="Normal"/>
    <w:link w:val="HeadingBodyChar"/>
    <w:qFormat/>
    <w:rsid w:val="001D2A51"/>
    <w:pPr>
      <w:spacing w:after="120"/>
    </w:pPr>
    <w:rPr>
      <w:b/>
      <w:szCs w:val="18"/>
    </w:rPr>
  </w:style>
  <w:style w:type="character" w:customStyle="1" w:styleId="HeadingBodyChar">
    <w:name w:val="Heading Body Char"/>
    <w:basedOn w:val="Fuentedeprrafopredeter"/>
    <w:link w:val="HeadingBody"/>
    <w:rsid w:val="001D2A51"/>
    <w:rPr>
      <w:rFonts w:ascii="Verdana" w:hAnsi="Verdana"/>
      <w:b/>
      <w:szCs w:val="18"/>
      <w:lang w:val="en-GB" w:eastAsia="en-US"/>
    </w:rPr>
  </w:style>
  <w:style w:type="paragraph" w:customStyle="1" w:styleId="Titlepublication">
    <w:name w:val="Title publication"/>
    <w:basedOn w:val="Normal"/>
    <w:link w:val="TitlepublicationChar"/>
    <w:qFormat/>
    <w:rsid w:val="001D2A51"/>
    <w:pPr>
      <w:jc w:val="center"/>
    </w:pPr>
    <w:rPr>
      <w:b/>
      <w:color w:val="FF0000"/>
      <w:sz w:val="52"/>
      <w:szCs w:val="52"/>
    </w:rPr>
  </w:style>
  <w:style w:type="character" w:customStyle="1" w:styleId="TitlepublicationChar">
    <w:name w:val="Title publication Char"/>
    <w:basedOn w:val="Fuentedeprrafopredeter"/>
    <w:link w:val="Titlepublication"/>
    <w:rsid w:val="001D2A51"/>
    <w:rPr>
      <w:rFonts w:ascii="Verdana" w:hAnsi="Verdana"/>
      <w:b/>
      <w:color w:val="FF0000"/>
      <w:sz w:val="52"/>
      <w:szCs w:val="52"/>
      <w:lang w:val="en-GB" w:eastAsia="en-US"/>
    </w:rPr>
  </w:style>
  <w:style w:type="paragraph" w:customStyle="1" w:styleId="Subtitlepublication">
    <w:name w:val="Subtitle publication"/>
    <w:basedOn w:val="Normal"/>
    <w:link w:val="SubtitlepublicationChar"/>
    <w:qFormat/>
    <w:rsid w:val="003C7A25"/>
    <w:pPr>
      <w:jc w:val="center"/>
    </w:pPr>
    <w:rPr>
      <w:b/>
      <w:i/>
      <w:color w:val="FF0000"/>
      <w:sz w:val="32"/>
    </w:rPr>
  </w:style>
  <w:style w:type="character" w:customStyle="1" w:styleId="SubtitlepublicationChar">
    <w:name w:val="Subtitle publication Char"/>
    <w:basedOn w:val="Fuentedeprrafopredeter"/>
    <w:link w:val="Subtitlepublication"/>
    <w:rsid w:val="003C7A25"/>
    <w:rPr>
      <w:rFonts w:ascii="Verdana" w:hAnsi="Verdana"/>
      <w:b/>
      <w:i/>
      <w:color w:val="FF0000"/>
      <w:sz w:val="32"/>
      <w:lang w:val="en-GB" w:eastAsia="en-US"/>
    </w:rPr>
  </w:style>
  <w:style w:type="paragraph" w:customStyle="1" w:styleId="Editorname">
    <w:name w:val="Editor name"/>
    <w:basedOn w:val="Normal"/>
    <w:link w:val="EditornameChar"/>
    <w:qFormat/>
    <w:rsid w:val="001D2A51"/>
    <w:pPr>
      <w:jc w:val="center"/>
    </w:pPr>
    <w:rPr>
      <w:color w:val="FF0000"/>
    </w:rPr>
  </w:style>
  <w:style w:type="character" w:customStyle="1" w:styleId="EditornameChar">
    <w:name w:val="Editor name Char"/>
    <w:basedOn w:val="Fuentedeprrafopredeter"/>
    <w:link w:val="Editorname"/>
    <w:rsid w:val="001D2A51"/>
    <w:rPr>
      <w:rFonts w:ascii="Verdana" w:hAnsi="Verdana"/>
      <w:color w:val="FF0000"/>
      <w:sz w:val="24"/>
      <w:lang w:val="en-GB" w:eastAsia="en-US"/>
    </w:rPr>
  </w:style>
  <w:style w:type="paragraph" w:customStyle="1" w:styleId="Backcoversummary">
    <w:name w:val="Backcover_summary"/>
    <w:basedOn w:val="Normal"/>
    <w:link w:val="BackcoversummaryChar"/>
    <w:qFormat/>
    <w:rsid w:val="001D2A51"/>
    <w:rPr>
      <w:color w:val="FF0000"/>
    </w:rPr>
  </w:style>
  <w:style w:type="character" w:customStyle="1" w:styleId="BackcoversummaryChar">
    <w:name w:val="Backcover_summary Char"/>
    <w:basedOn w:val="Fuentedeprrafopredeter"/>
    <w:link w:val="Backcoversummary"/>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i/>
      <w:color w:val="FF0000"/>
      <w:sz w:val="18"/>
    </w:rPr>
  </w:style>
  <w:style w:type="character" w:customStyle="1" w:styleId="BackcovercategoryChar">
    <w:name w:val="Backcover_category Char"/>
    <w:basedOn w:val="Fuentedeprrafopredeter"/>
    <w:link w:val="Backcovercategory"/>
    <w:rsid w:val="001D2A51"/>
    <w:rPr>
      <w:rFonts w:ascii="Verdana" w:hAnsi="Verdana"/>
      <w:i/>
      <w:color w:val="FF0000"/>
      <w:sz w:val="18"/>
      <w:lang w:val="en-GB" w:eastAsia="en-US"/>
    </w:rPr>
  </w:style>
  <w:style w:type="paragraph" w:customStyle="1" w:styleId="Default">
    <w:name w:val="Default"/>
    <w:rsid w:val="005B2625"/>
    <w:pPr>
      <w:autoSpaceDE w:val="0"/>
      <w:autoSpaceDN w:val="0"/>
      <w:adjustRightInd w:val="0"/>
    </w:pPr>
    <w:rPr>
      <w:rFonts w:ascii="EC Square Sans Pro" w:hAnsi="EC Square Sans Pro" w:cs="EC Square Sans Pro"/>
      <w:color w:val="000000"/>
      <w:sz w:val="24"/>
      <w:szCs w:val="24"/>
      <w:lang w:val="en-GB"/>
    </w:rPr>
  </w:style>
  <w:style w:type="paragraph" w:customStyle="1" w:styleId="BasicParagraph">
    <w:name w:val="[Basic Paragraph]"/>
    <w:basedOn w:val="Normal"/>
    <w:uiPriority w:val="99"/>
    <w:rsid w:val="005B2625"/>
    <w:pPr>
      <w:autoSpaceDE w:val="0"/>
      <w:autoSpaceDN w:val="0"/>
      <w:adjustRightInd w:val="0"/>
      <w:spacing w:after="0" w:line="288" w:lineRule="auto"/>
      <w:jc w:val="left"/>
      <w:textAlignment w:val="center"/>
    </w:pPr>
    <w:rPr>
      <w:rFonts w:ascii="EC Square Sans Pro" w:hAnsi="EC Square Sans Pro"/>
      <w:color w:val="000000"/>
      <w:szCs w:val="24"/>
      <w:lang w:eastAsia="nl-BE"/>
    </w:rPr>
  </w:style>
  <w:style w:type="character" w:styleId="Refdecomentario">
    <w:name w:val="annotation reference"/>
    <w:basedOn w:val="Fuentedeprrafopredeter"/>
    <w:rsid w:val="00CD5BC5"/>
    <w:rPr>
      <w:sz w:val="16"/>
      <w:szCs w:val="16"/>
    </w:rPr>
  </w:style>
  <w:style w:type="paragraph" w:styleId="Asuntodelcomentario">
    <w:name w:val="annotation subject"/>
    <w:basedOn w:val="Textocomentario"/>
    <w:next w:val="Textocomentario"/>
    <w:link w:val="AsuntodelcomentarioCar"/>
    <w:rsid w:val="00CD5BC5"/>
    <w:rPr>
      <w:b/>
      <w:bCs/>
    </w:rPr>
  </w:style>
  <w:style w:type="character" w:customStyle="1" w:styleId="AsuntodelcomentarioCar">
    <w:name w:val="Asunto del comentario Car"/>
    <w:basedOn w:val="TextocomentarioCar"/>
    <w:link w:val="Asuntodelcomentario"/>
    <w:rsid w:val="00CD5BC5"/>
    <w:rPr>
      <w:b/>
      <w:bCs/>
      <w:lang w:val="fr-FR" w:eastAsia="en-US"/>
    </w:rPr>
  </w:style>
  <w:style w:type="paragraph" w:customStyle="1" w:styleId="TableTitle">
    <w:name w:val="Table Title"/>
    <w:basedOn w:val="Normal"/>
    <w:rsid w:val="009A5C2C"/>
    <w:pPr>
      <w:spacing w:after="0"/>
      <w:jc w:val="center"/>
    </w:pPr>
    <w:rPr>
      <w:rFonts w:ascii="Calibri" w:hAnsi="Calibri"/>
      <w:b/>
      <w:bCs/>
      <w:sz w:val="22"/>
      <w:lang w:eastAsia="en-GB"/>
    </w:rPr>
  </w:style>
  <w:style w:type="paragraph" w:customStyle="1" w:styleId="NormalLeftCol">
    <w:name w:val="Normal LeftCol"/>
    <w:basedOn w:val="Normal"/>
    <w:locked/>
    <w:rsid w:val="009A5C2C"/>
    <w:pPr>
      <w:pBdr>
        <w:bottom w:val="single" w:sz="6" w:space="1" w:color="auto"/>
        <w:right w:val="single" w:sz="6" w:space="1" w:color="auto"/>
      </w:pBdr>
      <w:shd w:val="pct10" w:color="auto" w:fill="auto"/>
      <w:overflowPunct w:val="0"/>
      <w:autoSpaceDE w:val="0"/>
      <w:autoSpaceDN w:val="0"/>
      <w:adjustRightInd w:val="0"/>
      <w:spacing w:after="120" w:line="276" w:lineRule="auto"/>
      <w:jc w:val="right"/>
      <w:textAlignment w:val="baseline"/>
    </w:pPr>
    <w:rPr>
      <w:rFonts w:ascii="Calibri" w:hAnsi="Calibri"/>
      <w:noProof/>
      <w:sz w:val="22"/>
      <w:szCs w:val="22"/>
      <w:lang w:eastAsia="en-GB"/>
    </w:rPr>
  </w:style>
  <w:style w:type="paragraph" w:customStyle="1" w:styleId="Glossary">
    <w:name w:val="Glossary"/>
    <w:basedOn w:val="Normal"/>
    <w:locked/>
    <w:rsid w:val="009A5C2C"/>
    <w:pPr>
      <w:tabs>
        <w:tab w:val="left" w:pos="2835"/>
      </w:tabs>
      <w:spacing w:after="120" w:line="276" w:lineRule="auto"/>
      <w:ind w:left="2835" w:hanging="2835"/>
    </w:pPr>
    <w:rPr>
      <w:rFonts w:ascii="Calibri" w:hAnsi="Calibri"/>
      <w:sz w:val="22"/>
      <w:szCs w:val="22"/>
      <w:lang w:eastAsia="en-GB"/>
    </w:rPr>
  </w:style>
  <w:style w:type="paragraph" w:customStyle="1" w:styleId="Participants">
    <w:name w:val="Participants"/>
    <w:basedOn w:val="Normal"/>
    <w:next w:val="Copies"/>
    <w:locked/>
    <w:rsid w:val="009A5C2C"/>
    <w:pPr>
      <w:tabs>
        <w:tab w:val="left" w:pos="2512"/>
        <w:tab w:val="left" w:pos="2762"/>
        <w:tab w:val="left" w:pos="5642"/>
        <w:tab w:val="left" w:pos="6362"/>
        <w:tab w:val="left" w:pos="6720"/>
      </w:tabs>
      <w:spacing w:before="480" w:after="0" w:line="276" w:lineRule="auto"/>
      <w:ind w:left="1792" w:hanging="1792"/>
    </w:pPr>
    <w:rPr>
      <w:rFonts w:ascii="Calibri" w:hAnsi="Calibri"/>
      <w:sz w:val="22"/>
      <w:szCs w:val="22"/>
      <w:lang w:eastAsia="en-GB"/>
    </w:rPr>
  </w:style>
  <w:style w:type="paragraph" w:customStyle="1" w:styleId="Copies">
    <w:name w:val="Copies"/>
    <w:basedOn w:val="Normal"/>
    <w:next w:val="Normal"/>
    <w:locked/>
    <w:rsid w:val="009A5C2C"/>
    <w:pPr>
      <w:tabs>
        <w:tab w:val="left" w:pos="2512"/>
        <w:tab w:val="left" w:pos="2762"/>
        <w:tab w:val="left" w:pos="5642"/>
        <w:tab w:val="left" w:pos="6362"/>
        <w:tab w:val="left" w:pos="6720"/>
      </w:tabs>
      <w:spacing w:before="480" w:after="0" w:line="276" w:lineRule="auto"/>
      <w:ind w:left="1792" w:hanging="1792"/>
    </w:pPr>
    <w:rPr>
      <w:rFonts w:ascii="Calibri" w:hAnsi="Calibri"/>
      <w:sz w:val="22"/>
      <w:szCs w:val="22"/>
      <w:lang w:eastAsia="en-GB"/>
    </w:rPr>
  </w:style>
  <w:style w:type="paragraph" w:customStyle="1" w:styleId="FITTable">
    <w:name w:val="FIT Table"/>
    <w:basedOn w:val="Normal"/>
    <w:locked/>
    <w:rsid w:val="009A5C2C"/>
    <w:pPr>
      <w:spacing w:before="60" w:after="60" w:line="276" w:lineRule="auto"/>
    </w:pPr>
    <w:rPr>
      <w:rFonts w:ascii="Calibri" w:hAnsi="Calibri"/>
      <w:sz w:val="22"/>
      <w:szCs w:val="22"/>
      <w:lang w:eastAsia="en-GB"/>
    </w:rPr>
  </w:style>
  <w:style w:type="paragraph" w:customStyle="1" w:styleId="Disclaimer">
    <w:name w:val="Disclaimer"/>
    <w:basedOn w:val="Normal"/>
    <w:locked/>
    <w:rsid w:val="009A5C2C"/>
    <w:pPr>
      <w:keepLines/>
      <w:pBdr>
        <w:top w:val="single" w:sz="4" w:space="1" w:color="auto"/>
      </w:pBdr>
      <w:spacing w:before="480" w:after="0" w:line="276" w:lineRule="auto"/>
    </w:pPr>
    <w:rPr>
      <w:rFonts w:ascii="Calibri" w:hAnsi="Calibri"/>
      <w:i/>
      <w:sz w:val="22"/>
      <w:szCs w:val="22"/>
      <w:lang w:eastAsia="en-GB"/>
    </w:rPr>
  </w:style>
  <w:style w:type="paragraph" w:styleId="Prrafodelista">
    <w:name w:val="List Paragraph"/>
    <w:aliases w:val="List Paragraph 1,Llista Nivell1,Lista de nivel 1,Lettre d'introduction,Table of contents numbered,Paragraphe de liste PBLH,BULLET 1,List Bulletized,List Paragraph Char Char,Bullet Points,Liste Paragraf,Listenabsatz1,Elenco Bullet point"/>
    <w:basedOn w:val="Normal"/>
    <w:link w:val="PrrafodelistaCar"/>
    <w:uiPriority w:val="34"/>
    <w:qFormat/>
    <w:rsid w:val="008F22D3"/>
    <w:pPr>
      <w:spacing w:after="120" w:line="276" w:lineRule="auto"/>
      <w:ind w:left="709"/>
    </w:pPr>
    <w:rPr>
      <w:szCs w:val="22"/>
      <w:lang w:eastAsia="en-GB"/>
    </w:rPr>
  </w:style>
  <w:style w:type="character" w:customStyle="1" w:styleId="PrrafodelistaCar">
    <w:name w:val="Párrafo de lista Car"/>
    <w:aliases w:val="List Paragraph 1 Car,Llista Nivell1 Car,Lista de nivel 1 Car,Lettre d'introduction Car,Table of contents numbered Car,Paragraphe de liste PBLH Car,BULLET 1 Car,List Bulletized Car,List Paragraph Char Char Car,Bullet Points Car"/>
    <w:basedOn w:val="Fuentedeprrafopredeter"/>
    <w:link w:val="Prrafodelista"/>
    <w:uiPriority w:val="34"/>
    <w:locked/>
    <w:rsid w:val="008F22D3"/>
    <w:rPr>
      <w:rFonts w:ascii="Verdana" w:hAnsi="Verdana"/>
      <w:szCs w:val="22"/>
      <w:lang w:val="en-GB" w:eastAsia="en-GB"/>
    </w:rPr>
  </w:style>
  <w:style w:type="character" w:styleId="Nmerodepgina">
    <w:name w:val="page number"/>
    <w:basedOn w:val="Fuentedeprrafopredeter"/>
    <w:rsid w:val="009A5C2C"/>
  </w:style>
  <w:style w:type="character" w:styleId="Textoennegrita">
    <w:name w:val="Strong"/>
    <w:basedOn w:val="Fuentedeprrafopredeter"/>
    <w:uiPriority w:val="22"/>
    <w:qFormat/>
    <w:rsid w:val="009A5C2C"/>
    <w:rPr>
      <w:b/>
    </w:rPr>
  </w:style>
  <w:style w:type="paragraph" w:customStyle="1" w:styleId="Heading1Annex">
    <w:name w:val="Heading 1 Annex"/>
    <w:basedOn w:val="Ttulo1"/>
    <w:next w:val="Normal"/>
    <w:rsid w:val="009A5C2C"/>
    <w:pPr>
      <w:keepLines/>
      <w:pageBreakBefore/>
      <w:numPr>
        <w:numId w:val="0"/>
      </w:numPr>
      <w:overflowPunct w:val="0"/>
      <w:autoSpaceDE w:val="0"/>
      <w:autoSpaceDN w:val="0"/>
      <w:adjustRightInd w:val="0"/>
      <w:spacing w:after="120" w:line="276" w:lineRule="auto"/>
      <w:textAlignment w:val="baseline"/>
    </w:pPr>
    <w:rPr>
      <w:rFonts w:ascii="Calibri" w:hAnsi="Calibri"/>
      <w:noProof/>
      <w:color w:val="003399"/>
      <w:sz w:val="36"/>
      <w:szCs w:val="22"/>
      <w:lang w:eastAsia="en-GB"/>
    </w:rPr>
  </w:style>
  <w:style w:type="paragraph" w:customStyle="1" w:styleId="HistoryTable">
    <w:name w:val="HistoryTable"/>
    <w:basedOn w:val="Normal"/>
    <w:locked/>
    <w:rsid w:val="009A5C2C"/>
    <w:pPr>
      <w:spacing w:before="60" w:after="60" w:line="276" w:lineRule="auto"/>
    </w:pPr>
    <w:rPr>
      <w:rFonts w:ascii="Calibri" w:hAnsi="Calibri"/>
      <w:szCs w:val="22"/>
      <w:lang w:eastAsia="fr-FR"/>
    </w:rPr>
  </w:style>
  <w:style w:type="character" w:styleId="nfasis">
    <w:name w:val="Emphasis"/>
    <w:basedOn w:val="Fuentedeprrafopredeter"/>
    <w:qFormat/>
    <w:rsid w:val="009A5C2C"/>
    <w:rPr>
      <w:i/>
    </w:rPr>
  </w:style>
  <w:style w:type="character" w:styleId="Refdenotaalfinal">
    <w:name w:val="endnote reference"/>
    <w:basedOn w:val="Fuentedeprrafopredeter"/>
    <w:semiHidden/>
    <w:rsid w:val="009A5C2C"/>
    <w:rPr>
      <w:vertAlign w:val="superscript"/>
    </w:rPr>
  </w:style>
  <w:style w:type="character" w:styleId="Hipervnculovisitado">
    <w:name w:val="FollowedHyperlink"/>
    <w:basedOn w:val="Fuentedeprrafopredeter"/>
    <w:rsid w:val="009A5C2C"/>
    <w:rPr>
      <w:color w:val="800080"/>
      <w:u w:val="single"/>
    </w:rPr>
  </w:style>
  <w:style w:type="character" w:styleId="Nmerodelnea">
    <w:name w:val="line number"/>
    <w:basedOn w:val="Fuentedeprrafopredeter"/>
    <w:rsid w:val="009A5C2C"/>
  </w:style>
  <w:style w:type="paragraph" w:customStyle="1" w:styleId="FooterLine">
    <w:name w:val="FooterLine"/>
    <w:basedOn w:val="Piedepgina"/>
    <w:next w:val="Piedepgina"/>
    <w:rsid w:val="009A5C2C"/>
    <w:pPr>
      <w:pBdr>
        <w:top w:val="single" w:sz="4" w:space="1" w:color="auto"/>
      </w:pBdr>
      <w:tabs>
        <w:tab w:val="right" w:pos="8647"/>
      </w:tabs>
      <w:spacing w:before="120" w:line="276" w:lineRule="auto"/>
      <w:ind w:right="0"/>
      <w:jc w:val="both"/>
    </w:pPr>
    <w:rPr>
      <w:szCs w:val="22"/>
      <w:lang w:val="fi-FI" w:eastAsia="en-GB"/>
    </w:rPr>
  </w:style>
  <w:style w:type="paragraph" w:customStyle="1" w:styleId="Citation">
    <w:name w:val="Citation"/>
    <w:basedOn w:val="Normal"/>
    <w:locked/>
    <w:rsid w:val="009A5C2C"/>
    <w:pPr>
      <w:spacing w:before="60" w:after="60" w:line="240" w:lineRule="atLeast"/>
      <w:ind w:left="454" w:right="454"/>
    </w:pPr>
    <w:rPr>
      <w:rFonts w:ascii="Calibri" w:hAnsi="Calibri"/>
      <w:i/>
      <w:sz w:val="22"/>
      <w:szCs w:val="22"/>
      <w:lang w:eastAsia="en-GB"/>
    </w:rPr>
  </w:style>
  <w:style w:type="paragraph" w:customStyle="1" w:styleId="brol">
    <w:name w:val="brol"/>
    <w:basedOn w:val="Normal"/>
    <w:next w:val="Listaconvietas2"/>
    <w:qFormat/>
    <w:locked/>
    <w:rsid w:val="009A5C2C"/>
    <w:pPr>
      <w:numPr>
        <w:numId w:val="25"/>
      </w:numPr>
      <w:spacing w:after="120" w:line="276" w:lineRule="auto"/>
      <w:ind w:left="992" w:hanging="357"/>
    </w:pPr>
    <w:rPr>
      <w:rFonts w:ascii="Calibri" w:hAnsi="Calibri"/>
      <w:sz w:val="22"/>
      <w:szCs w:val="22"/>
      <w:lang w:eastAsia="en-GB"/>
    </w:rPr>
  </w:style>
  <w:style w:type="paragraph" w:customStyle="1" w:styleId="brol3">
    <w:name w:val="brol3"/>
    <w:basedOn w:val="Listaconvietas2"/>
    <w:next w:val="Listaconvietas3"/>
    <w:qFormat/>
    <w:locked/>
    <w:rsid w:val="009A5C2C"/>
    <w:pPr>
      <w:numPr>
        <w:numId w:val="26"/>
      </w:numPr>
      <w:spacing w:after="120" w:line="276" w:lineRule="auto"/>
      <w:ind w:left="1560"/>
    </w:pPr>
    <w:rPr>
      <w:rFonts w:ascii="Calibri" w:hAnsi="Calibri"/>
      <w:sz w:val="22"/>
      <w:szCs w:val="22"/>
      <w:lang w:eastAsia="en-GB"/>
    </w:rPr>
  </w:style>
  <w:style w:type="paragraph" w:customStyle="1" w:styleId="Tabletext">
    <w:name w:val="Tabletext"/>
    <w:basedOn w:val="Normal"/>
    <w:locked/>
    <w:rsid w:val="009A5C2C"/>
    <w:pPr>
      <w:keepLines/>
      <w:widowControl w:val="0"/>
      <w:spacing w:after="120" w:line="240" w:lineRule="atLeast"/>
    </w:pPr>
    <w:rPr>
      <w:rFonts w:ascii="Calibri" w:hAnsi="Calibri"/>
      <w:szCs w:val="22"/>
      <w:lang w:val="en-US" w:eastAsia="en-GB"/>
    </w:rPr>
  </w:style>
  <w:style w:type="paragraph" w:customStyle="1" w:styleId="MainTitle">
    <w:name w:val="Main Title"/>
    <w:basedOn w:val="Normal"/>
    <w:locked/>
    <w:rsid w:val="009A5C2C"/>
    <w:pPr>
      <w:widowControl w:val="0"/>
      <w:spacing w:before="480" w:after="60" w:line="276" w:lineRule="auto"/>
      <w:jc w:val="center"/>
    </w:pPr>
    <w:rPr>
      <w:rFonts w:ascii="Arial" w:hAnsi="Arial"/>
      <w:b/>
      <w:kern w:val="28"/>
      <w:sz w:val="32"/>
      <w:szCs w:val="22"/>
      <w:lang w:val="en-US" w:eastAsia="en-GB"/>
    </w:rPr>
  </w:style>
  <w:style w:type="paragraph" w:customStyle="1" w:styleId="TableText0">
    <w:name w:val="Table Text"/>
    <w:basedOn w:val="Textoindependiente"/>
    <w:locked/>
    <w:rsid w:val="009A5C2C"/>
    <w:pPr>
      <w:overflowPunct w:val="0"/>
      <w:autoSpaceDE w:val="0"/>
      <w:autoSpaceDN w:val="0"/>
      <w:adjustRightInd w:val="0"/>
      <w:spacing w:after="0" w:line="276" w:lineRule="auto"/>
      <w:ind w:left="28" w:right="28"/>
    </w:pPr>
    <w:rPr>
      <w:rFonts w:ascii="Arial" w:hAnsi="Arial"/>
      <w:szCs w:val="22"/>
      <w:lang w:val="en-US" w:eastAsia="en-GB"/>
    </w:rPr>
  </w:style>
  <w:style w:type="character" w:customStyle="1" w:styleId="InfoBlueChar">
    <w:name w:val="InfoBlue Char"/>
    <w:basedOn w:val="Fuentedeprrafopredeter"/>
    <w:link w:val="InfoBlue"/>
    <w:locked/>
    <w:rsid w:val="009A5C2C"/>
    <w:rPr>
      <w:i/>
      <w:iCs/>
      <w:vanish/>
      <w:color w:val="0000FF"/>
      <w:shd w:val="pct15" w:color="auto" w:fill="auto"/>
      <w:lang w:val="en-GB" w:eastAsia="en-US"/>
    </w:rPr>
  </w:style>
  <w:style w:type="paragraph" w:customStyle="1" w:styleId="InfoBlue">
    <w:name w:val="InfoBlue"/>
    <w:basedOn w:val="Normal"/>
    <w:next w:val="Textoindependiente"/>
    <w:link w:val="InfoBlueChar"/>
    <w:autoRedefine/>
    <w:locked/>
    <w:rsid w:val="009A5C2C"/>
    <w:pPr>
      <w:widowControl w:val="0"/>
      <w:pBdr>
        <w:top w:val="single" w:sz="4" w:space="1" w:color="auto"/>
        <w:left w:val="single" w:sz="4" w:space="19" w:color="auto"/>
        <w:bottom w:val="single" w:sz="4" w:space="1" w:color="auto"/>
        <w:right w:val="single" w:sz="4" w:space="4" w:color="auto"/>
      </w:pBdr>
      <w:shd w:val="pct15" w:color="auto" w:fill="auto"/>
      <w:spacing w:before="120" w:after="120" w:line="240" w:lineRule="atLeast"/>
      <w:ind w:left="284"/>
      <w:contextualSpacing/>
    </w:pPr>
    <w:rPr>
      <w:i/>
      <w:iCs/>
      <w:vanish/>
      <w:color w:val="0000FF"/>
    </w:rPr>
  </w:style>
  <w:style w:type="paragraph" w:customStyle="1" w:styleId="DefaultText">
    <w:name w:val="Default Text"/>
    <w:basedOn w:val="Normal"/>
    <w:locked/>
    <w:rsid w:val="009A5C2C"/>
    <w:pPr>
      <w:autoSpaceDE w:val="0"/>
      <w:autoSpaceDN w:val="0"/>
      <w:adjustRightInd w:val="0"/>
      <w:spacing w:before="60" w:after="60" w:line="276" w:lineRule="auto"/>
    </w:pPr>
    <w:rPr>
      <w:rFonts w:ascii="Arial" w:hAnsi="Arial"/>
      <w:noProof/>
      <w:szCs w:val="22"/>
      <w:lang w:val="en-US" w:eastAsia="en-GB"/>
    </w:rPr>
  </w:style>
  <w:style w:type="paragraph" w:customStyle="1" w:styleId="ItalicizedTableText">
    <w:name w:val="Italicized Table Text"/>
    <w:basedOn w:val="Normal"/>
    <w:locked/>
    <w:rsid w:val="009A5C2C"/>
    <w:pPr>
      <w:widowControl w:val="0"/>
      <w:autoSpaceDE w:val="0"/>
      <w:autoSpaceDN w:val="0"/>
      <w:adjustRightInd w:val="0"/>
      <w:spacing w:after="0" w:line="276" w:lineRule="auto"/>
    </w:pPr>
    <w:rPr>
      <w:rFonts w:ascii="Arial" w:hAnsi="Arial" w:cs="Arial"/>
      <w:i/>
      <w:iCs/>
      <w:szCs w:val="22"/>
      <w:lang w:val="en-US" w:eastAsia="en-GB"/>
    </w:rPr>
  </w:style>
  <w:style w:type="paragraph" w:customStyle="1" w:styleId="TableHeading">
    <w:name w:val="Table Heading"/>
    <w:basedOn w:val="Normal"/>
    <w:locked/>
    <w:rsid w:val="009A5C2C"/>
    <w:pPr>
      <w:widowControl w:val="0"/>
      <w:autoSpaceDE w:val="0"/>
      <w:autoSpaceDN w:val="0"/>
      <w:adjustRightInd w:val="0"/>
      <w:spacing w:after="0" w:line="276" w:lineRule="auto"/>
    </w:pPr>
    <w:rPr>
      <w:rFonts w:ascii="Arial" w:hAnsi="Arial" w:cs="Arial"/>
      <w:b/>
      <w:bCs/>
      <w:szCs w:val="22"/>
      <w:lang w:val="en-US" w:eastAsia="en-GB"/>
    </w:rPr>
  </w:style>
  <w:style w:type="paragraph" w:customStyle="1" w:styleId="Paragraph2">
    <w:name w:val="Paragraph2"/>
    <w:basedOn w:val="Normal"/>
    <w:locked/>
    <w:rsid w:val="009A5C2C"/>
    <w:pPr>
      <w:widowControl w:val="0"/>
      <w:spacing w:before="80" w:after="0" w:line="240" w:lineRule="atLeast"/>
      <w:ind w:left="720"/>
    </w:pPr>
    <w:rPr>
      <w:rFonts w:ascii="Calibri" w:hAnsi="Calibri"/>
      <w:color w:val="000000"/>
      <w:szCs w:val="22"/>
      <w:lang w:val="en-AU" w:eastAsia="en-GB"/>
    </w:rPr>
  </w:style>
  <w:style w:type="paragraph" w:customStyle="1" w:styleId="ItalicizedText">
    <w:name w:val="Italicized Text"/>
    <w:basedOn w:val="Normal"/>
    <w:locked/>
    <w:rsid w:val="009A5C2C"/>
    <w:pPr>
      <w:keepLines/>
      <w:widowControl w:val="0"/>
      <w:autoSpaceDE w:val="0"/>
      <w:autoSpaceDN w:val="0"/>
      <w:adjustRightInd w:val="0"/>
      <w:spacing w:after="100" w:line="276" w:lineRule="auto"/>
    </w:pPr>
    <w:rPr>
      <w:rFonts w:ascii="Arial" w:hAnsi="Arial" w:cs="Arial"/>
      <w:i/>
      <w:iCs/>
      <w:szCs w:val="22"/>
      <w:lang w:val="en-US" w:eastAsia="en-GB"/>
    </w:rPr>
  </w:style>
  <w:style w:type="paragraph" w:customStyle="1" w:styleId="StyleinfoblueLeft0cm">
    <w:name w:val="Style infoblue + Left:  0 cm"/>
    <w:basedOn w:val="Normal"/>
    <w:locked/>
    <w:rsid w:val="009A5C2C"/>
    <w:pPr>
      <w:spacing w:after="120" w:line="240" w:lineRule="atLeast"/>
    </w:pPr>
    <w:rPr>
      <w:rFonts w:ascii="Calibri" w:hAnsi="Calibri"/>
      <w:i/>
      <w:iCs/>
      <w:color w:val="0000FF"/>
      <w:szCs w:val="22"/>
      <w:lang w:val="fr-BE" w:eastAsia="zh-CN"/>
    </w:rPr>
  </w:style>
  <w:style w:type="paragraph" w:customStyle="1" w:styleId="StyleBodyText10ptItalicBlue">
    <w:name w:val="Style Body Text + 10 pt Italic Blue"/>
    <w:basedOn w:val="Textoindependiente"/>
    <w:locked/>
    <w:rsid w:val="009A5C2C"/>
    <w:pPr>
      <w:spacing w:line="276" w:lineRule="auto"/>
    </w:pPr>
    <w:rPr>
      <w:rFonts w:ascii="Calibri" w:hAnsi="Calibri"/>
      <w:i/>
      <w:iCs/>
      <w:color w:val="0000FF"/>
      <w:szCs w:val="22"/>
      <w:lang w:eastAsia="en-GB"/>
    </w:rPr>
  </w:style>
  <w:style w:type="character" w:styleId="Textodelmarcadordeposicin">
    <w:name w:val="Placeholder Text"/>
    <w:uiPriority w:val="99"/>
    <w:semiHidden/>
    <w:rsid w:val="009A5C2C"/>
    <w:rPr>
      <w:color w:val="808080"/>
    </w:rPr>
  </w:style>
  <w:style w:type="paragraph" w:customStyle="1" w:styleId="StyleStyleHeading212ptJustified">
    <w:name w:val="Style Style Heading 2 + 12 pt + Justified"/>
    <w:basedOn w:val="Normal"/>
    <w:uiPriority w:val="99"/>
    <w:locked/>
    <w:rsid w:val="009A5C2C"/>
    <w:pPr>
      <w:keepNext/>
      <w:numPr>
        <w:ilvl w:val="1"/>
        <w:numId w:val="22"/>
      </w:numPr>
      <w:spacing w:before="240" w:after="60" w:line="276" w:lineRule="auto"/>
      <w:outlineLvl w:val="1"/>
    </w:pPr>
    <w:rPr>
      <w:rFonts w:ascii="Arial" w:eastAsia="PMingLiU" w:hAnsi="Arial" w:cs="Arial"/>
      <w:b/>
      <w:bCs/>
      <w:szCs w:val="22"/>
      <w:lang w:eastAsia="en-GB"/>
    </w:rPr>
  </w:style>
  <w:style w:type="paragraph" w:customStyle="1" w:styleId="Style2">
    <w:name w:val="Style2"/>
    <w:basedOn w:val="ListNumber1Level2"/>
    <w:next w:val="ListNumber1Level3"/>
    <w:qFormat/>
    <w:locked/>
    <w:rsid w:val="009A5C2C"/>
    <w:pPr>
      <w:numPr>
        <w:ilvl w:val="0"/>
        <w:numId w:val="27"/>
      </w:numPr>
      <w:spacing w:after="120" w:line="276" w:lineRule="auto"/>
      <w:ind w:left="1378" w:hanging="357"/>
    </w:pPr>
    <w:rPr>
      <w:rFonts w:ascii="Calibri" w:hAnsi="Calibri"/>
      <w:sz w:val="22"/>
      <w:szCs w:val="22"/>
      <w:lang w:eastAsia="en-GB"/>
    </w:rPr>
  </w:style>
  <w:style w:type="paragraph" w:customStyle="1" w:styleId="Numbering-alphabets-indented">
    <w:name w:val="Numbering - alphabets - indented"/>
    <w:basedOn w:val="Normal"/>
    <w:uiPriority w:val="99"/>
    <w:locked/>
    <w:rsid w:val="009A5C2C"/>
    <w:pPr>
      <w:numPr>
        <w:numId w:val="23"/>
      </w:numPr>
      <w:spacing w:after="60" w:line="276" w:lineRule="auto"/>
    </w:pPr>
    <w:rPr>
      <w:rFonts w:ascii="Calibri" w:hAnsi="Calibri"/>
      <w:sz w:val="21"/>
      <w:szCs w:val="22"/>
      <w:lang w:eastAsia="en-GB"/>
    </w:rPr>
  </w:style>
  <w:style w:type="paragraph" w:customStyle="1" w:styleId="PM2-Body">
    <w:name w:val="PM2-Body"/>
    <w:basedOn w:val="Normal"/>
    <w:qFormat/>
    <w:locked/>
    <w:rsid w:val="009A5C2C"/>
    <w:pPr>
      <w:spacing w:before="40" w:after="100" w:line="276" w:lineRule="auto"/>
    </w:pPr>
    <w:rPr>
      <w:rFonts w:asciiTheme="minorHAnsi" w:eastAsia="PMingLiU" w:hAnsiTheme="minorHAnsi" w:cstheme="minorHAnsi"/>
      <w:sz w:val="21"/>
      <w:szCs w:val="22"/>
      <w:lang w:val="en-CA" w:eastAsia="en-GB"/>
    </w:rPr>
  </w:style>
  <w:style w:type="paragraph" w:customStyle="1" w:styleId="PM2-Heading2MidText">
    <w:name w:val="PM2-Heading2+MidText"/>
    <w:basedOn w:val="Normal"/>
    <w:qFormat/>
    <w:locked/>
    <w:rsid w:val="009A5C2C"/>
    <w:pPr>
      <w:keepNext/>
      <w:tabs>
        <w:tab w:val="num" w:pos="1492"/>
      </w:tabs>
      <w:spacing w:before="120" w:after="20" w:line="276" w:lineRule="auto"/>
      <w:ind w:left="1492" w:hanging="360"/>
      <w:outlineLvl w:val="1"/>
    </w:pPr>
    <w:rPr>
      <w:rFonts w:ascii="Calibri" w:eastAsia="PMingLiU" w:hAnsi="Calibri" w:cs="Arial"/>
      <w:b/>
      <w:bCs/>
      <w:color w:val="000000" w:themeColor="text1"/>
      <w:sz w:val="25"/>
      <w:szCs w:val="22"/>
      <w:lang w:eastAsia="en-GB"/>
    </w:rPr>
  </w:style>
  <w:style w:type="paragraph" w:styleId="Revisin">
    <w:name w:val="Revision"/>
    <w:hidden/>
    <w:uiPriority w:val="99"/>
    <w:semiHidden/>
    <w:rsid w:val="009A5C2C"/>
    <w:pPr>
      <w:spacing w:after="120" w:line="276" w:lineRule="auto"/>
    </w:pPr>
    <w:rPr>
      <w:rFonts w:ascii="Calibri" w:hAnsi="Calibri"/>
      <w:sz w:val="22"/>
      <w:szCs w:val="22"/>
      <w:lang w:val="en-GB" w:eastAsia="en-US"/>
    </w:rPr>
  </w:style>
  <w:style w:type="paragraph" w:customStyle="1" w:styleId="PM2-BulletList">
    <w:name w:val="PM2-BulletList"/>
    <w:basedOn w:val="Normal"/>
    <w:qFormat/>
    <w:locked/>
    <w:rsid w:val="009A5C2C"/>
    <w:pPr>
      <w:numPr>
        <w:numId w:val="24"/>
      </w:numPr>
      <w:spacing w:after="0" w:line="276" w:lineRule="auto"/>
    </w:pPr>
    <w:rPr>
      <w:rFonts w:asciiTheme="minorHAnsi" w:eastAsia="PMingLiU" w:hAnsiTheme="minorHAnsi" w:cstheme="minorHAnsi"/>
      <w:sz w:val="21"/>
      <w:szCs w:val="22"/>
      <w:lang w:val="en-CA" w:eastAsia="en-GB"/>
    </w:rPr>
  </w:style>
  <w:style w:type="paragraph" w:customStyle="1" w:styleId="PM2-NoHeadingBold">
    <w:name w:val="PM2-NoHeadingBold"/>
    <w:basedOn w:val="Normal"/>
    <w:qFormat/>
    <w:locked/>
    <w:rsid w:val="009A5C2C"/>
    <w:pPr>
      <w:spacing w:before="80" w:after="0" w:line="276" w:lineRule="auto"/>
    </w:pPr>
    <w:rPr>
      <w:rFonts w:asciiTheme="minorHAnsi" w:eastAsia="PMingLiU" w:hAnsiTheme="minorHAnsi" w:cstheme="minorHAnsi"/>
      <w:b/>
      <w:sz w:val="21"/>
      <w:szCs w:val="24"/>
      <w:lang w:val="en-CA" w:eastAsia="en-GB"/>
    </w:rPr>
  </w:style>
  <w:style w:type="table" w:customStyle="1" w:styleId="TableGrid1">
    <w:name w:val="Table Grid1"/>
    <w:basedOn w:val="Tablanormal"/>
    <w:locked/>
    <w:rsid w:val="009A5C2C"/>
    <w:pPr>
      <w:spacing w:after="120" w:line="276" w:lineRule="auto"/>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2-ListHeadingBold">
    <w:name w:val="PM2-ListHeadingBold"/>
    <w:basedOn w:val="Normal"/>
    <w:autoRedefine/>
    <w:qFormat/>
    <w:locked/>
    <w:rsid w:val="009A5C2C"/>
    <w:pPr>
      <w:spacing w:before="200" w:after="0" w:line="276" w:lineRule="auto"/>
    </w:pPr>
    <w:rPr>
      <w:rFonts w:asciiTheme="minorHAnsi" w:eastAsia="PMingLiU" w:hAnsiTheme="minorHAnsi"/>
      <w:b/>
      <w:sz w:val="21"/>
      <w:szCs w:val="24"/>
      <w:lang w:val="en-US" w:eastAsia="en-GB"/>
    </w:rPr>
  </w:style>
  <w:style w:type="paragraph" w:customStyle="1" w:styleId="infoblue0">
    <w:name w:val="infoblue"/>
    <w:basedOn w:val="Normal"/>
    <w:link w:val="infoblueChar0"/>
    <w:locked/>
    <w:rsid w:val="009A5C2C"/>
    <w:pPr>
      <w:spacing w:after="120" w:line="240" w:lineRule="atLeast"/>
      <w:ind w:left="720"/>
    </w:pPr>
    <w:rPr>
      <w:rFonts w:ascii="Calibri" w:eastAsia="SimSun" w:hAnsi="Calibri"/>
      <w:i/>
      <w:iCs/>
      <w:color w:val="0000FF"/>
      <w:szCs w:val="22"/>
      <w:lang w:val="fr-BE" w:eastAsia="zh-CN"/>
    </w:rPr>
  </w:style>
  <w:style w:type="character" w:customStyle="1" w:styleId="infoblueChar0">
    <w:name w:val="infoblue Char"/>
    <w:link w:val="infoblue0"/>
    <w:rsid w:val="009A5C2C"/>
    <w:rPr>
      <w:rFonts w:ascii="Calibri" w:eastAsia="SimSun" w:hAnsi="Calibri"/>
      <w:i/>
      <w:iCs/>
      <w:color w:val="0000FF"/>
      <w:sz w:val="24"/>
      <w:szCs w:val="22"/>
      <w:lang w:val="fr-BE" w:eastAsia="zh-CN"/>
    </w:rPr>
  </w:style>
  <w:style w:type="paragraph" w:customStyle="1" w:styleId="Guidance">
    <w:name w:val="Guidance"/>
    <w:basedOn w:val="infoblue0"/>
    <w:link w:val="GuidanceChar"/>
    <w:qFormat/>
    <w:locked/>
    <w:rsid w:val="009A5C2C"/>
    <w:rPr>
      <w:rFonts w:ascii="Arial" w:hAnsi="Arial" w:cs="Arial"/>
      <w:color w:val="7F7F7F"/>
    </w:rPr>
  </w:style>
  <w:style w:type="character" w:customStyle="1" w:styleId="GuidanceChar">
    <w:name w:val="Guidance Char"/>
    <w:link w:val="Guidance"/>
    <w:locked/>
    <w:rsid w:val="009A5C2C"/>
    <w:rPr>
      <w:rFonts w:ascii="Arial" w:eastAsia="SimSun" w:hAnsi="Arial" w:cs="Arial"/>
      <w:i/>
      <w:iCs/>
      <w:color w:val="7F7F7F"/>
      <w:sz w:val="24"/>
      <w:szCs w:val="22"/>
      <w:lang w:val="fr-BE" w:eastAsia="zh-CN"/>
    </w:rPr>
  </w:style>
  <w:style w:type="character" w:customStyle="1" w:styleId="WW8Num33z1">
    <w:name w:val="WW8Num33z1"/>
    <w:uiPriority w:val="99"/>
    <w:locked/>
    <w:rsid w:val="009A5C2C"/>
    <w:rPr>
      <w:rFonts w:ascii="Courier New" w:hAnsi="Courier New"/>
    </w:rPr>
  </w:style>
  <w:style w:type="paragraph" w:customStyle="1" w:styleId="TableContent">
    <w:name w:val="Table Content"/>
    <w:basedOn w:val="Normal"/>
    <w:qFormat/>
    <w:rsid w:val="009A5C2C"/>
    <w:pPr>
      <w:spacing w:after="60"/>
    </w:pPr>
    <w:rPr>
      <w:rFonts w:ascii="Calibri" w:hAnsi="Calibri"/>
      <w:sz w:val="22"/>
      <w:szCs w:val="22"/>
    </w:rPr>
  </w:style>
  <w:style w:type="paragraph" w:customStyle="1" w:styleId="Style3">
    <w:name w:val="Style3"/>
    <w:basedOn w:val="Normal"/>
    <w:next w:val="Descripcin"/>
    <w:qFormat/>
    <w:locked/>
    <w:rsid w:val="009A5C2C"/>
    <w:pPr>
      <w:spacing w:after="120" w:line="276" w:lineRule="auto"/>
    </w:pPr>
    <w:rPr>
      <w:rFonts w:ascii="Calibri" w:hAnsi="Calibri"/>
      <w:sz w:val="22"/>
      <w:szCs w:val="22"/>
      <w:lang w:eastAsia="en-GB"/>
    </w:rPr>
  </w:style>
  <w:style w:type="paragraph" w:styleId="Bibliografa">
    <w:name w:val="Bibliography"/>
    <w:basedOn w:val="Normal"/>
    <w:next w:val="Normal"/>
    <w:uiPriority w:val="37"/>
    <w:unhideWhenUsed/>
    <w:rsid w:val="009A5C2C"/>
    <w:pPr>
      <w:spacing w:after="120" w:line="276" w:lineRule="auto"/>
      <w:ind w:left="680" w:hanging="680"/>
    </w:pPr>
    <w:rPr>
      <w:rFonts w:ascii="Calibri" w:hAnsi="Calibri"/>
      <w:sz w:val="22"/>
      <w:szCs w:val="22"/>
      <w:lang w:eastAsia="en-GB"/>
    </w:rPr>
  </w:style>
  <w:style w:type="table" w:customStyle="1" w:styleId="GridTable4-Accent11">
    <w:name w:val="Grid Table 4 - Accent 11"/>
    <w:basedOn w:val="Tablanormal"/>
    <w:uiPriority w:val="49"/>
    <w:rsid w:val="009A5C2C"/>
    <w:rPr>
      <w:rFonts w:ascii="Calibri" w:hAnsi="Calibri"/>
      <w:sz w:val="22"/>
      <w:szCs w:val="22"/>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wCTableText">
    <w:name w:val="PwC Table Text"/>
    <w:basedOn w:val="Tablanormal"/>
    <w:uiPriority w:val="99"/>
    <w:qFormat/>
    <w:rsid w:val="00846ADB"/>
    <w:pPr>
      <w:spacing w:before="60" w:after="60"/>
    </w:pPr>
    <w:rPr>
      <w:rFonts w:ascii="Georgia" w:eastAsiaTheme="minorHAnsi" w:hAnsi="Georgia" w:cstheme="minorBidi"/>
      <w:lang w:val="en-GB" w:eastAsia="en-US"/>
    </w:rPr>
    <w:tblPr>
      <w:tblStyleRowBandSize w:val="1"/>
      <w:tblBorders>
        <w:insideH w:val="dotted" w:sz="4" w:space="0" w:color="1F497D" w:themeColor="text2"/>
      </w:tblBorders>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Normalright">
    <w:name w:val="Normal right"/>
    <w:basedOn w:val="Normal"/>
    <w:qFormat/>
    <w:rsid w:val="00846ADB"/>
    <w:pPr>
      <w:tabs>
        <w:tab w:val="center" w:pos="4153"/>
        <w:tab w:val="right" w:pos="8306"/>
      </w:tabs>
      <w:spacing w:before="20" w:after="20"/>
      <w:jc w:val="right"/>
    </w:pPr>
    <w:rPr>
      <w:rFonts w:ascii="Arial Narrow" w:hAnsi="Arial Narrow"/>
      <w:lang w:val="en-US" w:eastAsia="fr-FR"/>
    </w:rPr>
  </w:style>
  <w:style w:type="paragraph" w:customStyle="1" w:styleId="StyleHeading3BodyCalibriNounderline">
    <w:name w:val="Style Heading 3 + +Body (Calibri) No underline"/>
    <w:basedOn w:val="Ttulo3"/>
    <w:rsid w:val="00846ADB"/>
    <w:pPr>
      <w:spacing w:before="60"/>
    </w:pPr>
    <w:rPr>
      <w:rFonts w:asciiTheme="minorHAnsi" w:hAnsiTheme="minorHAnsi"/>
      <w:b/>
      <w:iCs/>
      <w:color w:val="002060"/>
    </w:rPr>
  </w:style>
  <w:style w:type="paragraph" w:customStyle="1" w:styleId="StyleHeading1chapitreTitre11t1T1Titre1t1TITRE1SLVer">
    <w:name w:val="Style Heading 1chapitreTitre 11t1.T1.Titre 1t1TITRE 1 SL + Ver..."/>
    <w:basedOn w:val="Ttulo1"/>
    <w:rsid w:val="00DC3830"/>
    <w:pPr>
      <w:jc w:val="left"/>
    </w:pPr>
    <w:rPr>
      <w:bCs/>
      <w:sz w:val="22"/>
    </w:rPr>
  </w:style>
  <w:style w:type="paragraph" w:customStyle="1" w:styleId="CaptionFigures">
    <w:name w:val="Caption Figures"/>
    <w:basedOn w:val="Descripcin"/>
    <w:rsid w:val="00A80742"/>
    <w:pPr>
      <w:jc w:val="center"/>
    </w:pPr>
    <w:rPr>
      <w:bCs/>
      <w:sz w:val="18"/>
    </w:rPr>
  </w:style>
  <w:style w:type="paragraph" w:customStyle="1" w:styleId="StyleHeading2Niveau2H2paragraphet2h2Verdana11ptBefo">
    <w:name w:val="Style Heading 2Niveau 2H2paragraphet2h2 + Verdana 11 pt Befo..."/>
    <w:basedOn w:val="Ttulo2"/>
    <w:rsid w:val="002E729C"/>
    <w:pPr>
      <w:spacing w:after="120" w:line="276" w:lineRule="auto"/>
    </w:pPr>
    <w:rPr>
      <w:bCs/>
      <w:color w:val="003399"/>
      <w:sz w:val="22"/>
    </w:rPr>
  </w:style>
  <w:style w:type="paragraph" w:customStyle="1" w:styleId="StyleHeading3CustomColorRGB051153Before6ptAfter">
    <w:name w:val="Style Heading 3 + Custom Color(RGB(051153)) Before:  6 pt After..."/>
    <w:basedOn w:val="Ttulo3"/>
    <w:rsid w:val="00501E75"/>
    <w:pPr>
      <w:ind w:left="1922"/>
    </w:pPr>
    <w:rPr>
      <w:iCs/>
    </w:rPr>
  </w:style>
  <w:style w:type="paragraph" w:customStyle="1" w:styleId="StyleHeading2Niveau2H2paragraphet2h2CustomColorRGB05">
    <w:name w:val="Style Heading 2Niveau 2H2paragraphet2h2 + Custom Color(RGB(05..."/>
    <w:basedOn w:val="Ttulo2"/>
    <w:rsid w:val="00176642"/>
    <w:pPr>
      <w:spacing w:after="120" w:line="276" w:lineRule="auto"/>
    </w:pPr>
    <w:rPr>
      <w:bCs/>
      <w:color w:val="003399"/>
      <w:sz w:val="24"/>
    </w:rPr>
  </w:style>
  <w:style w:type="table" w:customStyle="1" w:styleId="DocumentTable1">
    <w:name w:val="Document Table1"/>
    <w:basedOn w:val="Tablanormal"/>
    <w:next w:val="Tablaconcuadrcula"/>
    <w:rsid w:val="00AB67F0"/>
    <w:pPr>
      <w:spacing w:after="12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cumentTable2">
    <w:name w:val="Document Table2"/>
    <w:basedOn w:val="Tablanormal"/>
    <w:next w:val="Tablaconcuadrcula"/>
    <w:rsid w:val="00E332AB"/>
    <w:pPr>
      <w:spacing w:after="12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0A3E8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0A3E81"/>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2901D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2901DB"/>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0A606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ullets">
    <w:name w:val="Bullets"/>
    <w:basedOn w:val="Normal"/>
    <w:link w:val="BulletsCar"/>
    <w:qFormat/>
    <w:rsid w:val="006450A2"/>
    <w:pPr>
      <w:numPr>
        <w:numId w:val="29"/>
      </w:numPr>
      <w:spacing w:before="120" w:after="0"/>
    </w:pPr>
    <w:rPr>
      <w:rFonts w:ascii="Arial" w:hAnsi="Arial"/>
      <w:noProof/>
      <w:sz w:val="22"/>
      <w:szCs w:val="24"/>
      <w:lang w:val="es-ES" w:eastAsia="es-ES"/>
    </w:rPr>
  </w:style>
  <w:style w:type="character" w:customStyle="1" w:styleId="BulletsCar">
    <w:name w:val="Bullets Car"/>
    <w:link w:val="Bullets"/>
    <w:rsid w:val="006450A2"/>
    <w:rPr>
      <w:rFonts w:ascii="Arial" w:hAnsi="Arial"/>
      <w:noProof/>
      <w:sz w:val="22"/>
      <w:szCs w:val="24"/>
      <w:lang w:val="es-ES" w:eastAsia="es-ES"/>
    </w:rPr>
  </w:style>
  <w:style w:type="table" w:styleId="Listamedia2">
    <w:name w:val="Medium List 2"/>
    <w:basedOn w:val="Tablanormal"/>
    <w:uiPriority w:val="66"/>
    <w:rsid w:val="009A553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3F344B"/>
    <w:pPr>
      <w:spacing w:before="100" w:beforeAutospacing="1" w:after="100" w:afterAutospacing="1"/>
      <w:jc w:val="left"/>
    </w:pPr>
    <w:rPr>
      <w:rFonts w:ascii="Times New Roman" w:eastAsiaTheme="minorEastAsia" w:hAnsi="Times New Roman"/>
      <w:sz w:val="24"/>
      <w:szCs w:val="24"/>
      <w:lang w:val="es-ES" w:eastAsia="es-ES"/>
    </w:rPr>
  </w:style>
  <w:style w:type="table" w:customStyle="1" w:styleId="Tablaconcuadrcula1">
    <w:name w:val="Tabla con cuadrícula1"/>
    <w:basedOn w:val="Tablanormal"/>
    <w:next w:val="Tablaconcuadrcula"/>
    <w:uiPriority w:val="59"/>
    <w:rsid w:val="00A71B5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7F38D2"/>
    <w:rPr>
      <w:rFonts w:ascii="Century Gothic" w:hAnsi="Century Gothic"/>
      <w:b/>
      <w:color w:val="003399"/>
      <w:lang w:val="en-GB" w:eastAsia="en-US"/>
    </w:rPr>
  </w:style>
  <w:style w:type="character" w:customStyle="1" w:styleId="apple-converted-space">
    <w:name w:val="apple-converted-space"/>
    <w:basedOn w:val="Fuentedeprrafopredeter"/>
    <w:rsid w:val="00F74542"/>
  </w:style>
  <w:style w:type="paragraph" w:customStyle="1" w:styleId="Descripcin1">
    <w:name w:val="Descripción1"/>
    <w:basedOn w:val="Descripcin"/>
    <w:link w:val="CaptionCar"/>
    <w:qFormat/>
    <w:rsid w:val="002A13F2"/>
    <w:pPr>
      <w:keepNext/>
      <w:spacing w:before="0" w:after="48"/>
    </w:pPr>
    <w:rPr>
      <w:rFonts w:ascii="Century Gothic" w:hAnsi="Century Gothic"/>
      <w:sz w:val="18"/>
      <w:lang w:val="es-ES"/>
    </w:rPr>
  </w:style>
  <w:style w:type="character" w:customStyle="1" w:styleId="CaptionCar">
    <w:name w:val="Caption Car"/>
    <w:basedOn w:val="DescripcinCar"/>
    <w:link w:val="Descripcin1"/>
    <w:rsid w:val="002A13F2"/>
    <w:rPr>
      <w:rFonts w:ascii="Century Gothic" w:hAnsi="Century Gothic"/>
      <w:b/>
      <w:sz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5154">
      <w:bodyDiv w:val="1"/>
      <w:marLeft w:val="0"/>
      <w:marRight w:val="0"/>
      <w:marTop w:val="0"/>
      <w:marBottom w:val="0"/>
      <w:divBdr>
        <w:top w:val="none" w:sz="0" w:space="0" w:color="auto"/>
        <w:left w:val="none" w:sz="0" w:space="0" w:color="auto"/>
        <w:bottom w:val="none" w:sz="0" w:space="0" w:color="auto"/>
        <w:right w:val="none" w:sz="0" w:space="0" w:color="auto"/>
      </w:divBdr>
    </w:div>
    <w:div w:id="57827720">
      <w:bodyDiv w:val="1"/>
      <w:marLeft w:val="0"/>
      <w:marRight w:val="0"/>
      <w:marTop w:val="0"/>
      <w:marBottom w:val="0"/>
      <w:divBdr>
        <w:top w:val="none" w:sz="0" w:space="0" w:color="auto"/>
        <w:left w:val="none" w:sz="0" w:space="0" w:color="auto"/>
        <w:bottom w:val="none" w:sz="0" w:space="0" w:color="auto"/>
        <w:right w:val="none" w:sz="0" w:space="0" w:color="auto"/>
      </w:divBdr>
    </w:div>
    <w:div w:id="109591883">
      <w:bodyDiv w:val="1"/>
      <w:marLeft w:val="0"/>
      <w:marRight w:val="0"/>
      <w:marTop w:val="0"/>
      <w:marBottom w:val="0"/>
      <w:divBdr>
        <w:top w:val="none" w:sz="0" w:space="0" w:color="auto"/>
        <w:left w:val="none" w:sz="0" w:space="0" w:color="auto"/>
        <w:bottom w:val="none" w:sz="0" w:space="0" w:color="auto"/>
        <w:right w:val="none" w:sz="0" w:space="0" w:color="auto"/>
      </w:divBdr>
    </w:div>
    <w:div w:id="170728129">
      <w:bodyDiv w:val="1"/>
      <w:marLeft w:val="0"/>
      <w:marRight w:val="0"/>
      <w:marTop w:val="0"/>
      <w:marBottom w:val="0"/>
      <w:divBdr>
        <w:top w:val="none" w:sz="0" w:space="0" w:color="auto"/>
        <w:left w:val="none" w:sz="0" w:space="0" w:color="auto"/>
        <w:bottom w:val="none" w:sz="0" w:space="0" w:color="auto"/>
        <w:right w:val="none" w:sz="0" w:space="0" w:color="auto"/>
      </w:divBdr>
    </w:div>
    <w:div w:id="175849334">
      <w:bodyDiv w:val="1"/>
      <w:marLeft w:val="0"/>
      <w:marRight w:val="0"/>
      <w:marTop w:val="0"/>
      <w:marBottom w:val="0"/>
      <w:divBdr>
        <w:top w:val="none" w:sz="0" w:space="0" w:color="auto"/>
        <w:left w:val="none" w:sz="0" w:space="0" w:color="auto"/>
        <w:bottom w:val="none" w:sz="0" w:space="0" w:color="auto"/>
        <w:right w:val="none" w:sz="0" w:space="0" w:color="auto"/>
      </w:divBdr>
      <w:divsChild>
        <w:div w:id="2125804396">
          <w:marLeft w:val="446"/>
          <w:marRight w:val="0"/>
          <w:marTop w:val="0"/>
          <w:marBottom w:val="0"/>
          <w:divBdr>
            <w:top w:val="none" w:sz="0" w:space="0" w:color="auto"/>
            <w:left w:val="none" w:sz="0" w:space="0" w:color="auto"/>
            <w:bottom w:val="none" w:sz="0" w:space="0" w:color="auto"/>
            <w:right w:val="none" w:sz="0" w:space="0" w:color="auto"/>
          </w:divBdr>
        </w:div>
        <w:div w:id="1025401355">
          <w:marLeft w:val="446"/>
          <w:marRight w:val="0"/>
          <w:marTop w:val="0"/>
          <w:marBottom w:val="0"/>
          <w:divBdr>
            <w:top w:val="none" w:sz="0" w:space="0" w:color="auto"/>
            <w:left w:val="none" w:sz="0" w:space="0" w:color="auto"/>
            <w:bottom w:val="none" w:sz="0" w:space="0" w:color="auto"/>
            <w:right w:val="none" w:sz="0" w:space="0" w:color="auto"/>
          </w:divBdr>
        </w:div>
        <w:div w:id="2028142751">
          <w:marLeft w:val="446"/>
          <w:marRight w:val="0"/>
          <w:marTop w:val="0"/>
          <w:marBottom w:val="0"/>
          <w:divBdr>
            <w:top w:val="none" w:sz="0" w:space="0" w:color="auto"/>
            <w:left w:val="none" w:sz="0" w:space="0" w:color="auto"/>
            <w:bottom w:val="none" w:sz="0" w:space="0" w:color="auto"/>
            <w:right w:val="none" w:sz="0" w:space="0" w:color="auto"/>
          </w:divBdr>
        </w:div>
        <w:div w:id="21440658">
          <w:marLeft w:val="446"/>
          <w:marRight w:val="0"/>
          <w:marTop w:val="0"/>
          <w:marBottom w:val="0"/>
          <w:divBdr>
            <w:top w:val="none" w:sz="0" w:space="0" w:color="auto"/>
            <w:left w:val="none" w:sz="0" w:space="0" w:color="auto"/>
            <w:bottom w:val="none" w:sz="0" w:space="0" w:color="auto"/>
            <w:right w:val="none" w:sz="0" w:space="0" w:color="auto"/>
          </w:divBdr>
        </w:div>
        <w:div w:id="1564370271">
          <w:marLeft w:val="446"/>
          <w:marRight w:val="0"/>
          <w:marTop w:val="0"/>
          <w:marBottom w:val="0"/>
          <w:divBdr>
            <w:top w:val="none" w:sz="0" w:space="0" w:color="auto"/>
            <w:left w:val="none" w:sz="0" w:space="0" w:color="auto"/>
            <w:bottom w:val="none" w:sz="0" w:space="0" w:color="auto"/>
            <w:right w:val="none" w:sz="0" w:space="0" w:color="auto"/>
          </w:divBdr>
        </w:div>
      </w:divsChild>
    </w:div>
    <w:div w:id="177700031">
      <w:bodyDiv w:val="1"/>
      <w:marLeft w:val="0"/>
      <w:marRight w:val="0"/>
      <w:marTop w:val="0"/>
      <w:marBottom w:val="0"/>
      <w:divBdr>
        <w:top w:val="none" w:sz="0" w:space="0" w:color="auto"/>
        <w:left w:val="none" w:sz="0" w:space="0" w:color="auto"/>
        <w:bottom w:val="none" w:sz="0" w:space="0" w:color="auto"/>
        <w:right w:val="none" w:sz="0" w:space="0" w:color="auto"/>
      </w:divBdr>
    </w:div>
    <w:div w:id="186143133">
      <w:bodyDiv w:val="1"/>
      <w:marLeft w:val="0"/>
      <w:marRight w:val="0"/>
      <w:marTop w:val="0"/>
      <w:marBottom w:val="0"/>
      <w:divBdr>
        <w:top w:val="none" w:sz="0" w:space="0" w:color="auto"/>
        <w:left w:val="none" w:sz="0" w:space="0" w:color="auto"/>
        <w:bottom w:val="none" w:sz="0" w:space="0" w:color="auto"/>
        <w:right w:val="none" w:sz="0" w:space="0" w:color="auto"/>
      </w:divBdr>
    </w:div>
    <w:div w:id="199513375">
      <w:bodyDiv w:val="1"/>
      <w:marLeft w:val="0"/>
      <w:marRight w:val="0"/>
      <w:marTop w:val="0"/>
      <w:marBottom w:val="0"/>
      <w:divBdr>
        <w:top w:val="none" w:sz="0" w:space="0" w:color="auto"/>
        <w:left w:val="none" w:sz="0" w:space="0" w:color="auto"/>
        <w:bottom w:val="none" w:sz="0" w:space="0" w:color="auto"/>
        <w:right w:val="none" w:sz="0" w:space="0" w:color="auto"/>
      </w:divBdr>
    </w:div>
    <w:div w:id="200094522">
      <w:bodyDiv w:val="1"/>
      <w:marLeft w:val="0"/>
      <w:marRight w:val="0"/>
      <w:marTop w:val="0"/>
      <w:marBottom w:val="0"/>
      <w:divBdr>
        <w:top w:val="none" w:sz="0" w:space="0" w:color="auto"/>
        <w:left w:val="none" w:sz="0" w:space="0" w:color="auto"/>
        <w:bottom w:val="none" w:sz="0" w:space="0" w:color="auto"/>
        <w:right w:val="none" w:sz="0" w:space="0" w:color="auto"/>
      </w:divBdr>
    </w:div>
    <w:div w:id="354422462">
      <w:bodyDiv w:val="1"/>
      <w:marLeft w:val="0"/>
      <w:marRight w:val="0"/>
      <w:marTop w:val="0"/>
      <w:marBottom w:val="0"/>
      <w:divBdr>
        <w:top w:val="none" w:sz="0" w:space="0" w:color="auto"/>
        <w:left w:val="none" w:sz="0" w:space="0" w:color="auto"/>
        <w:bottom w:val="none" w:sz="0" w:space="0" w:color="auto"/>
        <w:right w:val="none" w:sz="0" w:space="0" w:color="auto"/>
      </w:divBdr>
    </w:div>
    <w:div w:id="360857468">
      <w:bodyDiv w:val="1"/>
      <w:marLeft w:val="0"/>
      <w:marRight w:val="0"/>
      <w:marTop w:val="0"/>
      <w:marBottom w:val="0"/>
      <w:divBdr>
        <w:top w:val="none" w:sz="0" w:space="0" w:color="auto"/>
        <w:left w:val="none" w:sz="0" w:space="0" w:color="auto"/>
        <w:bottom w:val="none" w:sz="0" w:space="0" w:color="auto"/>
        <w:right w:val="none" w:sz="0" w:space="0" w:color="auto"/>
      </w:divBdr>
    </w:div>
    <w:div w:id="360908484">
      <w:bodyDiv w:val="1"/>
      <w:marLeft w:val="0"/>
      <w:marRight w:val="0"/>
      <w:marTop w:val="0"/>
      <w:marBottom w:val="0"/>
      <w:divBdr>
        <w:top w:val="none" w:sz="0" w:space="0" w:color="auto"/>
        <w:left w:val="none" w:sz="0" w:space="0" w:color="auto"/>
        <w:bottom w:val="none" w:sz="0" w:space="0" w:color="auto"/>
        <w:right w:val="none" w:sz="0" w:space="0" w:color="auto"/>
      </w:divBdr>
    </w:div>
    <w:div w:id="407728703">
      <w:bodyDiv w:val="1"/>
      <w:marLeft w:val="0"/>
      <w:marRight w:val="0"/>
      <w:marTop w:val="0"/>
      <w:marBottom w:val="0"/>
      <w:divBdr>
        <w:top w:val="none" w:sz="0" w:space="0" w:color="auto"/>
        <w:left w:val="none" w:sz="0" w:space="0" w:color="auto"/>
        <w:bottom w:val="none" w:sz="0" w:space="0" w:color="auto"/>
        <w:right w:val="none" w:sz="0" w:space="0" w:color="auto"/>
      </w:divBdr>
    </w:div>
    <w:div w:id="482043202">
      <w:bodyDiv w:val="1"/>
      <w:marLeft w:val="0"/>
      <w:marRight w:val="0"/>
      <w:marTop w:val="0"/>
      <w:marBottom w:val="0"/>
      <w:divBdr>
        <w:top w:val="none" w:sz="0" w:space="0" w:color="auto"/>
        <w:left w:val="none" w:sz="0" w:space="0" w:color="auto"/>
        <w:bottom w:val="none" w:sz="0" w:space="0" w:color="auto"/>
        <w:right w:val="none" w:sz="0" w:space="0" w:color="auto"/>
      </w:divBdr>
      <w:divsChild>
        <w:div w:id="462847252">
          <w:marLeft w:val="446"/>
          <w:marRight w:val="0"/>
          <w:marTop w:val="0"/>
          <w:marBottom w:val="0"/>
          <w:divBdr>
            <w:top w:val="none" w:sz="0" w:space="0" w:color="auto"/>
            <w:left w:val="none" w:sz="0" w:space="0" w:color="auto"/>
            <w:bottom w:val="none" w:sz="0" w:space="0" w:color="auto"/>
            <w:right w:val="none" w:sz="0" w:space="0" w:color="auto"/>
          </w:divBdr>
        </w:div>
        <w:div w:id="414667526">
          <w:marLeft w:val="446"/>
          <w:marRight w:val="0"/>
          <w:marTop w:val="0"/>
          <w:marBottom w:val="0"/>
          <w:divBdr>
            <w:top w:val="none" w:sz="0" w:space="0" w:color="auto"/>
            <w:left w:val="none" w:sz="0" w:space="0" w:color="auto"/>
            <w:bottom w:val="none" w:sz="0" w:space="0" w:color="auto"/>
            <w:right w:val="none" w:sz="0" w:space="0" w:color="auto"/>
          </w:divBdr>
        </w:div>
        <w:div w:id="532545830">
          <w:marLeft w:val="446"/>
          <w:marRight w:val="0"/>
          <w:marTop w:val="0"/>
          <w:marBottom w:val="0"/>
          <w:divBdr>
            <w:top w:val="none" w:sz="0" w:space="0" w:color="auto"/>
            <w:left w:val="none" w:sz="0" w:space="0" w:color="auto"/>
            <w:bottom w:val="none" w:sz="0" w:space="0" w:color="auto"/>
            <w:right w:val="none" w:sz="0" w:space="0" w:color="auto"/>
          </w:divBdr>
        </w:div>
      </w:divsChild>
    </w:div>
    <w:div w:id="489056690">
      <w:bodyDiv w:val="1"/>
      <w:marLeft w:val="0"/>
      <w:marRight w:val="0"/>
      <w:marTop w:val="0"/>
      <w:marBottom w:val="0"/>
      <w:divBdr>
        <w:top w:val="none" w:sz="0" w:space="0" w:color="auto"/>
        <w:left w:val="none" w:sz="0" w:space="0" w:color="auto"/>
        <w:bottom w:val="none" w:sz="0" w:space="0" w:color="auto"/>
        <w:right w:val="none" w:sz="0" w:space="0" w:color="auto"/>
      </w:divBdr>
    </w:div>
    <w:div w:id="516505544">
      <w:bodyDiv w:val="1"/>
      <w:marLeft w:val="0"/>
      <w:marRight w:val="0"/>
      <w:marTop w:val="0"/>
      <w:marBottom w:val="0"/>
      <w:divBdr>
        <w:top w:val="none" w:sz="0" w:space="0" w:color="auto"/>
        <w:left w:val="none" w:sz="0" w:space="0" w:color="auto"/>
        <w:bottom w:val="none" w:sz="0" w:space="0" w:color="auto"/>
        <w:right w:val="none" w:sz="0" w:space="0" w:color="auto"/>
      </w:divBdr>
    </w:div>
    <w:div w:id="541483388">
      <w:bodyDiv w:val="1"/>
      <w:marLeft w:val="0"/>
      <w:marRight w:val="0"/>
      <w:marTop w:val="0"/>
      <w:marBottom w:val="0"/>
      <w:divBdr>
        <w:top w:val="none" w:sz="0" w:space="0" w:color="auto"/>
        <w:left w:val="none" w:sz="0" w:space="0" w:color="auto"/>
        <w:bottom w:val="none" w:sz="0" w:space="0" w:color="auto"/>
        <w:right w:val="none" w:sz="0" w:space="0" w:color="auto"/>
      </w:divBdr>
      <w:divsChild>
        <w:div w:id="1342851520">
          <w:marLeft w:val="0"/>
          <w:marRight w:val="0"/>
          <w:marTop w:val="300"/>
          <w:marBottom w:val="300"/>
          <w:divBdr>
            <w:top w:val="none" w:sz="0" w:space="0" w:color="auto"/>
            <w:left w:val="none" w:sz="0" w:space="0" w:color="auto"/>
            <w:bottom w:val="none" w:sz="0" w:space="0" w:color="auto"/>
            <w:right w:val="none" w:sz="0" w:space="0" w:color="auto"/>
          </w:divBdr>
          <w:divsChild>
            <w:div w:id="2114477668">
              <w:marLeft w:val="0"/>
              <w:marRight w:val="0"/>
              <w:marTop w:val="0"/>
              <w:marBottom w:val="0"/>
              <w:divBdr>
                <w:top w:val="none" w:sz="0" w:space="0" w:color="auto"/>
                <w:left w:val="none" w:sz="0" w:space="0" w:color="auto"/>
                <w:bottom w:val="none" w:sz="0" w:space="0" w:color="auto"/>
                <w:right w:val="none" w:sz="0" w:space="0" w:color="auto"/>
              </w:divBdr>
            </w:div>
            <w:div w:id="10691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3090">
      <w:bodyDiv w:val="1"/>
      <w:marLeft w:val="0"/>
      <w:marRight w:val="0"/>
      <w:marTop w:val="0"/>
      <w:marBottom w:val="0"/>
      <w:divBdr>
        <w:top w:val="none" w:sz="0" w:space="0" w:color="auto"/>
        <w:left w:val="none" w:sz="0" w:space="0" w:color="auto"/>
        <w:bottom w:val="none" w:sz="0" w:space="0" w:color="auto"/>
        <w:right w:val="none" w:sz="0" w:space="0" w:color="auto"/>
      </w:divBdr>
    </w:div>
    <w:div w:id="573704158">
      <w:bodyDiv w:val="1"/>
      <w:marLeft w:val="0"/>
      <w:marRight w:val="0"/>
      <w:marTop w:val="0"/>
      <w:marBottom w:val="0"/>
      <w:divBdr>
        <w:top w:val="none" w:sz="0" w:space="0" w:color="auto"/>
        <w:left w:val="none" w:sz="0" w:space="0" w:color="auto"/>
        <w:bottom w:val="none" w:sz="0" w:space="0" w:color="auto"/>
        <w:right w:val="none" w:sz="0" w:space="0" w:color="auto"/>
      </w:divBdr>
    </w:div>
    <w:div w:id="596520413">
      <w:bodyDiv w:val="1"/>
      <w:marLeft w:val="0"/>
      <w:marRight w:val="0"/>
      <w:marTop w:val="0"/>
      <w:marBottom w:val="0"/>
      <w:divBdr>
        <w:top w:val="none" w:sz="0" w:space="0" w:color="auto"/>
        <w:left w:val="none" w:sz="0" w:space="0" w:color="auto"/>
        <w:bottom w:val="none" w:sz="0" w:space="0" w:color="auto"/>
        <w:right w:val="none" w:sz="0" w:space="0" w:color="auto"/>
      </w:divBdr>
    </w:div>
    <w:div w:id="599990679">
      <w:bodyDiv w:val="1"/>
      <w:marLeft w:val="0"/>
      <w:marRight w:val="0"/>
      <w:marTop w:val="0"/>
      <w:marBottom w:val="0"/>
      <w:divBdr>
        <w:top w:val="none" w:sz="0" w:space="0" w:color="auto"/>
        <w:left w:val="none" w:sz="0" w:space="0" w:color="auto"/>
        <w:bottom w:val="none" w:sz="0" w:space="0" w:color="auto"/>
        <w:right w:val="none" w:sz="0" w:space="0" w:color="auto"/>
      </w:divBdr>
    </w:div>
    <w:div w:id="649208757">
      <w:bodyDiv w:val="1"/>
      <w:marLeft w:val="0"/>
      <w:marRight w:val="0"/>
      <w:marTop w:val="0"/>
      <w:marBottom w:val="0"/>
      <w:divBdr>
        <w:top w:val="none" w:sz="0" w:space="0" w:color="auto"/>
        <w:left w:val="none" w:sz="0" w:space="0" w:color="auto"/>
        <w:bottom w:val="none" w:sz="0" w:space="0" w:color="auto"/>
        <w:right w:val="none" w:sz="0" w:space="0" w:color="auto"/>
      </w:divBdr>
    </w:div>
    <w:div w:id="657421760">
      <w:bodyDiv w:val="1"/>
      <w:marLeft w:val="0"/>
      <w:marRight w:val="0"/>
      <w:marTop w:val="0"/>
      <w:marBottom w:val="0"/>
      <w:divBdr>
        <w:top w:val="none" w:sz="0" w:space="0" w:color="auto"/>
        <w:left w:val="none" w:sz="0" w:space="0" w:color="auto"/>
        <w:bottom w:val="none" w:sz="0" w:space="0" w:color="auto"/>
        <w:right w:val="none" w:sz="0" w:space="0" w:color="auto"/>
      </w:divBdr>
    </w:div>
    <w:div w:id="678701298">
      <w:bodyDiv w:val="1"/>
      <w:marLeft w:val="0"/>
      <w:marRight w:val="0"/>
      <w:marTop w:val="0"/>
      <w:marBottom w:val="0"/>
      <w:divBdr>
        <w:top w:val="none" w:sz="0" w:space="0" w:color="auto"/>
        <w:left w:val="none" w:sz="0" w:space="0" w:color="auto"/>
        <w:bottom w:val="none" w:sz="0" w:space="0" w:color="auto"/>
        <w:right w:val="none" w:sz="0" w:space="0" w:color="auto"/>
      </w:divBdr>
    </w:div>
    <w:div w:id="700397100">
      <w:bodyDiv w:val="1"/>
      <w:marLeft w:val="0"/>
      <w:marRight w:val="0"/>
      <w:marTop w:val="0"/>
      <w:marBottom w:val="0"/>
      <w:divBdr>
        <w:top w:val="none" w:sz="0" w:space="0" w:color="auto"/>
        <w:left w:val="none" w:sz="0" w:space="0" w:color="auto"/>
        <w:bottom w:val="none" w:sz="0" w:space="0" w:color="auto"/>
        <w:right w:val="none" w:sz="0" w:space="0" w:color="auto"/>
      </w:divBdr>
    </w:div>
    <w:div w:id="731659720">
      <w:bodyDiv w:val="1"/>
      <w:marLeft w:val="0"/>
      <w:marRight w:val="0"/>
      <w:marTop w:val="0"/>
      <w:marBottom w:val="0"/>
      <w:divBdr>
        <w:top w:val="none" w:sz="0" w:space="0" w:color="auto"/>
        <w:left w:val="none" w:sz="0" w:space="0" w:color="auto"/>
        <w:bottom w:val="none" w:sz="0" w:space="0" w:color="auto"/>
        <w:right w:val="none" w:sz="0" w:space="0" w:color="auto"/>
      </w:divBdr>
    </w:div>
    <w:div w:id="743646438">
      <w:bodyDiv w:val="1"/>
      <w:marLeft w:val="0"/>
      <w:marRight w:val="0"/>
      <w:marTop w:val="0"/>
      <w:marBottom w:val="0"/>
      <w:divBdr>
        <w:top w:val="none" w:sz="0" w:space="0" w:color="auto"/>
        <w:left w:val="none" w:sz="0" w:space="0" w:color="auto"/>
        <w:bottom w:val="none" w:sz="0" w:space="0" w:color="auto"/>
        <w:right w:val="none" w:sz="0" w:space="0" w:color="auto"/>
      </w:divBdr>
    </w:div>
    <w:div w:id="758134381">
      <w:bodyDiv w:val="1"/>
      <w:marLeft w:val="0"/>
      <w:marRight w:val="0"/>
      <w:marTop w:val="0"/>
      <w:marBottom w:val="0"/>
      <w:divBdr>
        <w:top w:val="none" w:sz="0" w:space="0" w:color="auto"/>
        <w:left w:val="none" w:sz="0" w:space="0" w:color="auto"/>
        <w:bottom w:val="none" w:sz="0" w:space="0" w:color="auto"/>
        <w:right w:val="none" w:sz="0" w:space="0" w:color="auto"/>
      </w:divBdr>
    </w:div>
    <w:div w:id="776101151">
      <w:bodyDiv w:val="1"/>
      <w:marLeft w:val="0"/>
      <w:marRight w:val="0"/>
      <w:marTop w:val="0"/>
      <w:marBottom w:val="0"/>
      <w:divBdr>
        <w:top w:val="none" w:sz="0" w:space="0" w:color="auto"/>
        <w:left w:val="none" w:sz="0" w:space="0" w:color="auto"/>
        <w:bottom w:val="none" w:sz="0" w:space="0" w:color="auto"/>
        <w:right w:val="none" w:sz="0" w:space="0" w:color="auto"/>
      </w:divBdr>
    </w:div>
    <w:div w:id="811599942">
      <w:bodyDiv w:val="1"/>
      <w:marLeft w:val="0"/>
      <w:marRight w:val="0"/>
      <w:marTop w:val="0"/>
      <w:marBottom w:val="0"/>
      <w:divBdr>
        <w:top w:val="none" w:sz="0" w:space="0" w:color="auto"/>
        <w:left w:val="none" w:sz="0" w:space="0" w:color="auto"/>
        <w:bottom w:val="none" w:sz="0" w:space="0" w:color="auto"/>
        <w:right w:val="none" w:sz="0" w:space="0" w:color="auto"/>
      </w:divBdr>
    </w:div>
    <w:div w:id="843980874">
      <w:bodyDiv w:val="1"/>
      <w:marLeft w:val="0"/>
      <w:marRight w:val="0"/>
      <w:marTop w:val="0"/>
      <w:marBottom w:val="0"/>
      <w:divBdr>
        <w:top w:val="none" w:sz="0" w:space="0" w:color="auto"/>
        <w:left w:val="none" w:sz="0" w:space="0" w:color="auto"/>
        <w:bottom w:val="none" w:sz="0" w:space="0" w:color="auto"/>
        <w:right w:val="none" w:sz="0" w:space="0" w:color="auto"/>
      </w:divBdr>
    </w:div>
    <w:div w:id="879702994">
      <w:bodyDiv w:val="1"/>
      <w:marLeft w:val="0"/>
      <w:marRight w:val="0"/>
      <w:marTop w:val="0"/>
      <w:marBottom w:val="0"/>
      <w:divBdr>
        <w:top w:val="none" w:sz="0" w:space="0" w:color="auto"/>
        <w:left w:val="none" w:sz="0" w:space="0" w:color="auto"/>
        <w:bottom w:val="none" w:sz="0" w:space="0" w:color="auto"/>
        <w:right w:val="none" w:sz="0" w:space="0" w:color="auto"/>
      </w:divBdr>
    </w:div>
    <w:div w:id="909388451">
      <w:bodyDiv w:val="1"/>
      <w:marLeft w:val="0"/>
      <w:marRight w:val="0"/>
      <w:marTop w:val="0"/>
      <w:marBottom w:val="0"/>
      <w:divBdr>
        <w:top w:val="none" w:sz="0" w:space="0" w:color="auto"/>
        <w:left w:val="none" w:sz="0" w:space="0" w:color="auto"/>
        <w:bottom w:val="none" w:sz="0" w:space="0" w:color="auto"/>
        <w:right w:val="none" w:sz="0" w:space="0" w:color="auto"/>
      </w:divBdr>
    </w:div>
    <w:div w:id="915241240">
      <w:bodyDiv w:val="1"/>
      <w:marLeft w:val="0"/>
      <w:marRight w:val="0"/>
      <w:marTop w:val="0"/>
      <w:marBottom w:val="0"/>
      <w:divBdr>
        <w:top w:val="none" w:sz="0" w:space="0" w:color="auto"/>
        <w:left w:val="none" w:sz="0" w:space="0" w:color="auto"/>
        <w:bottom w:val="none" w:sz="0" w:space="0" w:color="auto"/>
        <w:right w:val="none" w:sz="0" w:space="0" w:color="auto"/>
      </w:divBdr>
    </w:div>
    <w:div w:id="928922998">
      <w:bodyDiv w:val="1"/>
      <w:marLeft w:val="0"/>
      <w:marRight w:val="0"/>
      <w:marTop w:val="0"/>
      <w:marBottom w:val="0"/>
      <w:divBdr>
        <w:top w:val="none" w:sz="0" w:space="0" w:color="auto"/>
        <w:left w:val="none" w:sz="0" w:space="0" w:color="auto"/>
        <w:bottom w:val="none" w:sz="0" w:space="0" w:color="auto"/>
        <w:right w:val="none" w:sz="0" w:space="0" w:color="auto"/>
      </w:divBdr>
    </w:div>
    <w:div w:id="934702783">
      <w:bodyDiv w:val="1"/>
      <w:marLeft w:val="0"/>
      <w:marRight w:val="0"/>
      <w:marTop w:val="0"/>
      <w:marBottom w:val="0"/>
      <w:divBdr>
        <w:top w:val="none" w:sz="0" w:space="0" w:color="auto"/>
        <w:left w:val="none" w:sz="0" w:space="0" w:color="auto"/>
        <w:bottom w:val="none" w:sz="0" w:space="0" w:color="auto"/>
        <w:right w:val="none" w:sz="0" w:space="0" w:color="auto"/>
      </w:divBdr>
    </w:div>
    <w:div w:id="940839445">
      <w:bodyDiv w:val="1"/>
      <w:marLeft w:val="0"/>
      <w:marRight w:val="0"/>
      <w:marTop w:val="0"/>
      <w:marBottom w:val="0"/>
      <w:divBdr>
        <w:top w:val="none" w:sz="0" w:space="0" w:color="auto"/>
        <w:left w:val="none" w:sz="0" w:space="0" w:color="auto"/>
        <w:bottom w:val="none" w:sz="0" w:space="0" w:color="auto"/>
        <w:right w:val="none" w:sz="0" w:space="0" w:color="auto"/>
      </w:divBdr>
    </w:div>
    <w:div w:id="1022048764">
      <w:bodyDiv w:val="1"/>
      <w:marLeft w:val="0"/>
      <w:marRight w:val="0"/>
      <w:marTop w:val="0"/>
      <w:marBottom w:val="0"/>
      <w:divBdr>
        <w:top w:val="none" w:sz="0" w:space="0" w:color="auto"/>
        <w:left w:val="none" w:sz="0" w:space="0" w:color="auto"/>
        <w:bottom w:val="none" w:sz="0" w:space="0" w:color="auto"/>
        <w:right w:val="none" w:sz="0" w:space="0" w:color="auto"/>
      </w:divBdr>
    </w:div>
    <w:div w:id="1067151409">
      <w:bodyDiv w:val="1"/>
      <w:marLeft w:val="0"/>
      <w:marRight w:val="0"/>
      <w:marTop w:val="0"/>
      <w:marBottom w:val="0"/>
      <w:divBdr>
        <w:top w:val="none" w:sz="0" w:space="0" w:color="auto"/>
        <w:left w:val="none" w:sz="0" w:space="0" w:color="auto"/>
        <w:bottom w:val="none" w:sz="0" w:space="0" w:color="auto"/>
        <w:right w:val="none" w:sz="0" w:space="0" w:color="auto"/>
      </w:divBdr>
    </w:div>
    <w:div w:id="1087582298">
      <w:bodyDiv w:val="1"/>
      <w:marLeft w:val="0"/>
      <w:marRight w:val="0"/>
      <w:marTop w:val="0"/>
      <w:marBottom w:val="0"/>
      <w:divBdr>
        <w:top w:val="none" w:sz="0" w:space="0" w:color="auto"/>
        <w:left w:val="none" w:sz="0" w:space="0" w:color="auto"/>
        <w:bottom w:val="none" w:sz="0" w:space="0" w:color="auto"/>
        <w:right w:val="none" w:sz="0" w:space="0" w:color="auto"/>
      </w:divBdr>
    </w:div>
    <w:div w:id="1100372800">
      <w:bodyDiv w:val="1"/>
      <w:marLeft w:val="0"/>
      <w:marRight w:val="0"/>
      <w:marTop w:val="0"/>
      <w:marBottom w:val="0"/>
      <w:divBdr>
        <w:top w:val="none" w:sz="0" w:space="0" w:color="auto"/>
        <w:left w:val="none" w:sz="0" w:space="0" w:color="auto"/>
        <w:bottom w:val="none" w:sz="0" w:space="0" w:color="auto"/>
        <w:right w:val="none" w:sz="0" w:space="0" w:color="auto"/>
      </w:divBdr>
      <w:divsChild>
        <w:div w:id="422841197">
          <w:marLeft w:val="0"/>
          <w:marRight w:val="0"/>
          <w:marTop w:val="300"/>
          <w:marBottom w:val="300"/>
          <w:divBdr>
            <w:top w:val="none" w:sz="0" w:space="0" w:color="auto"/>
            <w:left w:val="none" w:sz="0" w:space="0" w:color="auto"/>
            <w:bottom w:val="none" w:sz="0" w:space="0" w:color="auto"/>
            <w:right w:val="none" w:sz="0" w:space="0" w:color="auto"/>
          </w:divBdr>
          <w:divsChild>
            <w:div w:id="954674877">
              <w:marLeft w:val="0"/>
              <w:marRight w:val="0"/>
              <w:marTop w:val="0"/>
              <w:marBottom w:val="0"/>
              <w:divBdr>
                <w:top w:val="none" w:sz="0" w:space="0" w:color="auto"/>
                <w:left w:val="none" w:sz="0" w:space="0" w:color="auto"/>
                <w:bottom w:val="none" w:sz="0" w:space="0" w:color="auto"/>
                <w:right w:val="none" w:sz="0" w:space="0" w:color="auto"/>
              </w:divBdr>
            </w:div>
            <w:div w:id="4095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3632">
      <w:bodyDiv w:val="1"/>
      <w:marLeft w:val="0"/>
      <w:marRight w:val="0"/>
      <w:marTop w:val="0"/>
      <w:marBottom w:val="0"/>
      <w:divBdr>
        <w:top w:val="none" w:sz="0" w:space="0" w:color="auto"/>
        <w:left w:val="none" w:sz="0" w:space="0" w:color="auto"/>
        <w:bottom w:val="none" w:sz="0" w:space="0" w:color="auto"/>
        <w:right w:val="none" w:sz="0" w:space="0" w:color="auto"/>
      </w:divBdr>
    </w:div>
    <w:div w:id="1140728362">
      <w:bodyDiv w:val="1"/>
      <w:marLeft w:val="0"/>
      <w:marRight w:val="0"/>
      <w:marTop w:val="0"/>
      <w:marBottom w:val="0"/>
      <w:divBdr>
        <w:top w:val="none" w:sz="0" w:space="0" w:color="auto"/>
        <w:left w:val="none" w:sz="0" w:space="0" w:color="auto"/>
        <w:bottom w:val="none" w:sz="0" w:space="0" w:color="auto"/>
        <w:right w:val="none" w:sz="0" w:space="0" w:color="auto"/>
      </w:divBdr>
    </w:div>
    <w:div w:id="1159421547">
      <w:bodyDiv w:val="1"/>
      <w:marLeft w:val="0"/>
      <w:marRight w:val="0"/>
      <w:marTop w:val="0"/>
      <w:marBottom w:val="0"/>
      <w:divBdr>
        <w:top w:val="none" w:sz="0" w:space="0" w:color="auto"/>
        <w:left w:val="none" w:sz="0" w:space="0" w:color="auto"/>
        <w:bottom w:val="none" w:sz="0" w:space="0" w:color="auto"/>
        <w:right w:val="none" w:sz="0" w:space="0" w:color="auto"/>
      </w:divBdr>
    </w:div>
    <w:div w:id="1167744105">
      <w:bodyDiv w:val="1"/>
      <w:marLeft w:val="0"/>
      <w:marRight w:val="0"/>
      <w:marTop w:val="0"/>
      <w:marBottom w:val="0"/>
      <w:divBdr>
        <w:top w:val="none" w:sz="0" w:space="0" w:color="auto"/>
        <w:left w:val="none" w:sz="0" w:space="0" w:color="auto"/>
        <w:bottom w:val="none" w:sz="0" w:space="0" w:color="auto"/>
        <w:right w:val="none" w:sz="0" w:space="0" w:color="auto"/>
      </w:divBdr>
    </w:div>
    <w:div w:id="1174688772">
      <w:bodyDiv w:val="1"/>
      <w:marLeft w:val="0"/>
      <w:marRight w:val="0"/>
      <w:marTop w:val="0"/>
      <w:marBottom w:val="0"/>
      <w:divBdr>
        <w:top w:val="none" w:sz="0" w:space="0" w:color="auto"/>
        <w:left w:val="none" w:sz="0" w:space="0" w:color="auto"/>
        <w:bottom w:val="none" w:sz="0" w:space="0" w:color="auto"/>
        <w:right w:val="none" w:sz="0" w:space="0" w:color="auto"/>
      </w:divBdr>
    </w:div>
    <w:div w:id="1178538666">
      <w:bodyDiv w:val="1"/>
      <w:marLeft w:val="0"/>
      <w:marRight w:val="0"/>
      <w:marTop w:val="0"/>
      <w:marBottom w:val="0"/>
      <w:divBdr>
        <w:top w:val="none" w:sz="0" w:space="0" w:color="auto"/>
        <w:left w:val="none" w:sz="0" w:space="0" w:color="auto"/>
        <w:bottom w:val="none" w:sz="0" w:space="0" w:color="auto"/>
        <w:right w:val="none" w:sz="0" w:space="0" w:color="auto"/>
      </w:divBdr>
    </w:div>
    <w:div w:id="1202283693">
      <w:bodyDiv w:val="1"/>
      <w:marLeft w:val="0"/>
      <w:marRight w:val="0"/>
      <w:marTop w:val="0"/>
      <w:marBottom w:val="0"/>
      <w:divBdr>
        <w:top w:val="none" w:sz="0" w:space="0" w:color="auto"/>
        <w:left w:val="none" w:sz="0" w:space="0" w:color="auto"/>
        <w:bottom w:val="none" w:sz="0" w:space="0" w:color="auto"/>
        <w:right w:val="none" w:sz="0" w:space="0" w:color="auto"/>
      </w:divBdr>
    </w:div>
    <w:div w:id="1245534107">
      <w:bodyDiv w:val="1"/>
      <w:marLeft w:val="0"/>
      <w:marRight w:val="0"/>
      <w:marTop w:val="0"/>
      <w:marBottom w:val="0"/>
      <w:divBdr>
        <w:top w:val="none" w:sz="0" w:space="0" w:color="auto"/>
        <w:left w:val="none" w:sz="0" w:space="0" w:color="auto"/>
        <w:bottom w:val="none" w:sz="0" w:space="0" w:color="auto"/>
        <w:right w:val="none" w:sz="0" w:space="0" w:color="auto"/>
      </w:divBdr>
    </w:div>
    <w:div w:id="1287159474">
      <w:bodyDiv w:val="1"/>
      <w:marLeft w:val="0"/>
      <w:marRight w:val="0"/>
      <w:marTop w:val="0"/>
      <w:marBottom w:val="0"/>
      <w:divBdr>
        <w:top w:val="none" w:sz="0" w:space="0" w:color="auto"/>
        <w:left w:val="none" w:sz="0" w:space="0" w:color="auto"/>
        <w:bottom w:val="none" w:sz="0" w:space="0" w:color="auto"/>
        <w:right w:val="none" w:sz="0" w:space="0" w:color="auto"/>
      </w:divBdr>
    </w:div>
    <w:div w:id="1327005305">
      <w:bodyDiv w:val="1"/>
      <w:marLeft w:val="0"/>
      <w:marRight w:val="0"/>
      <w:marTop w:val="0"/>
      <w:marBottom w:val="0"/>
      <w:divBdr>
        <w:top w:val="none" w:sz="0" w:space="0" w:color="auto"/>
        <w:left w:val="none" w:sz="0" w:space="0" w:color="auto"/>
        <w:bottom w:val="none" w:sz="0" w:space="0" w:color="auto"/>
        <w:right w:val="none" w:sz="0" w:space="0" w:color="auto"/>
      </w:divBdr>
    </w:div>
    <w:div w:id="1377704372">
      <w:bodyDiv w:val="1"/>
      <w:marLeft w:val="0"/>
      <w:marRight w:val="0"/>
      <w:marTop w:val="0"/>
      <w:marBottom w:val="0"/>
      <w:divBdr>
        <w:top w:val="none" w:sz="0" w:space="0" w:color="auto"/>
        <w:left w:val="none" w:sz="0" w:space="0" w:color="auto"/>
        <w:bottom w:val="none" w:sz="0" w:space="0" w:color="auto"/>
        <w:right w:val="none" w:sz="0" w:space="0" w:color="auto"/>
      </w:divBdr>
      <w:divsChild>
        <w:div w:id="733698905">
          <w:marLeft w:val="360"/>
          <w:marRight w:val="0"/>
          <w:marTop w:val="200"/>
          <w:marBottom w:val="0"/>
          <w:divBdr>
            <w:top w:val="none" w:sz="0" w:space="0" w:color="auto"/>
            <w:left w:val="none" w:sz="0" w:space="0" w:color="auto"/>
            <w:bottom w:val="none" w:sz="0" w:space="0" w:color="auto"/>
            <w:right w:val="none" w:sz="0" w:space="0" w:color="auto"/>
          </w:divBdr>
        </w:div>
        <w:div w:id="335574752">
          <w:marLeft w:val="1080"/>
          <w:marRight w:val="0"/>
          <w:marTop w:val="100"/>
          <w:marBottom w:val="0"/>
          <w:divBdr>
            <w:top w:val="none" w:sz="0" w:space="0" w:color="auto"/>
            <w:left w:val="none" w:sz="0" w:space="0" w:color="auto"/>
            <w:bottom w:val="none" w:sz="0" w:space="0" w:color="auto"/>
            <w:right w:val="none" w:sz="0" w:space="0" w:color="auto"/>
          </w:divBdr>
        </w:div>
        <w:div w:id="1943536926">
          <w:marLeft w:val="1080"/>
          <w:marRight w:val="0"/>
          <w:marTop w:val="100"/>
          <w:marBottom w:val="0"/>
          <w:divBdr>
            <w:top w:val="none" w:sz="0" w:space="0" w:color="auto"/>
            <w:left w:val="none" w:sz="0" w:space="0" w:color="auto"/>
            <w:bottom w:val="none" w:sz="0" w:space="0" w:color="auto"/>
            <w:right w:val="none" w:sz="0" w:space="0" w:color="auto"/>
          </w:divBdr>
        </w:div>
      </w:divsChild>
    </w:div>
    <w:div w:id="1389526073">
      <w:bodyDiv w:val="1"/>
      <w:marLeft w:val="0"/>
      <w:marRight w:val="0"/>
      <w:marTop w:val="0"/>
      <w:marBottom w:val="0"/>
      <w:divBdr>
        <w:top w:val="none" w:sz="0" w:space="0" w:color="auto"/>
        <w:left w:val="none" w:sz="0" w:space="0" w:color="auto"/>
        <w:bottom w:val="none" w:sz="0" w:space="0" w:color="auto"/>
        <w:right w:val="none" w:sz="0" w:space="0" w:color="auto"/>
      </w:divBdr>
    </w:div>
    <w:div w:id="1391344751">
      <w:bodyDiv w:val="1"/>
      <w:marLeft w:val="0"/>
      <w:marRight w:val="0"/>
      <w:marTop w:val="0"/>
      <w:marBottom w:val="0"/>
      <w:divBdr>
        <w:top w:val="none" w:sz="0" w:space="0" w:color="auto"/>
        <w:left w:val="none" w:sz="0" w:space="0" w:color="auto"/>
        <w:bottom w:val="none" w:sz="0" w:space="0" w:color="auto"/>
        <w:right w:val="none" w:sz="0" w:space="0" w:color="auto"/>
      </w:divBdr>
    </w:div>
    <w:div w:id="1445613584">
      <w:bodyDiv w:val="1"/>
      <w:marLeft w:val="0"/>
      <w:marRight w:val="0"/>
      <w:marTop w:val="0"/>
      <w:marBottom w:val="0"/>
      <w:divBdr>
        <w:top w:val="none" w:sz="0" w:space="0" w:color="auto"/>
        <w:left w:val="none" w:sz="0" w:space="0" w:color="auto"/>
        <w:bottom w:val="none" w:sz="0" w:space="0" w:color="auto"/>
        <w:right w:val="none" w:sz="0" w:space="0" w:color="auto"/>
      </w:divBdr>
    </w:div>
    <w:div w:id="1457286936">
      <w:bodyDiv w:val="1"/>
      <w:marLeft w:val="0"/>
      <w:marRight w:val="0"/>
      <w:marTop w:val="0"/>
      <w:marBottom w:val="0"/>
      <w:divBdr>
        <w:top w:val="none" w:sz="0" w:space="0" w:color="auto"/>
        <w:left w:val="none" w:sz="0" w:space="0" w:color="auto"/>
        <w:bottom w:val="none" w:sz="0" w:space="0" w:color="auto"/>
        <w:right w:val="none" w:sz="0" w:space="0" w:color="auto"/>
      </w:divBdr>
    </w:div>
    <w:div w:id="1469862901">
      <w:bodyDiv w:val="1"/>
      <w:marLeft w:val="0"/>
      <w:marRight w:val="0"/>
      <w:marTop w:val="0"/>
      <w:marBottom w:val="0"/>
      <w:divBdr>
        <w:top w:val="none" w:sz="0" w:space="0" w:color="auto"/>
        <w:left w:val="none" w:sz="0" w:space="0" w:color="auto"/>
        <w:bottom w:val="none" w:sz="0" w:space="0" w:color="auto"/>
        <w:right w:val="none" w:sz="0" w:space="0" w:color="auto"/>
      </w:divBdr>
      <w:divsChild>
        <w:div w:id="1265916656">
          <w:marLeft w:val="446"/>
          <w:marRight w:val="0"/>
          <w:marTop w:val="0"/>
          <w:marBottom w:val="0"/>
          <w:divBdr>
            <w:top w:val="none" w:sz="0" w:space="0" w:color="auto"/>
            <w:left w:val="none" w:sz="0" w:space="0" w:color="auto"/>
            <w:bottom w:val="none" w:sz="0" w:space="0" w:color="auto"/>
            <w:right w:val="none" w:sz="0" w:space="0" w:color="auto"/>
          </w:divBdr>
        </w:div>
        <w:div w:id="663775118">
          <w:marLeft w:val="446"/>
          <w:marRight w:val="0"/>
          <w:marTop w:val="0"/>
          <w:marBottom w:val="0"/>
          <w:divBdr>
            <w:top w:val="none" w:sz="0" w:space="0" w:color="auto"/>
            <w:left w:val="none" w:sz="0" w:space="0" w:color="auto"/>
            <w:bottom w:val="none" w:sz="0" w:space="0" w:color="auto"/>
            <w:right w:val="none" w:sz="0" w:space="0" w:color="auto"/>
          </w:divBdr>
        </w:div>
        <w:div w:id="1375737773">
          <w:marLeft w:val="446"/>
          <w:marRight w:val="0"/>
          <w:marTop w:val="0"/>
          <w:marBottom w:val="0"/>
          <w:divBdr>
            <w:top w:val="none" w:sz="0" w:space="0" w:color="auto"/>
            <w:left w:val="none" w:sz="0" w:space="0" w:color="auto"/>
            <w:bottom w:val="none" w:sz="0" w:space="0" w:color="auto"/>
            <w:right w:val="none" w:sz="0" w:space="0" w:color="auto"/>
          </w:divBdr>
        </w:div>
      </w:divsChild>
    </w:div>
    <w:div w:id="1517504317">
      <w:bodyDiv w:val="1"/>
      <w:marLeft w:val="0"/>
      <w:marRight w:val="0"/>
      <w:marTop w:val="0"/>
      <w:marBottom w:val="0"/>
      <w:divBdr>
        <w:top w:val="none" w:sz="0" w:space="0" w:color="auto"/>
        <w:left w:val="none" w:sz="0" w:space="0" w:color="auto"/>
        <w:bottom w:val="none" w:sz="0" w:space="0" w:color="auto"/>
        <w:right w:val="none" w:sz="0" w:space="0" w:color="auto"/>
      </w:divBdr>
    </w:div>
    <w:div w:id="1523855289">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46479484">
      <w:bodyDiv w:val="1"/>
      <w:marLeft w:val="0"/>
      <w:marRight w:val="0"/>
      <w:marTop w:val="0"/>
      <w:marBottom w:val="0"/>
      <w:divBdr>
        <w:top w:val="none" w:sz="0" w:space="0" w:color="auto"/>
        <w:left w:val="none" w:sz="0" w:space="0" w:color="auto"/>
        <w:bottom w:val="none" w:sz="0" w:space="0" w:color="auto"/>
        <w:right w:val="none" w:sz="0" w:space="0" w:color="auto"/>
      </w:divBdr>
    </w:div>
    <w:div w:id="1550804650">
      <w:bodyDiv w:val="1"/>
      <w:marLeft w:val="0"/>
      <w:marRight w:val="0"/>
      <w:marTop w:val="0"/>
      <w:marBottom w:val="0"/>
      <w:divBdr>
        <w:top w:val="none" w:sz="0" w:space="0" w:color="auto"/>
        <w:left w:val="none" w:sz="0" w:space="0" w:color="auto"/>
        <w:bottom w:val="none" w:sz="0" w:space="0" w:color="auto"/>
        <w:right w:val="none" w:sz="0" w:space="0" w:color="auto"/>
      </w:divBdr>
    </w:div>
    <w:div w:id="1625964205">
      <w:bodyDiv w:val="1"/>
      <w:marLeft w:val="0"/>
      <w:marRight w:val="0"/>
      <w:marTop w:val="0"/>
      <w:marBottom w:val="0"/>
      <w:divBdr>
        <w:top w:val="none" w:sz="0" w:space="0" w:color="auto"/>
        <w:left w:val="none" w:sz="0" w:space="0" w:color="auto"/>
        <w:bottom w:val="none" w:sz="0" w:space="0" w:color="auto"/>
        <w:right w:val="none" w:sz="0" w:space="0" w:color="auto"/>
      </w:divBdr>
    </w:div>
    <w:div w:id="1664627212">
      <w:bodyDiv w:val="1"/>
      <w:marLeft w:val="0"/>
      <w:marRight w:val="0"/>
      <w:marTop w:val="0"/>
      <w:marBottom w:val="0"/>
      <w:divBdr>
        <w:top w:val="none" w:sz="0" w:space="0" w:color="auto"/>
        <w:left w:val="none" w:sz="0" w:space="0" w:color="auto"/>
        <w:bottom w:val="none" w:sz="0" w:space="0" w:color="auto"/>
        <w:right w:val="none" w:sz="0" w:space="0" w:color="auto"/>
      </w:divBdr>
    </w:div>
    <w:div w:id="1684673176">
      <w:bodyDiv w:val="1"/>
      <w:marLeft w:val="0"/>
      <w:marRight w:val="0"/>
      <w:marTop w:val="0"/>
      <w:marBottom w:val="0"/>
      <w:divBdr>
        <w:top w:val="none" w:sz="0" w:space="0" w:color="auto"/>
        <w:left w:val="none" w:sz="0" w:space="0" w:color="auto"/>
        <w:bottom w:val="none" w:sz="0" w:space="0" w:color="auto"/>
        <w:right w:val="none" w:sz="0" w:space="0" w:color="auto"/>
      </w:divBdr>
    </w:div>
    <w:div w:id="1723677471">
      <w:bodyDiv w:val="1"/>
      <w:marLeft w:val="0"/>
      <w:marRight w:val="0"/>
      <w:marTop w:val="0"/>
      <w:marBottom w:val="0"/>
      <w:divBdr>
        <w:top w:val="none" w:sz="0" w:space="0" w:color="auto"/>
        <w:left w:val="none" w:sz="0" w:space="0" w:color="auto"/>
        <w:bottom w:val="none" w:sz="0" w:space="0" w:color="auto"/>
        <w:right w:val="none" w:sz="0" w:space="0" w:color="auto"/>
      </w:divBdr>
    </w:div>
    <w:div w:id="1727988860">
      <w:bodyDiv w:val="1"/>
      <w:marLeft w:val="0"/>
      <w:marRight w:val="0"/>
      <w:marTop w:val="0"/>
      <w:marBottom w:val="0"/>
      <w:divBdr>
        <w:top w:val="none" w:sz="0" w:space="0" w:color="auto"/>
        <w:left w:val="none" w:sz="0" w:space="0" w:color="auto"/>
        <w:bottom w:val="none" w:sz="0" w:space="0" w:color="auto"/>
        <w:right w:val="none" w:sz="0" w:space="0" w:color="auto"/>
      </w:divBdr>
    </w:div>
    <w:div w:id="1746758627">
      <w:bodyDiv w:val="1"/>
      <w:marLeft w:val="0"/>
      <w:marRight w:val="0"/>
      <w:marTop w:val="0"/>
      <w:marBottom w:val="0"/>
      <w:divBdr>
        <w:top w:val="none" w:sz="0" w:space="0" w:color="auto"/>
        <w:left w:val="none" w:sz="0" w:space="0" w:color="auto"/>
        <w:bottom w:val="none" w:sz="0" w:space="0" w:color="auto"/>
        <w:right w:val="none" w:sz="0" w:space="0" w:color="auto"/>
      </w:divBdr>
    </w:div>
    <w:div w:id="1784302547">
      <w:bodyDiv w:val="1"/>
      <w:marLeft w:val="0"/>
      <w:marRight w:val="0"/>
      <w:marTop w:val="0"/>
      <w:marBottom w:val="0"/>
      <w:divBdr>
        <w:top w:val="none" w:sz="0" w:space="0" w:color="auto"/>
        <w:left w:val="none" w:sz="0" w:space="0" w:color="auto"/>
        <w:bottom w:val="none" w:sz="0" w:space="0" w:color="auto"/>
        <w:right w:val="none" w:sz="0" w:space="0" w:color="auto"/>
      </w:divBdr>
    </w:div>
    <w:div w:id="1785231495">
      <w:bodyDiv w:val="1"/>
      <w:marLeft w:val="0"/>
      <w:marRight w:val="0"/>
      <w:marTop w:val="0"/>
      <w:marBottom w:val="0"/>
      <w:divBdr>
        <w:top w:val="none" w:sz="0" w:space="0" w:color="auto"/>
        <w:left w:val="none" w:sz="0" w:space="0" w:color="auto"/>
        <w:bottom w:val="none" w:sz="0" w:space="0" w:color="auto"/>
        <w:right w:val="none" w:sz="0" w:space="0" w:color="auto"/>
      </w:divBdr>
    </w:div>
    <w:div w:id="1827550662">
      <w:bodyDiv w:val="1"/>
      <w:marLeft w:val="0"/>
      <w:marRight w:val="0"/>
      <w:marTop w:val="0"/>
      <w:marBottom w:val="0"/>
      <w:divBdr>
        <w:top w:val="none" w:sz="0" w:space="0" w:color="auto"/>
        <w:left w:val="none" w:sz="0" w:space="0" w:color="auto"/>
        <w:bottom w:val="none" w:sz="0" w:space="0" w:color="auto"/>
        <w:right w:val="none" w:sz="0" w:space="0" w:color="auto"/>
      </w:divBdr>
    </w:div>
    <w:div w:id="1830170178">
      <w:bodyDiv w:val="1"/>
      <w:marLeft w:val="0"/>
      <w:marRight w:val="0"/>
      <w:marTop w:val="0"/>
      <w:marBottom w:val="0"/>
      <w:divBdr>
        <w:top w:val="none" w:sz="0" w:space="0" w:color="auto"/>
        <w:left w:val="none" w:sz="0" w:space="0" w:color="auto"/>
        <w:bottom w:val="none" w:sz="0" w:space="0" w:color="auto"/>
        <w:right w:val="none" w:sz="0" w:space="0" w:color="auto"/>
      </w:divBdr>
    </w:div>
    <w:div w:id="1833566334">
      <w:bodyDiv w:val="1"/>
      <w:marLeft w:val="0"/>
      <w:marRight w:val="0"/>
      <w:marTop w:val="0"/>
      <w:marBottom w:val="0"/>
      <w:divBdr>
        <w:top w:val="none" w:sz="0" w:space="0" w:color="auto"/>
        <w:left w:val="none" w:sz="0" w:space="0" w:color="auto"/>
        <w:bottom w:val="none" w:sz="0" w:space="0" w:color="auto"/>
        <w:right w:val="none" w:sz="0" w:space="0" w:color="auto"/>
      </w:divBdr>
    </w:div>
    <w:div w:id="1849826464">
      <w:bodyDiv w:val="1"/>
      <w:marLeft w:val="0"/>
      <w:marRight w:val="0"/>
      <w:marTop w:val="0"/>
      <w:marBottom w:val="0"/>
      <w:divBdr>
        <w:top w:val="none" w:sz="0" w:space="0" w:color="auto"/>
        <w:left w:val="none" w:sz="0" w:space="0" w:color="auto"/>
        <w:bottom w:val="none" w:sz="0" w:space="0" w:color="auto"/>
        <w:right w:val="none" w:sz="0" w:space="0" w:color="auto"/>
      </w:divBdr>
    </w:div>
    <w:div w:id="1869443624">
      <w:bodyDiv w:val="1"/>
      <w:marLeft w:val="0"/>
      <w:marRight w:val="0"/>
      <w:marTop w:val="0"/>
      <w:marBottom w:val="0"/>
      <w:divBdr>
        <w:top w:val="none" w:sz="0" w:space="0" w:color="auto"/>
        <w:left w:val="none" w:sz="0" w:space="0" w:color="auto"/>
        <w:bottom w:val="none" w:sz="0" w:space="0" w:color="auto"/>
        <w:right w:val="none" w:sz="0" w:space="0" w:color="auto"/>
      </w:divBdr>
    </w:div>
    <w:div w:id="1874267820">
      <w:bodyDiv w:val="1"/>
      <w:marLeft w:val="0"/>
      <w:marRight w:val="0"/>
      <w:marTop w:val="0"/>
      <w:marBottom w:val="0"/>
      <w:divBdr>
        <w:top w:val="none" w:sz="0" w:space="0" w:color="auto"/>
        <w:left w:val="none" w:sz="0" w:space="0" w:color="auto"/>
        <w:bottom w:val="none" w:sz="0" w:space="0" w:color="auto"/>
        <w:right w:val="none" w:sz="0" w:space="0" w:color="auto"/>
      </w:divBdr>
    </w:div>
    <w:div w:id="1899434095">
      <w:bodyDiv w:val="1"/>
      <w:marLeft w:val="0"/>
      <w:marRight w:val="0"/>
      <w:marTop w:val="0"/>
      <w:marBottom w:val="0"/>
      <w:divBdr>
        <w:top w:val="none" w:sz="0" w:space="0" w:color="auto"/>
        <w:left w:val="none" w:sz="0" w:space="0" w:color="auto"/>
        <w:bottom w:val="none" w:sz="0" w:space="0" w:color="auto"/>
        <w:right w:val="none" w:sz="0" w:space="0" w:color="auto"/>
      </w:divBdr>
    </w:div>
    <w:div w:id="1917127965">
      <w:bodyDiv w:val="1"/>
      <w:marLeft w:val="0"/>
      <w:marRight w:val="0"/>
      <w:marTop w:val="0"/>
      <w:marBottom w:val="0"/>
      <w:divBdr>
        <w:top w:val="none" w:sz="0" w:space="0" w:color="auto"/>
        <w:left w:val="none" w:sz="0" w:space="0" w:color="auto"/>
        <w:bottom w:val="none" w:sz="0" w:space="0" w:color="auto"/>
        <w:right w:val="none" w:sz="0" w:space="0" w:color="auto"/>
      </w:divBdr>
    </w:div>
    <w:div w:id="1920092499">
      <w:bodyDiv w:val="1"/>
      <w:marLeft w:val="0"/>
      <w:marRight w:val="0"/>
      <w:marTop w:val="0"/>
      <w:marBottom w:val="0"/>
      <w:divBdr>
        <w:top w:val="none" w:sz="0" w:space="0" w:color="auto"/>
        <w:left w:val="none" w:sz="0" w:space="0" w:color="auto"/>
        <w:bottom w:val="none" w:sz="0" w:space="0" w:color="auto"/>
        <w:right w:val="none" w:sz="0" w:space="0" w:color="auto"/>
      </w:divBdr>
    </w:div>
    <w:div w:id="1923761617">
      <w:bodyDiv w:val="1"/>
      <w:marLeft w:val="0"/>
      <w:marRight w:val="0"/>
      <w:marTop w:val="0"/>
      <w:marBottom w:val="0"/>
      <w:divBdr>
        <w:top w:val="none" w:sz="0" w:space="0" w:color="auto"/>
        <w:left w:val="none" w:sz="0" w:space="0" w:color="auto"/>
        <w:bottom w:val="none" w:sz="0" w:space="0" w:color="auto"/>
        <w:right w:val="none" w:sz="0" w:space="0" w:color="auto"/>
      </w:divBdr>
      <w:divsChild>
        <w:div w:id="1281376183">
          <w:marLeft w:val="446"/>
          <w:marRight w:val="0"/>
          <w:marTop w:val="0"/>
          <w:marBottom w:val="0"/>
          <w:divBdr>
            <w:top w:val="none" w:sz="0" w:space="0" w:color="auto"/>
            <w:left w:val="none" w:sz="0" w:space="0" w:color="auto"/>
            <w:bottom w:val="none" w:sz="0" w:space="0" w:color="auto"/>
            <w:right w:val="none" w:sz="0" w:space="0" w:color="auto"/>
          </w:divBdr>
        </w:div>
        <w:div w:id="800612271">
          <w:marLeft w:val="446"/>
          <w:marRight w:val="0"/>
          <w:marTop w:val="0"/>
          <w:marBottom w:val="0"/>
          <w:divBdr>
            <w:top w:val="none" w:sz="0" w:space="0" w:color="auto"/>
            <w:left w:val="none" w:sz="0" w:space="0" w:color="auto"/>
            <w:bottom w:val="none" w:sz="0" w:space="0" w:color="auto"/>
            <w:right w:val="none" w:sz="0" w:space="0" w:color="auto"/>
          </w:divBdr>
        </w:div>
      </w:divsChild>
    </w:div>
    <w:div w:id="1928342899">
      <w:bodyDiv w:val="1"/>
      <w:marLeft w:val="0"/>
      <w:marRight w:val="0"/>
      <w:marTop w:val="0"/>
      <w:marBottom w:val="0"/>
      <w:divBdr>
        <w:top w:val="none" w:sz="0" w:space="0" w:color="auto"/>
        <w:left w:val="none" w:sz="0" w:space="0" w:color="auto"/>
        <w:bottom w:val="none" w:sz="0" w:space="0" w:color="auto"/>
        <w:right w:val="none" w:sz="0" w:space="0" w:color="auto"/>
      </w:divBdr>
    </w:div>
    <w:div w:id="1997804857">
      <w:bodyDiv w:val="1"/>
      <w:marLeft w:val="0"/>
      <w:marRight w:val="0"/>
      <w:marTop w:val="0"/>
      <w:marBottom w:val="0"/>
      <w:divBdr>
        <w:top w:val="none" w:sz="0" w:space="0" w:color="auto"/>
        <w:left w:val="none" w:sz="0" w:space="0" w:color="auto"/>
        <w:bottom w:val="none" w:sz="0" w:space="0" w:color="auto"/>
        <w:right w:val="none" w:sz="0" w:space="0" w:color="auto"/>
      </w:divBdr>
    </w:div>
    <w:div w:id="2009600575">
      <w:bodyDiv w:val="1"/>
      <w:marLeft w:val="0"/>
      <w:marRight w:val="0"/>
      <w:marTop w:val="0"/>
      <w:marBottom w:val="0"/>
      <w:divBdr>
        <w:top w:val="none" w:sz="0" w:space="0" w:color="auto"/>
        <w:left w:val="none" w:sz="0" w:space="0" w:color="auto"/>
        <w:bottom w:val="none" w:sz="0" w:space="0" w:color="auto"/>
        <w:right w:val="none" w:sz="0" w:space="0" w:color="auto"/>
      </w:divBdr>
    </w:div>
    <w:div w:id="2018267674">
      <w:bodyDiv w:val="1"/>
      <w:marLeft w:val="0"/>
      <w:marRight w:val="0"/>
      <w:marTop w:val="0"/>
      <w:marBottom w:val="0"/>
      <w:divBdr>
        <w:top w:val="none" w:sz="0" w:space="0" w:color="auto"/>
        <w:left w:val="none" w:sz="0" w:space="0" w:color="auto"/>
        <w:bottom w:val="none" w:sz="0" w:space="0" w:color="auto"/>
        <w:right w:val="none" w:sz="0" w:space="0" w:color="auto"/>
      </w:divBdr>
      <w:divsChild>
        <w:div w:id="1207335942">
          <w:marLeft w:val="360"/>
          <w:marRight w:val="0"/>
          <w:marTop w:val="200"/>
          <w:marBottom w:val="0"/>
          <w:divBdr>
            <w:top w:val="none" w:sz="0" w:space="0" w:color="auto"/>
            <w:left w:val="none" w:sz="0" w:space="0" w:color="auto"/>
            <w:bottom w:val="none" w:sz="0" w:space="0" w:color="auto"/>
            <w:right w:val="none" w:sz="0" w:space="0" w:color="auto"/>
          </w:divBdr>
        </w:div>
        <w:div w:id="444152879">
          <w:marLeft w:val="1080"/>
          <w:marRight w:val="0"/>
          <w:marTop w:val="100"/>
          <w:marBottom w:val="0"/>
          <w:divBdr>
            <w:top w:val="none" w:sz="0" w:space="0" w:color="auto"/>
            <w:left w:val="none" w:sz="0" w:space="0" w:color="auto"/>
            <w:bottom w:val="none" w:sz="0" w:space="0" w:color="auto"/>
            <w:right w:val="none" w:sz="0" w:space="0" w:color="auto"/>
          </w:divBdr>
        </w:div>
        <w:div w:id="1219197791">
          <w:marLeft w:val="1080"/>
          <w:marRight w:val="0"/>
          <w:marTop w:val="100"/>
          <w:marBottom w:val="0"/>
          <w:divBdr>
            <w:top w:val="none" w:sz="0" w:space="0" w:color="auto"/>
            <w:left w:val="none" w:sz="0" w:space="0" w:color="auto"/>
            <w:bottom w:val="none" w:sz="0" w:space="0" w:color="auto"/>
            <w:right w:val="none" w:sz="0" w:space="0" w:color="auto"/>
          </w:divBdr>
        </w:div>
        <w:div w:id="267473612">
          <w:marLeft w:val="1080"/>
          <w:marRight w:val="0"/>
          <w:marTop w:val="100"/>
          <w:marBottom w:val="0"/>
          <w:divBdr>
            <w:top w:val="none" w:sz="0" w:space="0" w:color="auto"/>
            <w:left w:val="none" w:sz="0" w:space="0" w:color="auto"/>
            <w:bottom w:val="none" w:sz="0" w:space="0" w:color="auto"/>
            <w:right w:val="none" w:sz="0" w:space="0" w:color="auto"/>
          </w:divBdr>
        </w:div>
      </w:divsChild>
    </w:div>
    <w:div w:id="2020034458">
      <w:bodyDiv w:val="1"/>
      <w:marLeft w:val="0"/>
      <w:marRight w:val="0"/>
      <w:marTop w:val="0"/>
      <w:marBottom w:val="0"/>
      <w:divBdr>
        <w:top w:val="none" w:sz="0" w:space="0" w:color="auto"/>
        <w:left w:val="none" w:sz="0" w:space="0" w:color="auto"/>
        <w:bottom w:val="none" w:sz="0" w:space="0" w:color="auto"/>
        <w:right w:val="none" w:sz="0" w:space="0" w:color="auto"/>
      </w:divBdr>
    </w:div>
    <w:div w:id="2042319851">
      <w:bodyDiv w:val="1"/>
      <w:marLeft w:val="0"/>
      <w:marRight w:val="0"/>
      <w:marTop w:val="0"/>
      <w:marBottom w:val="0"/>
      <w:divBdr>
        <w:top w:val="none" w:sz="0" w:space="0" w:color="auto"/>
        <w:left w:val="none" w:sz="0" w:space="0" w:color="auto"/>
        <w:bottom w:val="none" w:sz="0" w:space="0" w:color="auto"/>
        <w:right w:val="none" w:sz="0" w:space="0" w:color="auto"/>
      </w:divBdr>
    </w:div>
    <w:div w:id="2047437834">
      <w:bodyDiv w:val="1"/>
      <w:marLeft w:val="0"/>
      <w:marRight w:val="0"/>
      <w:marTop w:val="0"/>
      <w:marBottom w:val="0"/>
      <w:divBdr>
        <w:top w:val="none" w:sz="0" w:space="0" w:color="auto"/>
        <w:left w:val="none" w:sz="0" w:space="0" w:color="auto"/>
        <w:bottom w:val="none" w:sz="0" w:space="0" w:color="auto"/>
        <w:right w:val="none" w:sz="0" w:space="0" w:color="auto"/>
      </w:divBdr>
    </w:div>
    <w:div w:id="2083524785">
      <w:bodyDiv w:val="1"/>
      <w:marLeft w:val="0"/>
      <w:marRight w:val="0"/>
      <w:marTop w:val="0"/>
      <w:marBottom w:val="0"/>
      <w:divBdr>
        <w:top w:val="none" w:sz="0" w:space="0" w:color="auto"/>
        <w:left w:val="none" w:sz="0" w:space="0" w:color="auto"/>
        <w:bottom w:val="none" w:sz="0" w:space="0" w:color="auto"/>
        <w:right w:val="none" w:sz="0" w:space="0" w:color="auto"/>
      </w:divBdr>
    </w:div>
    <w:div w:id="2101638592">
      <w:bodyDiv w:val="1"/>
      <w:marLeft w:val="0"/>
      <w:marRight w:val="0"/>
      <w:marTop w:val="0"/>
      <w:marBottom w:val="0"/>
      <w:divBdr>
        <w:top w:val="none" w:sz="0" w:space="0" w:color="auto"/>
        <w:left w:val="none" w:sz="0" w:space="0" w:color="auto"/>
        <w:bottom w:val="none" w:sz="0" w:space="0" w:color="auto"/>
        <w:right w:val="none" w:sz="0" w:space="0" w:color="auto"/>
      </w:divBdr>
    </w:div>
    <w:div w:id="2125533348">
      <w:bodyDiv w:val="1"/>
      <w:marLeft w:val="0"/>
      <w:marRight w:val="0"/>
      <w:marTop w:val="0"/>
      <w:marBottom w:val="0"/>
      <w:divBdr>
        <w:top w:val="none" w:sz="0" w:space="0" w:color="auto"/>
        <w:left w:val="none" w:sz="0" w:space="0" w:color="auto"/>
        <w:bottom w:val="none" w:sz="0" w:space="0" w:color="auto"/>
        <w:right w:val="none" w:sz="0" w:space="0" w:color="auto"/>
      </w:divBdr>
    </w:div>
    <w:div w:id="214519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hyperlink" Target="http://estacom.intranet.icex.es/estacom/desglose.html" TargetMode="External"/><Relationship Id="rId21" Type="http://schemas.openxmlformats.org/officeDocument/2006/relationships/image" Target="media/image10.png"/><Relationship Id="rId34" Type="http://schemas.openxmlformats.org/officeDocument/2006/relationships/hyperlink" Target="http://unctad.org/en/Pages/statistics.aspx" TargetMode="External"/><Relationship Id="rId42" Type="http://schemas.openxmlformats.org/officeDocument/2006/relationships/hyperlink" Target="http://www.ine.es/dyngs/INEbase/es/categoria.htm?c=Estadistica_P&amp;cid=1254735576669" TargetMode="External"/><Relationship Id="rId47" Type="http://schemas.openxmlformats.org/officeDocument/2006/relationships/hyperlink" Target="http://www.empleo.gob.es/es/estadisticas/contenidos/anuario.htm" TargetMode="External"/><Relationship Id="rId50" Type="http://schemas.openxmlformats.org/officeDocument/2006/relationships/hyperlink" Target="http://www.empleo.gob.es/es/sec_trabajo/autonomos/economia-" TargetMode="External"/><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gif"/><Relationship Id="rId25" Type="http://schemas.openxmlformats.org/officeDocument/2006/relationships/header" Target="header2.xml"/><Relationship Id="rId33" Type="http://schemas.openxmlformats.org/officeDocument/2006/relationships/hyperlink" Target="http://www.conference-board.org/data/economydatabase/" TargetMode="External"/><Relationship Id="rId38" Type="http://schemas.openxmlformats.org/officeDocument/2006/relationships/hyperlink" Target="http://www.oecd.org/std/its/trade-by-enterprise-characteristics.htm" TargetMode="External"/><Relationship Id="rId46" Type="http://schemas.openxmlformats.org/officeDocument/2006/relationships/hyperlink" Target="http://www.empleo.gob.es/estadisticas/emp/welcome.ht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empleo.gob.es/estadisticas/emp/welcome.htm" TargetMode="External"/><Relationship Id="rId41" Type="http://schemas.openxmlformats.org/officeDocument/2006/relationships/hyperlink" Target="http://www.ine.es/dyngs/INEbase/es/categoria.htm?c=Estadistica_P&amp;cid=1254734710984" TargetMode="External"/><Relationship Id="rId54" Type="http://schemas.openxmlformats.org/officeDocument/2006/relationships/hyperlink" Target="http://www.idi.mineco.gob.es/stfls/MICINN/Prensa/FICHEROS/2018/PlanEstatalIDI.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ec.europa.eu/eurostat/data/database" TargetMode="External"/><Relationship Id="rId37" Type="http://schemas.openxmlformats.org/officeDocument/2006/relationships/hyperlink" Target="http://www.empleo.gob.es/es/estadisticas/index.htm" TargetMode="External"/><Relationship Id="rId40" Type="http://schemas.openxmlformats.org/officeDocument/2006/relationships/hyperlink" Target="http://datacomex.comercio.es/index.htm" TargetMode="External"/><Relationship Id="rId45" Type="http://schemas.openxmlformats.org/officeDocument/2006/relationships/hyperlink" Target="http://www.ine.es/dyngs/INEbase/es/categoria.htm?c=Estadistica_P&amp;cid=1254735576581" TargetMode="External"/><Relationship Id="rId53" Type="http://schemas.openxmlformats.org/officeDocument/2006/relationships/hyperlink" Target="http://www.ine.es/dyngs/INEbase/es/categoria.htm?c=Estadistica_P&amp;cid=1254735576581"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s://www.randstad.es/tendencias360/la-gestion-del-talento-en-las-pymes/" TargetMode="External"/><Relationship Id="rId36" Type="http://schemas.openxmlformats.org/officeDocument/2006/relationships/hyperlink" Target="http://www.bde.es/webbde/es/estadis/infoest/indeco.html" TargetMode="External"/><Relationship Id="rId49" Type="http://schemas.openxmlformats.org/officeDocument/2006/relationships/hyperlink" Target="http://www.empleo.gob.es/estadisticas/emp/welcome.htm"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ine.es/inebmenu/mnu_cuentas.htm" TargetMode="External"/><Relationship Id="rId44" Type="http://schemas.openxmlformats.org/officeDocument/2006/relationships/hyperlink" Target="http://www.ine.es/dyngs/INEbase/es/categoria.htm?c=Estadistica_P&amp;cid=1254735976151" TargetMode="External"/><Relationship Id="rId52" Type="http://schemas.openxmlformats.org/officeDocument/2006/relationships/hyperlink" Target="http://www.oecd.org/sti/msti.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espanol.doingbusiness.org/data/exploreeconomies/spain" TargetMode="External"/><Relationship Id="rId30" Type="http://schemas.openxmlformats.org/officeDocument/2006/relationships/hyperlink" Target="http://www.empleo.gob.es/es/estadisticas/contenidos/anuario.htm" TargetMode="External"/><Relationship Id="rId35" Type="http://schemas.openxmlformats.org/officeDocument/2006/relationships/hyperlink" Target="http://www.bde.es/bde/es/secciones/informes/Publicaciones_an/Informe_anual/" TargetMode="External"/><Relationship Id="rId43" Type="http://schemas.openxmlformats.org/officeDocument/2006/relationships/hyperlink" Target="http://www.ine.es/dyngs/INEbase/es/categoria.htm?c=Estadistica_P&amp;cid=1254735976594" TargetMode="External"/><Relationship Id="rId48" Type="http://schemas.openxmlformats.org/officeDocument/2006/relationships/hyperlink" Target="http://www.empleo.gob.es/es/sec_trabajo/autonomos/economia-soc/autonomos/estadistica/index.htm"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www.ine.es/dyngs/INEbase/es/categoria.htm?c=Estadistica_P&amp;cid=1254735576669"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51D29931885E4B830A1570EAFB918A" ma:contentTypeVersion="2" ma:contentTypeDescription="Create a new document." ma:contentTypeScope="" ma:versionID="740a6bdf7d2ba505ffd43f68e82963e9">
  <xsd:schema xmlns:xsd="http://www.w3.org/2001/XMLSchema" xmlns:xs="http://www.w3.org/2001/XMLSchema" xmlns:p="http://schemas.microsoft.com/office/2006/metadata/properties" xmlns:ns1="http://schemas.microsoft.com/sharepoint/v3" targetNamespace="http://schemas.microsoft.com/office/2006/metadata/properties" ma:root="true" ma:fieldsID="58c033809eba6c005b0f7e67d21c05b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EPC161</b:Tag>
    <b:SourceType>Book</b:SourceType>
    <b:Guid>{F1300643-D13E-4EC4-A006-56C37E99F287}</b:Guid>
    <b:Author>
      <b:Author>
        <b:Corporate>EPCIS </b:Corporate>
      </b:Author>
    </b:Author>
    <b:Title>EPCIS 1.1 specification</b:Title>
    <b:Year>2016</b:Year>
    <b:Publisher>http://www.gs1.org/sites/default/files/docs/epc/epcis_1_1-standard-20140520.pdf</b:Publisher>
    <b:RefOrder>1</b:RefOrder>
  </b:Source>
  <b:Source>
    <b:Tag>OAS</b:Tag>
    <b:SourceType>Book</b:SourceType>
    <b:Guid>{04C3443A-3866-4D8A-BF8C-07C29AF78372}</b:Guid>
    <b:Author>
      <b:Author>
        <b:Corporate>OASIS</b:Corporate>
      </b:Author>
    </b:Author>
    <b:Title>SOAP 1.2 specification</b:Title>
    <b:Publisher>https://www.w3.org/TR/soap/</b:Publisher>
    <b:RefOrder>2</b:RefOrder>
  </b:Source>
  <b:Source>
    <b:Tag>W3C</b:Tag>
    <b:SourceType>Book</b:SourceType>
    <b:Guid>{87A945D7-7EB2-405F-A68B-FB3175252C09}</b:Guid>
    <b:Author>
      <b:Author>
        <b:Corporate>W3C</b:Corporate>
      </b:Author>
    </b:Author>
    <b:Title>XML specification</b:Title>
    <b:Publisher>https://www.w3.org/XML/</b:Publisher>
    <b:RefOrder>3</b:RefOrder>
  </b:Source>
  <b:Source>
    <b:Tag>Roy00</b:Tag>
    <b:SourceType>Book</b:SourceType>
    <b:Guid>{4F86B09A-41CC-4611-BC8E-12643F29C501}</b:Guid>
    <b:Author>
      <b:Author>
        <b:Corporate>Roy Thomas Fielding</b:Corporate>
      </b:Author>
    </b:Author>
    <b:Title>Architectural Styles and the Design of Network-based Software Architectures</b:Title>
    <b:Year>2000</b:Year>
    <b:Publisher>http://www.ics.uci.edu/~fielding/pubs/dissertation/rest_arch_style.htm</b:Publisher>
    <b:RefOrder>4</b:RefOrder>
  </b:Source>
  <b:Source>
    <b:Tag>Dom10</b:Tag>
    <b:SourceType>Book</b:SourceType>
    <b:Guid>{307D7212-D5C7-462B-93D2-BAFB762CA9C1}</b:Guid>
    <b:Author>
      <b:Author>
        <b:Corporate>Dominique Guinard, Mathias Mueller, Jacques Pasquier-Rocha</b:Corporate>
      </b:Author>
    </b:Author>
    <b:Title>Giving RFID a REST: Building a Web-Enabled EPCIS</b:Title>
    <b:Year>2010</b:Year>
    <b:Publisher>http://diuf.unifr.ch/drupal/sites/diuf.unifr.ch.drupal.softeng/files/file/publications/external/IOT2010-giving.pdf</b:Publisher>
    <b:RefOrder>5</b:RefOrder>
  </b:Source>
  <b:Source>
    <b:Tag>EPC16</b:Tag>
    <b:SourceType>Book</b:SourceType>
    <b:Guid>{64E6EA95-FB44-40A2-91A7-452D3760490C}</b:Guid>
    <b:Author>
      <b:Author>
        <b:Corporate>EPCIS Webadapter Guide</b:Corporate>
      </b:Author>
    </b:Author>
    <b:Year>2016</b:Year>
    <b:Publisher>https://fosstrak.github.io/epcis/docs/webadapter-guide.html</b:Publisher>
    <b:Title>fosstrack EPCIS Webadapter Guide</b:Title>
    <b:RefOrder>6</b:RefOrder>
  </b:Source>
  <b:Source>
    <b:Tag>DRU16</b:Tag>
    <b:SourceType>Book</b:SourceType>
    <b:Guid>{FB7A8D42-B823-4BAA-8F37-33B342316066}</b:Guid>
    <b:Author>
      <b:Author>
        <b:Corporate>DRUPAL</b:Corporate>
      </b:Author>
    </b:Author>
    <b:Year>2016</b:Year>
    <b:Publisher>http://diuf.unifr.ch/drupal/sites/diuf.unifr.ch.drupal.softeng/files/teaching/studentprojects/mueller/RESTfulEPCIS_Specification.pdf</b:Publisher>
    <b:Title>DRUPAL EPCIS - REST specification</b:Title>
    <b:RefOrder>7</b:RefOrder>
  </b:Source>
  <b:Source>
    <b:Tag>ESA161</b:Tag>
    <b:SourceType>Book</b:SourceType>
    <b:Guid>{C61A9757-4D28-49BA-AF38-4B15BB3C5013}</b:Guid>
    <b:Author>
      <b:Author>
        <b:Corporate>ESA</b:Corporate>
      </b:Author>
    </b:Author>
    <b:Title>ESA G-POD grid processing on demand</b:Title>
    <b:Year>2016</b:Year>
    <b:Publisher>https://gpod.eo.esa.int/</b:Publisher>
    <b:RefOrder>8</b:RefOrder>
  </b:Source>
  <b:Source>
    <b:Tag>ESA16</b:Tag>
    <b:SourceType>Book</b:SourceType>
    <b:Guid>{E9827048-C9D9-4D30-9EEF-DEC71C29BABE}</b:Guid>
    <b:Author>
      <b:Author>
        <b:Corporate>ESA</b:Corporate>
      </b:Author>
    </b:Author>
    <b:Title>ESA Home Page</b:Title>
    <b:Year>2016</b:Year>
    <b:Publisher>http://www.esa.int/ESA</b:Publisher>
    <b:RefOrder>9</b:RefOrder>
  </b:Source>
</b:Sources>
</file>

<file path=customXml/itemProps1.xml><?xml version="1.0" encoding="utf-8"?>
<ds:datastoreItem xmlns:ds="http://schemas.openxmlformats.org/officeDocument/2006/customXml" ds:itemID="{7E3DB2BC-2D2D-46F9-B28D-85EB52ADF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39629B-9B3F-41A9-B4F9-DEB7EDCBC451}">
  <ds:schemaRefs>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sharepoint/v3"/>
    <ds:schemaRef ds:uri="http://purl.org/dc/dcmityp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D535CDC4-13F9-4318-8328-1A8BB0A81085}">
  <ds:schemaRefs>
    <ds:schemaRef ds:uri="http://schemas.microsoft.com/sharepoint/v3/contenttype/forms"/>
  </ds:schemaRefs>
</ds:datastoreItem>
</file>

<file path=customXml/itemProps4.xml><?xml version="1.0" encoding="utf-8"?>
<ds:datastoreItem xmlns:ds="http://schemas.openxmlformats.org/officeDocument/2006/customXml" ds:itemID="{1388F56E-CA5B-486A-AF02-80656C658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21</Pages>
  <Words>8172</Words>
  <Characters>44946</Characters>
  <Application>Microsoft Office Word</Application>
  <DocSecurity>0</DocSecurity>
  <PresentationFormat>Microsoft Word 11.0</PresentationFormat>
  <Lines>374</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everis</Company>
  <LinksUpToDate>false</LinksUpToDate>
  <CharactersWithSpaces>53012</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pablo.mellado.hidalgo@everis.com</dc:creator>
  <cp:lastModifiedBy>Sara Royo Cacho</cp:lastModifiedBy>
  <cp:revision>2</cp:revision>
  <cp:lastPrinted>2018-07-19T09:32:00Z</cp:lastPrinted>
  <dcterms:created xsi:type="dcterms:W3CDTF">2018-10-29T07:16:00Z</dcterms:created>
  <dcterms:modified xsi:type="dcterms:W3CDTF">2018-10-29T07:16:00Z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40001</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0x0101000B51D29931885E4B830A1570EAFB918A</vt:lpwstr>
  </property>
</Properties>
</file>